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B29" w14:textId="00E08141" w:rsidR="00C0682D" w:rsidRPr="00392DE5" w:rsidRDefault="00C0682D" w:rsidP="00C0682D">
      <w:pPr>
        <w:pStyle w:val="BasicParagraph"/>
        <w:tabs>
          <w:tab w:val="left" w:pos="340"/>
        </w:tabs>
        <w:rPr>
          <w:rFonts w:ascii="Arial" w:hAnsi="Arial" w:cs="Arial"/>
          <w:sz w:val="21"/>
          <w:szCs w:val="21"/>
          <w:lang w:val="cs-CZ"/>
        </w:rPr>
      </w:pPr>
      <w:r w:rsidRPr="00392DE5">
        <w:rPr>
          <w:rFonts w:ascii="Arial" w:hAnsi="Arial" w:cs="Arial"/>
          <w:b/>
          <w:bCs/>
          <w:sz w:val="21"/>
          <w:szCs w:val="21"/>
          <w:lang w:val="cs-CZ"/>
        </w:rPr>
        <w:t xml:space="preserve">Směrnice ředitele </w:t>
      </w:r>
      <w:r w:rsidRPr="00CA4C74">
        <w:rPr>
          <w:rFonts w:ascii="Arial" w:hAnsi="Arial" w:cs="Arial"/>
          <w:b/>
          <w:bCs/>
          <w:sz w:val="21"/>
          <w:szCs w:val="21"/>
          <w:lang w:val="cs-CZ"/>
        </w:rPr>
        <w:t xml:space="preserve">č. </w:t>
      </w:r>
      <w:r w:rsidR="003B69B0">
        <w:rPr>
          <w:rFonts w:ascii="Arial" w:hAnsi="Arial" w:cs="Arial"/>
          <w:b/>
          <w:bCs/>
          <w:sz w:val="21"/>
          <w:szCs w:val="21"/>
          <w:lang w:val="cs-CZ"/>
        </w:rPr>
        <w:t>5</w:t>
      </w:r>
      <w:r w:rsidRPr="00CA4C74">
        <w:rPr>
          <w:rFonts w:ascii="Arial" w:hAnsi="Arial" w:cs="Arial"/>
          <w:b/>
          <w:bCs/>
          <w:sz w:val="21"/>
          <w:szCs w:val="21"/>
          <w:lang w:val="cs-CZ"/>
        </w:rPr>
        <w:t>/202</w:t>
      </w:r>
      <w:r w:rsidR="008544CC" w:rsidRPr="00CA4C74">
        <w:rPr>
          <w:rFonts w:ascii="Arial" w:hAnsi="Arial" w:cs="Arial"/>
          <w:b/>
          <w:bCs/>
          <w:sz w:val="21"/>
          <w:szCs w:val="21"/>
          <w:lang w:val="cs-CZ"/>
        </w:rPr>
        <w:t>3</w:t>
      </w:r>
    </w:p>
    <w:p w14:paraId="674F651C" w14:textId="0647AE0C"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 xml:space="preserve">ze dne </w:t>
      </w:r>
      <w:r w:rsidR="003B69B0">
        <w:rPr>
          <w:rFonts w:ascii="Arial" w:hAnsi="Arial" w:cs="Arial"/>
          <w:sz w:val="19"/>
          <w:szCs w:val="19"/>
          <w:lang w:val="cs-CZ"/>
        </w:rPr>
        <w:t>25</w:t>
      </w:r>
      <w:r w:rsidRPr="00392DE5">
        <w:rPr>
          <w:rFonts w:ascii="Arial" w:hAnsi="Arial" w:cs="Arial"/>
          <w:sz w:val="19"/>
          <w:szCs w:val="19"/>
          <w:lang w:val="cs-CZ"/>
        </w:rPr>
        <w:t xml:space="preserve">. </w:t>
      </w:r>
      <w:r w:rsidR="008544CC">
        <w:rPr>
          <w:rFonts w:ascii="Arial" w:hAnsi="Arial" w:cs="Arial"/>
          <w:sz w:val="19"/>
          <w:szCs w:val="19"/>
          <w:lang w:val="cs-CZ"/>
        </w:rPr>
        <w:t>ledn</w:t>
      </w:r>
      <w:r w:rsidRPr="00392DE5">
        <w:rPr>
          <w:rFonts w:ascii="Arial" w:hAnsi="Arial" w:cs="Arial"/>
          <w:sz w:val="19"/>
          <w:szCs w:val="19"/>
          <w:lang w:val="cs-CZ"/>
        </w:rPr>
        <w:t>a 202</w:t>
      </w:r>
      <w:r w:rsidR="008544CC">
        <w:rPr>
          <w:rFonts w:ascii="Arial" w:hAnsi="Arial" w:cs="Arial"/>
          <w:sz w:val="19"/>
          <w:szCs w:val="19"/>
          <w:lang w:val="cs-CZ"/>
        </w:rPr>
        <w:t>3</w:t>
      </w:r>
      <w:r w:rsidRPr="00392DE5">
        <w:rPr>
          <w:rFonts w:ascii="Arial" w:hAnsi="Arial" w:cs="Arial"/>
          <w:sz w:val="19"/>
          <w:szCs w:val="19"/>
          <w:lang w:val="cs-CZ"/>
        </w:rPr>
        <w:t xml:space="preserve">, </w:t>
      </w:r>
    </w:p>
    <w:p w14:paraId="6BE6CEB1" w14:textId="77777777" w:rsidR="00C0682D" w:rsidRPr="00392DE5" w:rsidRDefault="00C0682D" w:rsidP="00C0682D">
      <w:pPr>
        <w:pStyle w:val="BasicParagraph"/>
        <w:tabs>
          <w:tab w:val="left" w:pos="340"/>
        </w:tabs>
        <w:rPr>
          <w:rFonts w:ascii="Arial" w:hAnsi="Arial" w:cs="Arial"/>
          <w:sz w:val="19"/>
          <w:szCs w:val="19"/>
          <w:lang w:val="cs-CZ"/>
        </w:rPr>
      </w:pPr>
    </w:p>
    <w:p w14:paraId="10944F3E" w14:textId="77777777" w:rsidR="00C0682D" w:rsidRPr="00392DE5" w:rsidRDefault="00C0682D" w:rsidP="00C0682D">
      <w:pPr>
        <w:pStyle w:val="BasicParagraph"/>
        <w:tabs>
          <w:tab w:val="left" w:pos="340"/>
        </w:tabs>
        <w:rPr>
          <w:rFonts w:ascii="Arial" w:hAnsi="Arial" w:cs="Arial"/>
          <w:sz w:val="19"/>
          <w:szCs w:val="19"/>
          <w:lang w:val="cs-CZ"/>
        </w:rPr>
      </w:pPr>
      <w:r w:rsidRPr="00392DE5">
        <w:rPr>
          <w:rFonts w:ascii="Arial" w:hAnsi="Arial" w:cs="Arial"/>
          <w:sz w:val="19"/>
          <w:szCs w:val="19"/>
          <w:lang w:val="cs-CZ"/>
        </w:rPr>
        <w:t>kterou se stanovuje</w:t>
      </w:r>
    </w:p>
    <w:p w14:paraId="24B0C994" w14:textId="77777777" w:rsidR="00C0682D" w:rsidRPr="00392DE5" w:rsidRDefault="00C0682D" w:rsidP="00C0682D">
      <w:pPr>
        <w:pStyle w:val="BasicParagraph"/>
        <w:tabs>
          <w:tab w:val="left" w:pos="340"/>
        </w:tabs>
        <w:rPr>
          <w:rFonts w:ascii="Arial" w:hAnsi="Arial" w:cs="Arial"/>
          <w:sz w:val="19"/>
          <w:szCs w:val="19"/>
          <w:lang w:val="cs-CZ"/>
        </w:rPr>
      </w:pPr>
    </w:p>
    <w:p w14:paraId="2E68395A" w14:textId="261FB6FF" w:rsidR="00681AAA" w:rsidRPr="00A9210F" w:rsidRDefault="008544CC" w:rsidP="00A9210F">
      <w:pPr>
        <w:rPr>
          <w:rFonts w:ascii="Arial" w:hAnsi="Arial" w:cs="Arial"/>
          <w:bCs/>
          <w:sz w:val="48"/>
          <w:szCs w:val="48"/>
        </w:rPr>
      </w:pPr>
      <w:r w:rsidRPr="00A9210F">
        <w:rPr>
          <w:rFonts w:ascii="Arial" w:hAnsi="Arial" w:cs="Arial"/>
          <w:bCs/>
          <w:iCs/>
          <w:sz w:val="48"/>
          <w:szCs w:val="48"/>
        </w:rPr>
        <w:t xml:space="preserve">Provozní řád </w:t>
      </w:r>
      <w:bookmarkStart w:id="0" w:name="_Hlk118362759"/>
      <w:r w:rsidR="003B69B0" w:rsidRPr="00A9210F">
        <w:rPr>
          <w:rFonts w:ascii="Arial" w:hAnsi="Arial" w:cs="Arial"/>
          <w:bCs/>
          <w:sz w:val="48"/>
          <w:szCs w:val="48"/>
        </w:rPr>
        <w:t>areálu vil</w:t>
      </w:r>
      <w:r w:rsidR="002B0A79">
        <w:rPr>
          <w:rFonts w:ascii="Arial" w:hAnsi="Arial" w:cs="Arial"/>
          <w:bCs/>
          <w:sz w:val="48"/>
          <w:szCs w:val="48"/>
        </w:rPr>
        <w:t>y</w:t>
      </w:r>
      <w:r w:rsidR="00A9210F">
        <w:rPr>
          <w:rFonts w:ascii="Arial" w:hAnsi="Arial" w:cs="Arial"/>
          <w:bCs/>
          <w:sz w:val="48"/>
          <w:szCs w:val="48"/>
        </w:rPr>
        <w:t xml:space="preserve"> </w:t>
      </w:r>
      <w:r w:rsidR="003B69B0" w:rsidRPr="00A9210F">
        <w:rPr>
          <w:rFonts w:ascii="Arial" w:hAnsi="Arial" w:cs="Arial"/>
          <w:bCs/>
          <w:sz w:val="48"/>
          <w:szCs w:val="48"/>
        </w:rPr>
        <w:t>Tugendhat</w:t>
      </w:r>
      <w:r w:rsidR="006D46BA" w:rsidRPr="00A9210F">
        <w:rPr>
          <w:rFonts w:ascii="Arial" w:hAnsi="Arial" w:cs="Arial"/>
          <w:bCs/>
          <w:sz w:val="48"/>
          <w:szCs w:val="48"/>
        </w:rPr>
        <w:t xml:space="preserve"> </w:t>
      </w:r>
    </w:p>
    <w:p w14:paraId="695965A4" w14:textId="3DC8A527" w:rsidR="003B69B0" w:rsidRPr="00681AAA" w:rsidRDefault="003B69B0" w:rsidP="00A9210F">
      <w:pPr>
        <w:rPr>
          <w:rFonts w:ascii="Arial" w:hAnsi="Arial" w:cs="Arial"/>
          <w:b/>
          <w:sz w:val="48"/>
          <w:szCs w:val="48"/>
        </w:rPr>
      </w:pPr>
      <w:r w:rsidRPr="00681AAA">
        <w:rPr>
          <w:rFonts w:ascii="Arial" w:hAnsi="Arial" w:cs="Arial"/>
          <w:b/>
          <w:sz w:val="18"/>
          <w:szCs w:val="18"/>
        </w:rPr>
        <w:t>při krátkodobém užívání pro kulturní a společenské akce</w:t>
      </w:r>
      <w:r w:rsidR="002B0A79">
        <w:rPr>
          <w:rFonts w:ascii="Arial" w:hAnsi="Arial" w:cs="Arial"/>
          <w:b/>
          <w:sz w:val="18"/>
          <w:szCs w:val="18"/>
        </w:rPr>
        <w:t xml:space="preserve"> </w:t>
      </w:r>
      <w:r w:rsidR="00AE6E9C">
        <w:rPr>
          <w:rFonts w:ascii="Arial" w:hAnsi="Arial" w:cs="Arial"/>
          <w:b/>
          <w:sz w:val="18"/>
          <w:szCs w:val="18"/>
        </w:rPr>
        <w:t>v areálu NKP vila Tugendhat</w:t>
      </w:r>
    </w:p>
    <w:p w14:paraId="1F0832A4" w14:textId="77777777" w:rsidR="00265876" w:rsidRPr="00681AAA" w:rsidRDefault="00265876" w:rsidP="00A9210F">
      <w:pPr>
        <w:rPr>
          <w:rFonts w:ascii="Arial" w:hAnsi="Arial" w:cs="Arial"/>
          <w:b/>
          <w:sz w:val="48"/>
          <w:szCs w:val="48"/>
        </w:rPr>
      </w:pPr>
    </w:p>
    <w:bookmarkEnd w:id="0"/>
    <w:p w14:paraId="6C2FF1C0" w14:textId="259D2D08" w:rsidR="003B69B0" w:rsidRPr="00AB4945" w:rsidRDefault="003B69B0" w:rsidP="003B69B0">
      <w:pPr>
        <w:rPr>
          <w:rFonts w:ascii="Arial" w:hAnsi="Arial" w:cs="Arial"/>
          <w:sz w:val="20"/>
          <w:szCs w:val="20"/>
        </w:rPr>
      </w:pPr>
    </w:p>
    <w:p w14:paraId="065A482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Areál vila Tugendhat (tj, vnitřní prostory a zahrada), vymezené ke krátkodobému užívání formou pronájmu nebo na pořádání kulturních a společenských akcí (dále jen „akce“) jsou součástí Národní kulturní památky a podléhají zvláštnímu režimu. Charakter těchto akcí i způsob užívání příslušných prostor nesmí být v rozporu s historickým a kulturně společenským významem této památky zapsané na Seznam světového dědictví UNESCO. Nájemce je povinen se s režimem užívání nemovitosti před konáním akce nebo pronájmu seznámit na osobní schůzce ve vile Tugendhat. Tento zvláštní režim užívání je nájemce povinen dodržovat po celou dobu konání akce, stejně tak jako respektovat a dodržovat pokyny pověřených zaměstnanců MuMB. Za tím účelem určí MuMB odpovědného zaměstnance, který bude vykonávat správcovské funkce pronajímatele. </w:t>
      </w:r>
    </w:p>
    <w:p w14:paraId="508F3F0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Pro pronájmy, lze užívat prostory 1. nadzemního podlaží („technické podlaží“ – bývalý sklad zahradního nábytku, </w:t>
      </w:r>
      <w:proofErr w:type="spellStart"/>
      <w:r w:rsidRPr="00E67134">
        <w:rPr>
          <w:rFonts w:ascii="Arial" w:hAnsi="Arial" w:cs="Arial"/>
          <w:sz w:val="18"/>
          <w:szCs w:val="18"/>
        </w:rPr>
        <w:t>bookshop</w:t>
      </w:r>
      <w:proofErr w:type="spellEnd"/>
      <w:r w:rsidRPr="00E67134">
        <w:rPr>
          <w:rFonts w:ascii="Arial" w:hAnsi="Arial" w:cs="Arial"/>
          <w:sz w:val="18"/>
          <w:szCs w:val="18"/>
        </w:rPr>
        <w:t>, toalety, případně prostor prádelny a skladu na koks) a 2. nadzemního podlaží („hlavní obytný prostor“). Maximální kapacita v 1. NP a zahradě je 100 osob (doporučený počet 80 osob), v 2. NP 50 osob.</w:t>
      </w:r>
    </w:p>
    <w:p w14:paraId="22712212" w14:textId="77777777" w:rsidR="003B69B0" w:rsidRPr="00E67134" w:rsidRDefault="003B69B0" w:rsidP="003B69B0">
      <w:pPr>
        <w:pStyle w:val="Odstavecseseznamem"/>
        <w:numPr>
          <w:ilvl w:val="0"/>
          <w:numId w:val="4"/>
        </w:numPr>
        <w:autoSpaceDE w:val="0"/>
        <w:autoSpaceDN w:val="0"/>
        <w:adjustRightInd w:val="0"/>
        <w:spacing w:after="0" w:line="240" w:lineRule="auto"/>
        <w:jc w:val="both"/>
        <w:rPr>
          <w:rFonts w:ascii="Arial" w:hAnsi="Arial" w:cs="Arial"/>
          <w:sz w:val="18"/>
          <w:szCs w:val="18"/>
        </w:rPr>
      </w:pPr>
      <w:r w:rsidRPr="00E67134">
        <w:rPr>
          <w:rFonts w:ascii="Arial" w:hAnsi="Arial" w:cs="Arial"/>
          <w:sz w:val="18"/>
          <w:szCs w:val="18"/>
        </w:rPr>
        <w:t xml:space="preserve">Ve výjimečných případech se mohou podmínky pohybu a počtu osob v interiéru změnit. Změnu povoluje ředitel Muzea města Brna. </w:t>
      </w:r>
    </w:p>
    <w:p w14:paraId="6934C70E"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Po celou dobu akce je nutná asistence pověřeného pracovníka MuMB. Odměna zaměstnance je stanovena v Ceníku pronájmů a je součástí cenové kalkulace.</w:t>
      </w:r>
    </w:p>
    <w:p w14:paraId="28C55EF8"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Užívání nebytových prostor pro uskutečnění akce se děje na základě</w:t>
      </w:r>
      <w:r w:rsidRPr="00E67134">
        <w:rPr>
          <w:rFonts w:ascii="Arial" w:hAnsi="Arial" w:cs="Arial"/>
          <w:strike/>
          <w:sz w:val="18"/>
          <w:szCs w:val="18"/>
        </w:rPr>
        <w:t xml:space="preserve"> </w:t>
      </w:r>
      <w:r w:rsidRPr="00E67134">
        <w:rPr>
          <w:rFonts w:ascii="Arial" w:hAnsi="Arial" w:cs="Arial"/>
          <w:sz w:val="18"/>
          <w:szCs w:val="18"/>
        </w:rPr>
        <w:t xml:space="preserve">smlouvy, která vymezí konkrétní prostory, účel užívání, čas konání akce od počátku její přípravy (navážení materiálu apod.) do ukončení včetně uvedení užívaných prostor do původního stavu, cenu nájmu, termín a způsob platby a další podmínky uskutečnění akce. Převzetí předmětu nájmu po skončení akce se protokoluje v zápisu potvrzeném pověřeným zaměstnancem MuMB a nájemcem. </w:t>
      </w:r>
    </w:p>
    <w:p w14:paraId="36D925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užívat prostory a zařízení pouze ke smluvenému účelu užívání a v rozsahu dohodnutém ve smlouvě. Bez zbytečného odkladu je povinen oznámit MuMB škody na majetku, závady, poruchy a všechny další skutečnosti a události, které by MuMB jako správce svěřeného majetku měl znát.</w:t>
      </w:r>
    </w:p>
    <w:p w14:paraId="43898EBD"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Osoba pověřená osoba MuMB je oprávněna vstoupit do míst, které jsou předmětem nájmu. MuMB má právo okamžitě ukončit užívání předmětných částí nemovitosti a tím i akci, pokud by během ní docházelo k vážným újmám na zdraví účastníků nebo k ničení a poškozování majetku. Toto právo přísluší MuMB rovněž v případě, že prokazatelně takové nebezpečí hrozí.</w:t>
      </w:r>
    </w:p>
    <w:p w14:paraId="0F35C2A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vyžaduje-li to charakter a rozsah akce, zajistit vlastní pořadatelskou službu, která je způsobilá organizovat její řádný chod a klidný průběh. Pořadatelskou službu nájemce předem seznámí se základními informacemi, které by pořadatel měl znát. Pořadatelská služba bude vykonávat svoji činnost i při vstupu do užívaných částí nebytových prostor a v zahradě objektu. Musí zajistit, aby osoby nájemce i účastníci akce nevstupovali do prostor, které nejsou předmětem užívání.</w:t>
      </w:r>
    </w:p>
    <w:p w14:paraId="1C7939EA"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Jakékoli úpravy či změny v pronajatých prostorách a na dalších užívaných věcech smí nájemce provádět výhradně a pouze na základě písemného souhlasu pronajímatele. V případě, že budou takové změny či úpravy povoleny, je nájemce povinen předmět nájmu po skončení akce uvést do původního stavu, nestanoví-li MuMB jinak. Bez souhlasu pověřeného zaměstnance MuMB nesmí nájemce, jakkoliv manipulovat s mobiliářem, ani s technickým zařízením. Nájemce je povinen dbát při užívání maximální opatrnosti, aby nedošlo k žádným škodám zejména. </w:t>
      </w:r>
    </w:p>
    <w:p w14:paraId="71AF9727"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je povinen zdržet se jakýchkoliv jednání, která by nad míru přípustnou rušila nebo mohla rušit činnost MuMB, zejména je povinen zajistit, aby příprava i průběh akce nerušila návštěvnický provoz pronajímatele.</w:t>
      </w:r>
    </w:p>
    <w:p w14:paraId="7846A88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lastRenderedPageBreak/>
        <w:t xml:space="preserve">Nájemce je povinen zajistit po celou dobu nájmu dodržování přísného zákazu kouření, jakékoliv manipulace s otevřeným ohněm. </w:t>
      </w:r>
    </w:p>
    <w:p w14:paraId="49BB481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Konzumace nápojů a jídel je povolena pouze v technickém podlaží objektu a zahradě.</w:t>
      </w:r>
    </w:p>
    <w:p w14:paraId="30C94B23"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na své náklady udržovat čistotu a pořádek v místech, která užívá, a to jak během akce, tak i po jejím skončení. Tuto povinnost má nájemce rovněž i mimo předmět užívání, tj. v těch místech v objektu, kde se účastníci akce mohou pohybovat. Nájemce je povinen předat MuMB po skončení akce prostory ve stavu, v jakém je převzal. Nebude-li tomu tak, má MuMB právo účtovat nájemce i náklady, které mu vzniknou uvedením předmětu nájmu do původního stavu. </w:t>
      </w:r>
    </w:p>
    <w:p w14:paraId="35543AB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za jakékoli znehodnocení, zničení nebo odcizení věcí, nalézajících se v pronajatém prostoru.</w:t>
      </w:r>
    </w:p>
    <w:p w14:paraId="7B5D060C"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Nájemce odpovídá v užívaných prostorách za bezpečnost práce, dodržování požárních, bezpečnostních a evakuačních předpisů. Dojde-li k porušení právních norem, povinností obsažených v tomto Provozním řádu nebo ve smlouvě a byla-li takto způsobena MuMB škoda či uložena v této souvislosti sankce, má nájemce povinnost takovou škodu nebo sankci MuMB v plné výši uhradit.</w:t>
      </w:r>
    </w:p>
    <w:p w14:paraId="3ABDE176"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zajistit splnění všech správně právních povinností souvisejících s přípravou, organizováním a průběhem akce, jako např. ohlášení ÚMČ </w:t>
      </w:r>
      <w:proofErr w:type="spellStart"/>
      <w:r w:rsidRPr="00E67134">
        <w:rPr>
          <w:rFonts w:ascii="Arial" w:hAnsi="Arial" w:cs="Arial"/>
          <w:sz w:val="18"/>
          <w:szCs w:val="18"/>
        </w:rPr>
        <w:t>Bmo</w:t>
      </w:r>
      <w:proofErr w:type="spellEnd"/>
      <w:r w:rsidRPr="00E67134">
        <w:rPr>
          <w:rFonts w:ascii="Arial" w:hAnsi="Arial" w:cs="Arial"/>
          <w:sz w:val="18"/>
          <w:szCs w:val="18"/>
        </w:rPr>
        <w:t>-sever nebo Magistrátu města Brna, náležitostí vůči Ochrannému svazu autorskému pro práva k dílům hudebním (OSA), DILIA – divadelní, literární, audiovizuální agentuře atp.</w:t>
      </w:r>
    </w:p>
    <w:p w14:paraId="217F4350"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Výkon zvukové aparatury používané na akci nesmí přesáhnout 3 kW a nad přípustnou míru obtěžovat hlukem nejbližší obydlené okolí.</w:t>
      </w:r>
    </w:p>
    <w:p w14:paraId="2A460691"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 xml:space="preserve">Nájemce je povinen dodržovat stanovený „noční klid“ vyhláškou města Brna, nebo si zajistit příslušnou výjimku.  </w:t>
      </w:r>
    </w:p>
    <w:p w14:paraId="5B76AC7C" w14:textId="77777777" w:rsidR="003B69B0" w:rsidRPr="00E67134" w:rsidRDefault="003B69B0" w:rsidP="003B69B0">
      <w:pPr>
        <w:pStyle w:val="Odstavecseseznamem"/>
        <w:numPr>
          <w:ilvl w:val="0"/>
          <w:numId w:val="4"/>
        </w:numPr>
        <w:autoSpaceDE w:val="0"/>
        <w:autoSpaceDN w:val="0"/>
        <w:adjustRightInd w:val="0"/>
        <w:spacing w:after="0" w:line="240" w:lineRule="auto"/>
        <w:rPr>
          <w:rFonts w:ascii="Arial" w:hAnsi="Arial" w:cs="Arial"/>
          <w:sz w:val="18"/>
          <w:szCs w:val="18"/>
        </w:rPr>
      </w:pPr>
      <w:r w:rsidRPr="00E67134">
        <w:rPr>
          <w:rFonts w:ascii="Arial" w:hAnsi="Arial" w:cs="Arial"/>
          <w:sz w:val="18"/>
          <w:szCs w:val="18"/>
        </w:rPr>
        <w:t>Je-li součástí užívání odběr el. energie, určí MuMB odpovědného zaměstnance, který zajistí připojení k elektrické síti a odstranění případných závad na dodávce el. energie. Celkový maximální příkon elektrických spotřebičů nájemce e nesmí překročit 10 kW. Jakákoliv manipulace s elektrickým zařízením pronajímatele je zakázána. O zapojení elektrických spotřebičů rozhoduje odpovědný zaměstnanec MuMB. Účastníkům akce (s výjimkou snoubenců v rámci fotografování) není dovoleno používat instalovaného sedacího nábytku. Platí zde zákaz vstupu v obuvi s jehlovými podpatky</w:t>
      </w:r>
    </w:p>
    <w:p w14:paraId="72C3F9A5"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Je zakázáno:</w:t>
      </w:r>
    </w:p>
    <w:p w14:paraId="634D1EA8"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 xml:space="preserve">kotvení stanů do terasy vily a trávníků; </w:t>
      </w:r>
    </w:p>
    <w:p w14:paraId="209E0CA4"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lepení orientačních směrovek na dveře;</w:t>
      </w:r>
    </w:p>
    <w:p w14:paraId="6A57C1D9" w14:textId="77777777" w:rsidR="003B69B0" w:rsidRPr="00E67134" w:rsidRDefault="003B69B0" w:rsidP="003B69B0">
      <w:pPr>
        <w:pStyle w:val="Odstavecseseznamem"/>
        <w:numPr>
          <w:ilvl w:val="0"/>
          <w:numId w:val="5"/>
        </w:numPr>
        <w:spacing w:after="0" w:line="240" w:lineRule="auto"/>
        <w:ind w:left="1418"/>
        <w:jc w:val="both"/>
        <w:rPr>
          <w:rFonts w:ascii="Arial" w:hAnsi="Arial" w:cs="Arial"/>
          <w:sz w:val="18"/>
          <w:szCs w:val="18"/>
        </w:rPr>
      </w:pPr>
      <w:r w:rsidRPr="00E67134">
        <w:rPr>
          <w:rFonts w:ascii="Arial" w:hAnsi="Arial" w:cs="Arial"/>
          <w:sz w:val="18"/>
          <w:szCs w:val="18"/>
        </w:rPr>
        <w:t>zákaz vylévání tekutin do replik historických umyvadel.</w:t>
      </w:r>
    </w:p>
    <w:p w14:paraId="43B48C9B" w14:textId="77777777" w:rsidR="003B69B0" w:rsidRPr="00E67134" w:rsidRDefault="003B69B0" w:rsidP="003B69B0">
      <w:pPr>
        <w:pStyle w:val="Odstavecseseznamem"/>
        <w:numPr>
          <w:ilvl w:val="0"/>
          <w:numId w:val="4"/>
        </w:numPr>
        <w:spacing w:after="0" w:line="240" w:lineRule="auto"/>
        <w:jc w:val="both"/>
        <w:rPr>
          <w:rFonts w:ascii="Arial" w:hAnsi="Arial" w:cs="Arial"/>
          <w:sz w:val="18"/>
          <w:szCs w:val="18"/>
        </w:rPr>
      </w:pPr>
      <w:r w:rsidRPr="00E67134">
        <w:rPr>
          <w:rFonts w:ascii="Arial" w:hAnsi="Arial" w:cs="Arial"/>
          <w:sz w:val="18"/>
          <w:szCs w:val="18"/>
        </w:rPr>
        <w:t>Při využívání prostoru prádelny pro zázemí cateringu je nutné chránit podlahu kobercem, textilií nebo jinou ochrannou.</w:t>
      </w:r>
    </w:p>
    <w:p w14:paraId="0082E9EF" w14:textId="77777777" w:rsidR="003B69B0" w:rsidRPr="00E67134" w:rsidRDefault="003B69B0" w:rsidP="003B69B0">
      <w:pPr>
        <w:pStyle w:val="Odstavecseseznamem"/>
        <w:numPr>
          <w:ilvl w:val="0"/>
          <w:numId w:val="4"/>
        </w:numPr>
        <w:spacing w:after="240" w:line="240" w:lineRule="auto"/>
        <w:jc w:val="both"/>
        <w:rPr>
          <w:rFonts w:ascii="Arial" w:eastAsia="Times New Roman" w:hAnsi="Arial" w:cs="Arial"/>
          <w:sz w:val="18"/>
          <w:szCs w:val="18"/>
        </w:rPr>
      </w:pPr>
      <w:r w:rsidRPr="00E67134">
        <w:rPr>
          <w:rFonts w:ascii="Arial" w:eastAsia="Times New Roman" w:hAnsi="Arial" w:cs="Arial"/>
          <w:sz w:val="18"/>
          <w:szCs w:val="18"/>
        </w:rPr>
        <w:t>MuMB upozorňuje nájemce, že NKP Vila Tugendhat a v ní nacházející se předměty jsou autorskými díly podle autorského zákona, u nichž dosud neuplynula doba trvání majetkových autorských práv. Tyto předměty požívají ochrany uvedeným zákonem a nelze je, až na výjimky a omezení stanovené autorským zákonem, užít bez oprávnění (licence) poskytnuté autory nebo jejich dědici na základě smlouvy</w:t>
      </w:r>
    </w:p>
    <w:p w14:paraId="39551E36" w14:textId="77777777" w:rsidR="003B69B0" w:rsidRPr="00E67134" w:rsidRDefault="003B69B0" w:rsidP="003B69B0">
      <w:pPr>
        <w:pStyle w:val="Odstavecseseznamem"/>
        <w:numPr>
          <w:ilvl w:val="0"/>
          <w:numId w:val="4"/>
        </w:numPr>
        <w:shd w:val="clear" w:color="auto" w:fill="FFFFFF"/>
        <w:spacing w:after="0" w:line="240" w:lineRule="auto"/>
        <w:jc w:val="both"/>
        <w:rPr>
          <w:rFonts w:ascii="Arial" w:eastAsia="Times New Roman" w:hAnsi="Arial" w:cs="Arial"/>
          <w:sz w:val="18"/>
          <w:szCs w:val="18"/>
        </w:rPr>
      </w:pPr>
      <w:r w:rsidRPr="00E67134">
        <w:rPr>
          <w:rFonts w:ascii="Arial" w:eastAsia="Times New Roman" w:hAnsi="Arial" w:cs="Arial"/>
          <w:sz w:val="18"/>
          <w:szCs w:val="18"/>
        </w:rPr>
        <w:t xml:space="preserve">V celém areálu je zakázáno létání bezpilotních letadel (dronů, </w:t>
      </w:r>
      <w:proofErr w:type="spellStart"/>
      <w:r w:rsidRPr="00E67134">
        <w:rPr>
          <w:rFonts w:ascii="Arial" w:eastAsia="Times New Roman" w:hAnsi="Arial" w:cs="Arial"/>
          <w:sz w:val="18"/>
          <w:szCs w:val="18"/>
        </w:rPr>
        <w:t>multikoptér</w:t>
      </w:r>
      <w:proofErr w:type="spellEnd"/>
      <w:r w:rsidRPr="00E67134">
        <w:rPr>
          <w:rFonts w:ascii="Arial" w:eastAsia="Times New Roman" w:hAnsi="Arial" w:cs="Arial"/>
          <w:sz w:val="18"/>
          <w:szCs w:val="18"/>
        </w:rPr>
        <w:t xml:space="preserve"> aj.) a leteckých modelů bez předchozího písemného souhlasu vedoucí vily Tugendhat.</w:t>
      </w:r>
    </w:p>
    <w:p w14:paraId="1174D3C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49EDA6FA" w14:textId="77777777" w:rsidR="003B69B0" w:rsidRPr="00E67134" w:rsidRDefault="003B69B0" w:rsidP="003B69B0">
      <w:pPr>
        <w:pStyle w:val="Odstavecseseznamem"/>
        <w:shd w:val="clear" w:color="auto" w:fill="FFFFFF"/>
        <w:jc w:val="both"/>
        <w:rPr>
          <w:rFonts w:ascii="Arial" w:eastAsia="Times New Roman" w:hAnsi="Arial" w:cs="Arial"/>
          <w:sz w:val="18"/>
          <w:szCs w:val="18"/>
        </w:rPr>
      </w:pPr>
    </w:p>
    <w:p w14:paraId="3D2BA04F" w14:textId="77777777" w:rsidR="003B69B0" w:rsidRPr="00E67134" w:rsidRDefault="003B69B0" w:rsidP="003B69B0">
      <w:pPr>
        <w:jc w:val="both"/>
        <w:rPr>
          <w:rFonts w:ascii="Arial" w:hAnsi="Arial" w:cs="Arial"/>
          <w:sz w:val="18"/>
          <w:szCs w:val="18"/>
        </w:rPr>
      </w:pPr>
      <w:r w:rsidRPr="00E67134">
        <w:rPr>
          <w:rFonts w:ascii="Arial" w:hAnsi="Arial" w:cs="Arial"/>
          <w:sz w:val="18"/>
          <w:szCs w:val="18"/>
        </w:rPr>
        <w:t xml:space="preserve">Touto směrnicí se ruší Směrnice č 7/2015 ze dne 1. 11. 2008, aktualizovaná 1. 9. 2015. </w:t>
      </w:r>
    </w:p>
    <w:p w14:paraId="112AEF9C" w14:textId="77777777" w:rsidR="00265876" w:rsidRPr="00E67134" w:rsidRDefault="00265876" w:rsidP="003B69B0">
      <w:pPr>
        <w:rPr>
          <w:rFonts w:ascii="Arial" w:hAnsi="Arial" w:cs="Arial"/>
          <w:sz w:val="18"/>
          <w:szCs w:val="18"/>
        </w:rPr>
      </w:pPr>
    </w:p>
    <w:p w14:paraId="5422ADE1" w14:textId="77777777" w:rsidR="00265876" w:rsidRPr="00E67134" w:rsidRDefault="00265876" w:rsidP="003B69B0">
      <w:pPr>
        <w:rPr>
          <w:rFonts w:ascii="Arial" w:hAnsi="Arial" w:cs="Arial"/>
          <w:sz w:val="18"/>
          <w:szCs w:val="18"/>
        </w:rPr>
      </w:pPr>
    </w:p>
    <w:p w14:paraId="4DB1C838" w14:textId="373700B3"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385AFE29"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V Brně dne 25. 1. 2023 </w:t>
      </w:r>
    </w:p>
    <w:p w14:paraId="15D5415D" w14:textId="77777777" w:rsidR="003B69B0" w:rsidRPr="00E67134" w:rsidRDefault="003B69B0" w:rsidP="003B69B0">
      <w:pPr>
        <w:rPr>
          <w:rFonts w:ascii="Arial" w:hAnsi="Arial" w:cs="Arial"/>
          <w:sz w:val="18"/>
          <w:szCs w:val="18"/>
        </w:rPr>
      </w:pPr>
    </w:p>
    <w:p w14:paraId="313957CA" w14:textId="77777777" w:rsidR="003B69B0" w:rsidRPr="00E67134" w:rsidRDefault="003B69B0" w:rsidP="003B69B0">
      <w:pPr>
        <w:rPr>
          <w:rFonts w:ascii="Arial" w:hAnsi="Arial" w:cs="Arial"/>
          <w:sz w:val="18"/>
          <w:szCs w:val="18"/>
        </w:rPr>
      </w:pPr>
      <w:r w:rsidRPr="00E67134">
        <w:rPr>
          <w:rFonts w:ascii="Arial" w:hAnsi="Arial" w:cs="Arial"/>
          <w:sz w:val="18"/>
          <w:szCs w:val="18"/>
        </w:rPr>
        <w:t xml:space="preserve"> </w:t>
      </w:r>
    </w:p>
    <w:p w14:paraId="7FE9B366" w14:textId="77777777" w:rsidR="003B69B0" w:rsidRPr="00E67134" w:rsidRDefault="003B69B0" w:rsidP="003B69B0">
      <w:pPr>
        <w:rPr>
          <w:rFonts w:ascii="Arial" w:hAnsi="Arial" w:cs="Arial"/>
          <w:sz w:val="18"/>
          <w:szCs w:val="18"/>
        </w:rPr>
      </w:pPr>
    </w:p>
    <w:p w14:paraId="76CB16FC" w14:textId="683DB010" w:rsidR="00C0682D" w:rsidRPr="00E67134" w:rsidRDefault="00C0682D" w:rsidP="00C0682D">
      <w:pPr>
        <w:rPr>
          <w:sz w:val="18"/>
          <w:szCs w:val="18"/>
          <w:lang w:eastAsia="cs-CZ"/>
        </w:rPr>
      </w:pPr>
    </w:p>
    <w:p w14:paraId="21985305" w14:textId="77777777" w:rsidR="00C0682D" w:rsidRPr="00E67134" w:rsidRDefault="00C0682D" w:rsidP="00C0682D">
      <w:pPr>
        <w:rPr>
          <w:sz w:val="18"/>
          <w:szCs w:val="18"/>
          <w:lang w:eastAsia="cs-CZ"/>
        </w:rPr>
      </w:pPr>
    </w:p>
    <w:p w14:paraId="56DAFA2D" w14:textId="77777777" w:rsidR="00C0682D" w:rsidRPr="00E67134" w:rsidRDefault="00C0682D" w:rsidP="00C0682D">
      <w:pPr>
        <w:rPr>
          <w:rFonts w:ascii="Arial" w:hAnsi="Arial" w:cs="Arial"/>
          <w:sz w:val="18"/>
          <w:szCs w:val="18"/>
        </w:rPr>
      </w:pPr>
    </w:p>
    <w:p w14:paraId="29BC64A5" w14:textId="77777777" w:rsidR="00C0682D" w:rsidRPr="00E67134" w:rsidRDefault="00C0682D" w:rsidP="00C0682D">
      <w:pPr>
        <w:rPr>
          <w:rFonts w:ascii="Arial" w:eastAsia="Times New Roman" w:hAnsi="Arial" w:cs="Arial"/>
          <w:bCs/>
          <w:iCs/>
          <w:sz w:val="18"/>
          <w:szCs w:val="18"/>
        </w:rPr>
      </w:pP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hAnsi="Arial" w:cs="Arial"/>
          <w:sz w:val="18"/>
          <w:szCs w:val="18"/>
        </w:rPr>
        <w:tab/>
      </w:r>
      <w:r w:rsidRPr="00E67134">
        <w:rPr>
          <w:rFonts w:ascii="Arial" w:eastAsia="Times New Roman" w:hAnsi="Arial" w:cs="Arial"/>
          <w:bCs/>
          <w:iCs/>
          <w:sz w:val="18"/>
          <w:szCs w:val="18"/>
        </w:rPr>
        <w:t>Mgr. Zbyněk Šolc</w:t>
      </w:r>
    </w:p>
    <w:p w14:paraId="3B6DCEAE" w14:textId="77777777" w:rsidR="00C0682D" w:rsidRPr="00E67134" w:rsidRDefault="00C0682D" w:rsidP="00C0682D">
      <w:pPr>
        <w:ind w:left="150"/>
        <w:rPr>
          <w:rFonts w:ascii="Arial" w:eastAsia="Times New Roman" w:hAnsi="Arial" w:cs="Arial"/>
          <w:bCs/>
          <w:iCs/>
          <w:sz w:val="18"/>
          <w:szCs w:val="18"/>
        </w:rPr>
      </w:pP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r>
      <w:r w:rsidRPr="00E67134">
        <w:rPr>
          <w:rFonts w:ascii="Arial" w:eastAsia="Times New Roman" w:hAnsi="Arial" w:cs="Arial"/>
          <w:bCs/>
          <w:iCs/>
          <w:sz w:val="18"/>
          <w:szCs w:val="18"/>
        </w:rPr>
        <w:tab/>
        <w:t xml:space="preserve">ředitel </w:t>
      </w:r>
    </w:p>
    <w:p w14:paraId="7E9EC0A6" w14:textId="77777777" w:rsidR="00C0682D" w:rsidRPr="00392DE5" w:rsidRDefault="00C0682D" w:rsidP="00C0682D">
      <w:pPr>
        <w:rPr>
          <w:rFonts w:ascii="Arial" w:hAnsi="Arial" w:cs="Arial"/>
          <w:sz w:val="20"/>
          <w:szCs w:val="20"/>
        </w:rPr>
      </w:pPr>
    </w:p>
    <w:p w14:paraId="179872EE" w14:textId="7DD5249D" w:rsidR="00D504DD" w:rsidRPr="00C0682D" w:rsidRDefault="00D504DD" w:rsidP="00C0682D"/>
    <w:sectPr w:rsidR="00D504DD" w:rsidRPr="00C0682D" w:rsidSect="004947DD">
      <w:headerReference w:type="default" r:id="rId8"/>
      <w:footerReference w:type="even" r:id="rId9"/>
      <w:footerReference w:type="default" r:id="rId10"/>
      <w:pgSz w:w="11900" w:h="16840"/>
      <w:pgMar w:top="1418" w:right="2155" w:bottom="1418" w:left="2155" w:header="0" w:footer="1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619C" w14:textId="77777777" w:rsidR="00B111E8" w:rsidRDefault="00B111E8" w:rsidP="009D6181">
      <w:r>
        <w:separator/>
      </w:r>
    </w:p>
  </w:endnote>
  <w:endnote w:type="continuationSeparator" w:id="0">
    <w:p w14:paraId="7680A3EA" w14:textId="77777777" w:rsidR="00B111E8" w:rsidRDefault="00B111E8" w:rsidP="009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28400294"/>
      <w:docPartObj>
        <w:docPartGallery w:val="Page Numbers (Bottom of Page)"/>
        <w:docPartUnique/>
      </w:docPartObj>
    </w:sdtPr>
    <w:sdtEndPr>
      <w:rPr>
        <w:rStyle w:val="slostrnky"/>
      </w:rPr>
    </w:sdtEndPr>
    <w:sdtContent>
      <w:p w14:paraId="7DDB65EB" w14:textId="467F455C" w:rsidR="00186BA1" w:rsidRDefault="00186BA1" w:rsidP="009575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67702CB" w14:textId="77777777" w:rsidR="00A70220" w:rsidRDefault="00A70220" w:rsidP="00957530">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sz w:val="14"/>
        <w:szCs w:val="14"/>
      </w:rPr>
      <w:id w:val="-206491008"/>
      <w:docPartObj>
        <w:docPartGallery w:val="Page Numbers (Bottom of Page)"/>
        <w:docPartUnique/>
      </w:docPartObj>
    </w:sdtPr>
    <w:sdtEndPr>
      <w:rPr>
        <w:rStyle w:val="slostrnky"/>
      </w:rPr>
    </w:sdtEndPr>
    <w:sdtContent>
      <w:p w14:paraId="058782DC" w14:textId="48673058" w:rsidR="00957530" w:rsidRPr="00957530" w:rsidRDefault="00957530" w:rsidP="00D73A29">
        <w:pPr>
          <w:pStyle w:val="Zpat"/>
          <w:framePr w:wrap="none" w:vAnchor="text" w:hAnchor="page" w:x="11299" w:y="174"/>
          <w:rPr>
            <w:rStyle w:val="slostrnky"/>
            <w:rFonts w:ascii="Arial" w:hAnsi="Arial" w:cs="Arial"/>
            <w:sz w:val="14"/>
            <w:szCs w:val="14"/>
          </w:rPr>
        </w:pPr>
        <w:r w:rsidRPr="00957530">
          <w:rPr>
            <w:rStyle w:val="slostrnky"/>
            <w:rFonts w:ascii="Arial" w:hAnsi="Arial" w:cs="Arial"/>
            <w:sz w:val="14"/>
            <w:szCs w:val="14"/>
          </w:rPr>
          <w:fldChar w:fldCharType="begin"/>
        </w:r>
        <w:r w:rsidRPr="00957530">
          <w:rPr>
            <w:rStyle w:val="slostrnky"/>
            <w:rFonts w:ascii="Arial" w:hAnsi="Arial" w:cs="Arial"/>
            <w:sz w:val="14"/>
            <w:szCs w:val="14"/>
          </w:rPr>
          <w:instrText xml:space="preserve"> PAGE </w:instrText>
        </w:r>
        <w:r w:rsidRPr="00957530">
          <w:rPr>
            <w:rStyle w:val="slostrnky"/>
            <w:rFonts w:ascii="Arial" w:hAnsi="Arial" w:cs="Arial"/>
            <w:sz w:val="14"/>
            <w:szCs w:val="14"/>
          </w:rPr>
          <w:fldChar w:fldCharType="separate"/>
        </w:r>
        <w:r w:rsidRPr="00957530">
          <w:rPr>
            <w:rStyle w:val="slostrnky"/>
            <w:rFonts w:ascii="Arial" w:hAnsi="Arial" w:cs="Arial"/>
            <w:noProof/>
            <w:sz w:val="14"/>
            <w:szCs w:val="14"/>
          </w:rPr>
          <w:t>1</w:t>
        </w:r>
        <w:r w:rsidRPr="00957530">
          <w:rPr>
            <w:rStyle w:val="slostrnky"/>
            <w:rFonts w:ascii="Arial" w:hAnsi="Arial" w:cs="Arial"/>
            <w:sz w:val="14"/>
            <w:szCs w:val="14"/>
          </w:rPr>
          <w:fldChar w:fldCharType="end"/>
        </w:r>
      </w:p>
    </w:sdtContent>
  </w:sdt>
  <w:p w14:paraId="352C01D8" w14:textId="1F3DA5C9" w:rsidR="00A70220" w:rsidRDefault="00690465" w:rsidP="00957530">
    <w:pPr>
      <w:pStyle w:val="Zpat"/>
      <w:ind w:right="360" w:firstLine="360"/>
    </w:pPr>
    <w:r w:rsidRPr="00690465">
      <w:rPr>
        <w:noProof/>
      </w:rPr>
      <w:drawing>
        <wp:anchor distT="0" distB="0" distL="114300" distR="114300" simplePos="0" relativeHeight="251658240" behindDoc="1" locked="0" layoutInCell="1" allowOverlap="1" wp14:anchorId="1B0DC4C6" wp14:editId="7CB6115D">
          <wp:simplePos x="0" y="0"/>
          <wp:positionH relativeFrom="page">
            <wp:posOffset>360045</wp:posOffset>
          </wp:positionH>
          <wp:positionV relativeFrom="page">
            <wp:posOffset>9865360</wp:posOffset>
          </wp:positionV>
          <wp:extent cx="6872400" cy="4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72400" cy="47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11F0" w14:textId="77777777" w:rsidR="00B111E8" w:rsidRDefault="00B111E8" w:rsidP="009D6181">
      <w:r>
        <w:separator/>
      </w:r>
    </w:p>
  </w:footnote>
  <w:footnote w:type="continuationSeparator" w:id="0">
    <w:p w14:paraId="02F9139C" w14:textId="77777777" w:rsidR="00B111E8" w:rsidRDefault="00B111E8" w:rsidP="009D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4A60" w14:textId="1D749161" w:rsidR="009D6181" w:rsidRDefault="009D6181" w:rsidP="00AE687F">
    <w:pPr>
      <w:pStyle w:val="Zhlav"/>
      <w:ind w:left="-1077"/>
    </w:pPr>
  </w:p>
  <w:p w14:paraId="12F6A9E0" w14:textId="458F4137" w:rsidR="00860E38" w:rsidRPr="009D6181" w:rsidRDefault="00860E38" w:rsidP="00860E38">
    <w:pPr>
      <w:pStyle w:val="Zhlav"/>
    </w:pPr>
    <w:r>
      <w:tab/>
    </w:r>
    <w:r>
      <w:tab/>
      <w:t xml:space="preserve">   </w:t>
    </w:r>
    <w:r>
      <w:rPr>
        <w:rFonts w:ascii="Arial" w:hAnsi="Arial" w:cs="Arial"/>
        <w:b/>
        <w:bCs/>
        <w:color w:val="000000"/>
        <w:sz w:val="18"/>
        <w:szCs w:val="18"/>
        <w:shd w:val="clear" w:color="auto" w:fill="FFFFFF"/>
      </w:rPr>
      <w:t>MuMB-00118/2023/</w:t>
    </w:r>
    <w:proofErr w:type="spellStart"/>
    <w:r>
      <w:rPr>
        <w:rFonts w:ascii="Arial" w:hAnsi="Arial" w:cs="Arial"/>
        <w:b/>
        <w:bCs/>
        <w:color w:val="000000"/>
        <w:sz w:val="18"/>
        <w:szCs w:val="18"/>
        <w:shd w:val="clear" w:color="auto" w:fill="FFFFFF"/>
      </w:rPr>
      <w:t>VLa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3AB"/>
    <w:multiLevelType w:val="hybridMultilevel"/>
    <w:tmpl w:val="B1D4AF7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1" w15:restartNumberingAfterBreak="0">
    <w:nsid w:val="04BD649C"/>
    <w:multiLevelType w:val="hybridMultilevel"/>
    <w:tmpl w:val="A7D66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606D0"/>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57202743"/>
    <w:multiLevelType w:val="hybridMultilevel"/>
    <w:tmpl w:val="EA0C8F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EF6344"/>
    <w:multiLevelType w:val="hybridMultilevel"/>
    <w:tmpl w:val="5D5292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1"/>
    <w:rsid w:val="00044132"/>
    <w:rsid w:val="0017458D"/>
    <w:rsid w:val="00186BA1"/>
    <w:rsid w:val="00220950"/>
    <w:rsid w:val="002330D3"/>
    <w:rsid w:val="00265876"/>
    <w:rsid w:val="002769D5"/>
    <w:rsid w:val="002878D4"/>
    <w:rsid w:val="002B0A79"/>
    <w:rsid w:val="003B69B0"/>
    <w:rsid w:val="003F172F"/>
    <w:rsid w:val="004102BD"/>
    <w:rsid w:val="0041334F"/>
    <w:rsid w:val="004818D6"/>
    <w:rsid w:val="004947DD"/>
    <w:rsid w:val="00496527"/>
    <w:rsid w:val="00512ECE"/>
    <w:rsid w:val="00521F3F"/>
    <w:rsid w:val="005B6E1E"/>
    <w:rsid w:val="005F7C45"/>
    <w:rsid w:val="00637900"/>
    <w:rsid w:val="00681AAA"/>
    <w:rsid w:val="00690465"/>
    <w:rsid w:val="006D46BA"/>
    <w:rsid w:val="006E5412"/>
    <w:rsid w:val="00716B77"/>
    <w:rsid w:val="00792D01"/>
    <w:rsid w:val="007D5C3F"/>
    <w:rsid w:val="00851F00"/>
    <w:rsid w:val="008544CC"/>
    <w:rsid w:val="00860E38"/>
    <w:rsid w:val="008E19D1"/>
    <w:rsid w:val="009475FD"/>
    <w:rsid w:val="00957530"/>
    <w:rsid w:val="009B785F"/>
    <w:rsid w:val="009D6181"/>
    <w:rsid w:val="00A06A21"/>
    <w:rsid w:val="00A70220"/>
    <w:rsid w:val="00A9210F"/>
    <w:rsid w:val="00AB005C"/>
    <w:rsid w:val="00AD404D"/>
    <w:rsid w:val="00AE687F"/>
    <w:rsid w:val="00AE6E9C"/>
    <w:rsid w:val="00B111E8"/>
    <w:rsid w:val="00B619FB"/>
    <w:rsid w:val="00B82250"/>
    <w:rsid w:val="00B94EC6"/>
    <w:rsid w:val="00BB77B4"/>
    <w:rsid w:val="00C0682D"/>
    <w:rsid w:val="00C12B0F"/>
    <w:rsid w:val="00C54606"/>
    <w:rsid w:val="00CA4C74"/>
    <w:rsid w:val="00CB1E46"/>
    <w:rsid w:val="00D504DD"/>
    <w:rsid w:val="00D50F4F"/>
    <w:rsid w:val="00D73A29"/>
    <w:rsid w:val="00E67134"/>
    <w:rsid w:val="00EC7CE6"/>
    <w:rsid w:val="00F11C05"/>
    <w:rsid w:val="00FD1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1392"/>
  <w15:chartTrackingRefBased/>
  <w15:docId w15:val="{78FD327C-5EF9-0B44-8010-294F2C5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34F"/>
  </w:style>
  <w:style w:type="paragraph" w:styleId="Nadpis1">
    <w:name w:val="heading 1"/>
    <w:basedOn w:val="Normln"/>
    <w:next w:val="Normln"/>
    <w:link w:val="Nadpis1Char"/>
    <w:uiPriority w:val="9"/>
    <w:qFormat/>
    <w:rsid w:val="00C0682D"/>
    <w:pPr>
      <w:keepNext/>
      <w:keepLines/>
      <w:numPr>
        <w:numId w:val="1"/>
      </w:numPr>
      <w:spacing w:before="240" w:line="276" w:lineRule="auto"/>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semiHidden/>
    <w:unhideWhenUsed/>
    <w:qFormat/>
    <w:rsid w:val="00C0682D"/>
    <w:pPr>
      <w:keepNext/>
      <w:numPr>
        <w:ilvl w:val="1"/>
        <w:numId w:val="1"/>
      </w:numPr>
      <w:jc w:val="center"/>
      <w:outlineLvl w:val="1"/>
    </w:pPr>
    <w:rPr>
      <w:rFonts w:ascii="Times New Roman" w:eastAsia="Arial Unicode MS" w:hAnsi="Times New Roman" w:cs="Times New Roman"/>
      <w:b/>
      <w:bCs/>
      <w:i/>
      <w:iCs/>
      <w:u w:val="single"/>
      <w:lang w:eastAsia="cs-CZ"/>
    </w:rPr>
  </w:style>
  <w:style w:type="paragraph" w:styleId="Nadpis3">
    <w:name w:val="heading 3"/>
    <w:basedOn w:val="Normln"/>
    <w:next w:val="Normln"/>
    <w:link w:val="Nadpis3Char"/>
    <w:uiPriority w:val="9"/>
    <w:semiHidden/>
    <w:unhideWhenUsed/>
    <w:qFormat/>
    <w:rsid w:val="00C0682D"/>
    <w:pPr>
      <w:keepNext/>
      <w:keepLines/>
      <w:numPr>
        <w:ilvl w:val="2"/>
        <w:numId w:val="1"/>
      </w:numPr>
      <w:spacing w:before="40" w:line="276" w:lineRule="auto"/>
      <w:outlineLvl w:val="2"/>
    </w:pPr>
    <w:rPr>
      <w:rFonts w:asciiTheme="majorHAnsi" w:eastAsiaTheme="majorEastAsia" w:hAnsiTheme="majorHAnsi" w:cstheme="majorBidi"/>
      <w:color w:val="1F3763" w:themeColor="accent1" w:themeShade="7F"/>
      <w:lang w:eastAsia="cs-CZ"/>
    </w:rPr>
  </w:style>
  <w:style w:type="paragraph" w:styleId="Nadpis4">
    <w:name w:val="heading 4"/>
    <w:basedOn w:val="Normln"/>
    <w:next w:val="Normln"/>
    <w:link w:val="Nadpis4Char"/>
    <w:uiPriority w:val="9"/>
    <w:semiHidden/>
    <w:unhideWhenUsed/>
    <w:qFormat/>
    <w:rsid w:val="00C0682D"/>
    <w:pPr>
      <w:keepNext/>
      <w:keepLines/>
      <w:numPr>
        <w:ilvl w:val="3"/>
        <w:numId w:val="1"/>
      </w:numPr>
      <w:spacing w:before="40" w:line="276" w:lineRule="auto"/>
      <w:outlineLvl w:val="3"/>
    </w:pPr>
    <w:rPr>
      <w:rFonts w:asciiTheme="majorHAnsi" w:eastAsiaTheme="majorEastAsia" w:hAnsiTheme="majorHAnsi" w:cstheme="majorBidi"/>
      <w:i/>
      <w:iCs/>
      <w:color w:val="2F5496" w:themeColor="accent1" w:themeShade="BF"/>
      <w:sz w:val="22"/>
      <w:szCs w:val="22"/>
      <w:lang w:eastAsia="cs-CZ"/>
    </w:rPr>
  </w:style>
  <w:style w:type="paragraph" w:styleId="Nadpis5">
    <w:name w:val="heading 5"/>
    <w:basedOn w:val="Normln"/>
    <w:next w:val="Normln"/>
    <w:link w:val="Nadpis5Char"/>
    <w:uiPriority w:val="9"/>
    <w:unhideWhenUsed/>
    <w:qFormat/>
    <w:rsid w:val="00C0682D"/>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lang w:eastAsia="cs-CZ"/>
    </w:rPr>
  </w:style>
  <w:style w:type="paragraph" w:styleId="Nadpis6">
    <w:name w:val="heading 6"/>
    <w:basedOn w:val="Normln"/>
    <w:next w:val="Normln"/>
    <w:link w:val="Nadpis6Char"/>
    <w:semiHidden/>
    <w:unhideWhenUsed/>
    <w:qFormat/>
    <w:rsid w:val="00C0682D"/>
    <w:pPr>
      <w:keepNext/>
      <w:numPr>
        <w:ilvl w:val="5"/>
        <w:numId w:val="1"/>
      </w:numPr>
      <w:jc w:val="center"/>
      <w:outlineLvl w:val="5"/>
    </w:pPr>
    <w:rPr>
      <w:rFonts w:ascii="Times New Roman" w:eastAsia="Arial Unicode MS" w:hAnsi="Times New Roman" w:cs="Times New Roman"/>
      <w:b/>
      <w:bCs/>
      <w:lang w:eastAsia="cs-CZ"/>
    </w:rPr>
  </w:style>
  <w:style w:type="paragraph" w:styleId="Nadpis7">
    <w:name w:val="heading 7"/>
    <w:basedOn w:val="Normln"/>
    <w:next w:val="Normln"/>
    <w:link w:val="Nadpis7Char"/>
    <w:uiPriority w:val="9"/>
    <w:semiHidden/>
    <w:unhideWhenUsed/>
    <w:qFormat/>
    <w:rsid w:val="00C0682D"/>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eastAsia="cs-CZ"/>
    </w:rPr>
  </w:style>
  <w:style w:type="paragraph" w:styleId="Nadpis8">
    <w:name w:val="heading 8"/>
    <w:basedOn w:val="Normln"/>
    <w:next w:val="Normln"/>
    <w:link w:val="Nadpis8Char"/>
    <w:uiPriority w:val="9"/>
    <w:semiHidden/>
    <w:unhideWhenUsed/>
    <w:qFormat/>
    <w:rsid w:val="00C0682D"/>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C0682D"/>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181"/>
    <w:pPr>
      <w:tabs>
        <w:tab w:val="center" w:pos="4536"/>
        <w:tab w:val="right" w:pos="9072"/>
      </w:tabs>
    </w:pPr>
  </w:style>
  <w:style w:type="character" w:customStyle="1" w:styleId="ZhlavChar">
    <w:name w:val="Záhlaví Char"/>
    <w:basedOn w:val="Standardnpsmoodstavce"/>
    <w:link w:val="Zhlav"/>
    <w:uiPriority w:val="99"/>
    <w:rsid w:val="009D6181"/>
  </w:style>
  <w:style w:type="paragraph" w:styleId="Zpat">
    <w:name w:val="footer"/>
    <w:basedOn w:val="Normln"/>
    <w:link w:val="ZpatChar"/>
    <w:uiPriority w:val="99"/>
    <w:unhideWhenUsed/>
    <w:rsid w:val="009D6181"/>
    <w:pPr>
      <w:tabs>
        <w:tab w:val="center" w:pos="4536"/>
        <w:tab w:val="right" w:pos="9072"/>
      </w:tabs>
    </w:pPr>
  </w:style>
  <w:style w:type="character" w:customStyle="1" w:styleId="ZpatChar">
    <w:name w:val="Zápatí Char"/>
    <w:basedOn w:val="Standardnpsmoodstavce"/>
    <w:link w:val="Zpat"/>
    <w:uiPriority w:val="99"/>
    <w:rsid w:val="009D6181"/>
  </w:style>
  <w:style w:type="character" w:styleId="slostrnky">
    <w:name w:val="page number"/>
    <w:basedOn w:val="Standardnpsmoodstavce"/>
    <w:uiPriority w:val="99"/>
    <w:semiHidden/>
    <w:unhideWhenUsed/>
    <w:rsid w:val="00186BA1"/>
  </w:style>
  <w:style w:type="paragraph" w:customStyle="1" w:styleId="BasicParagraph">
    <w:name w:val="[Basic Paragraph]"/>
    <w:basedOn w:val="Normln"/>
    <w:uiPriority w:val="99"/>
    <w:rsid w:val="004947DD"/>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Nadpis1Char">
    <w:name w:val="Nadpis 1 Char"/>
    <w:basedOn w:val="Standardnpsmoodstavce"/>
    <w:link w:val="Nadpis1"/>
    <w:uiPriority w:val="9"/>
    <w:rsid w:val="00C0682D"/>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semiHidden/>
    <w:rsid w:val="00C0682D"/>
    <w:rPr>
      <w:rFonts w:ascii="Times New Roman" w:eastAsia="Arial Unicode MS" w:hAnsi="Times New Roman" w:cs="Times New Roman"/>
      <w:b/>
      <w:bCs/>
      <w:i/>
      <w:iCs/>
      <w:u w:val="single"/>
      <w:lang w:eastAsia="cs-CZ"/>
    </w:rPr>
  </w:style>
  <w:style w:type="character" w:customStyle="1" w:styleId="Nadpis3Char">
    <w:name w:val="Nadpis 3 Char"/>
    <w:basedOn w:val="Standardnpsmoodstavce"/>
    <w:link w:val="Nadpis3"/>
    <w:uiPriority w:val="9"/>
    <w:semiHidden/>
    <w:rsid w:val="00C0682D"/>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C0682D"/>
    <w:rPr>
      <w:rFonts w:asciiTheme="majorHAnsi" w:eastAsiaTheme="majorEastAsia" w:hAnsiTheme="majorHAnsi" w:cstheme="majorBidi"/>
      <w:i/>
      <w:iCs/>
      <w:color w:val="2F5496" w:themeColor="accent1" w:themeShade="BF"/>
      <w:sz w:val="22"/>
      <w:szCs w:val="22"/>
      <w:lang w:eastAsia="cs-CZ"/>
    </w:rPr>
  </w:style>
  <w:style w:type="character" w:customStyle="1" w:styleId="Nadpis5Char">
    <w:name w:val="Nadpis 5 Char"/>
    <w:basedOn w:val="Standardnpsmoodstavce"/>
    <w:link w:val="Nadpis5"/>
    <w:uiPriority w:val="9"/>
    <w:rsid w:val="00C0682D"/>
    <w:rPr>
      <w:rFonts w:asciiTheme="majorHAnsi" w:eastAsiaTheme="majorEastAsia" w:hAnsiTheme="majorHAnsi" w:cstheme="majorBidi"/>
      <w:color w:val="1F3763" w:themeColor="accent1" w:themeShade="7F"/>
      <w:sz w:val="22"/>
      <w:szCs w:val="22"/>
      <w:lang w:eastAsia="cs-CZ"/>
    </w:rPr>
  </w:style>
  <w:style w:type="character" w:customStyle="1" w:styleId="Nadpis6Char">
    <w:name w:val="Nadpis 6 Char"/>
    <w:basedOn w:val="Standardnpsmoodstavce"/>
    <w:link w:val="Nadpis6"/>
    <w:semiHidden/>
    <w:rsid w:val="00C0682D"/>
    <w:rPr>
      <w:rFonts w:ascii="Times New Roman" w:eastAsia="Arial Unicode MS" w:hAnsi="Times New Roman" w:cs="Times New Roman"/>
      <w:b/>
      <w:bCs/>
      <w:lang w:eastAsia="cs-CZ"/>
    </w:rPr>
  </w:style>
  <w:style w:type="character" w:customStyle="1" w:styleId="Nadpis7Char">
    <w:name w:val="Nadpis 7 Char"/>
    <w:basedOn w:val="Standardnpsmoodstavce"/>
    <w:link w:val="Nadpis7"/>
    <w:uiPriority w:val="9"/>
    <w:semiHidden/>
    <w:rsid w:val="00C0682D"/>
    <w:rPr>
      <w:rFonts w:asciiTheme="majorHAnsi" w:eastAsiaTheme="majorEastAsia" w:hAnsiTheme="majorHAnsi" w:cstheme="majorBidi"/>
      <w:i/>
      <w:iCs/>
      <w:color w:val="1F3763" w:themeColor="accent1" w:themeShade="7F"/>
      <w:sz w:val="22"/>
      <w:szCs w:val="22"/>
      <w:lang w:eastAsia="cs-CZ"/>
    </w:rPr>
  </w:style>
  <w:style w:type="character" w:customStyle="1" w:styleId="Nadpis8Char">
    <w:name w:val="Nadpis 8 Char"/>
    <w:basedOn w:val="Standardnpsmoodstavce"/>
    <w:link w:val="Nadpis8"/>
    <w:uiPriority w:val="9"/>
    <w:semiHidden/>
    <w:rsid w:val="00C0682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C0682D"/>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basedOn w:val="Normln"/>
    <w:uiPriority w:val="34"/>
    <w:qFormat/>
    <w:rsid w:val="00C0682D"/>
    <w:pPr>
      <w:spacing w:after="200" w:line="276" w:lineRule="auto"/>
      <w:ind w:left="720"/>
      <w:contextualSpacing/>
    </w:pPr>
    <w:rPr>
      <w:rFonts w:eastAsiaTheme="minorEastAsia"/>
      <w:sz w:val="22"/>
      <w:szCs w:val="22"/>
      <w:lang w:eastAsia="cs-CZ"/>
    </w:rPr>
  </w:style>
  <w:style w:type="paragraph" w:styleId="Normlnweb">
    <w:name w:val="Normal (Web)"/>
    <w:basedOn w:val="Normln"/>
    <w:uiPriority w:val="99"/>
    <w:unhideWhenUsed/>
    <w:rsid w:val="00C0682D"/>
    <w:pPr>
      <w:ind w:left="150" w:right="150"/>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66015608F8384F9B77912C6823B3ED" ma:contentTypeVersion="10" ma:contentTypeDescription="Vytvoří nový dokument" ma:contentTypeScope="" ma:versionID="80b42dfb1ba2f0056284691d17faad7a">
  <xsd:schema xmlns:xsd="http://www.w3.org/2001/XMLSchema" xmlns:xs="http://www.w3.org/2001/XMLSchema" xmlns:p="http://schemas.microsoft.com/office/2006/metadata/properties" xmlns:ns2="25484431-97ea-43e1-b201-e0181b449d9f" xmlns:ns3="a10f63b3-bbc4-4416-9061-57d13cc559c3" targetNamespace="http://schemas.microsoft.com/office/2006/metadata/properties" ma:root="true" ma:fieldsID="69705fb04f44cc6c43686e58d70dd1d8" ns2:_="" ns3:_="">
    <xsd:import namespace="25484431-97ea-43e1-b201-e0181b449d9f"/>
    <xsd:import namespace="a10f63b3-bbc4-4416-9061-57d13cc559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84431-97ea-43e1-b201-e0181b44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c4c76b23-9780-4f31-9b85-83e2dea942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0f63b3-bbc4-4416-9061-57d13cc559c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e1ad68-25cc-4bd9-a488-80a9b8f10fe0}" ma:internalName="TaxCatchAll" ma:showField="CatchAllData" ma:web="a10f63b3-bbc4-4416-9061-57d13cc55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0f63b3-bbc4-4416-9061-57d13cc559c3" xsi:nil="true"/>
    <lcf76f155ced4ddcb4097134ff3c332f xmlns="25484431-97ea-43e1-b201-e0181b449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7AE19B-F6B6-F647-BD72-6A16C338C3D9}">
  <ds:schemaRefs>
    <ds:schemaRef ds:uri="http://schemas.openxmlformats.org/officeDocument/2006/bibliography"/>
  </ds:schemaRefs>
</ds:datastoreItem>
</file>

<file path=customXml/itemProps2.xml><?xml version="1.0" encoding="utf-8"?>
<ds:datastoreItem xmlns:ds="http://schemas.openxmlformats.org/officeDocument/2006/customXml" ds:itemID="{1202C2FF-F6A9-49DE-A33A-6DDC9C80F6CE}"/>
</file>

<file path=customXml/itemProps3.xml><?xml version="1.0" encoding="utf-8"?>
<ds:datastoreItem xmlns:ds="http://schemas.openxmlformats.org/officeDocument/2006/customXml" ds:itemID="{2C6FAC87-8B09-4E79-A657-10A363E5C756}"/>
</file>

<file path=customXml/itemProps4.xml><?xml version="1.0" encoding="utf-8"?>
<ds:datastoreItem xmlns:ds="http://schemas.openxmlformats.org/officeDocument/2006/customXml" ds:itemID="{496A9686-55C5-4D37-B5AB-9F4F9078351F}"/>
</file>

<file path=docProps/app.xml><?xml version="1.0" encoding="utf-8"?>
<Properties xmlns="http://schemas.openxmlformats.org/officeDocument/2006/extended-properties" xmlns:vt="http://schemas.openxmlformats.org/officeDocument/2006/docPropsVTypes">
  <Template>Normal</Template>
  <TotalTime>5</TotalTime>
  <Pages>2</Pages>
  <Words>1044</Words>
  <Characters>6166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Lavingrová, Veronika</cp:lastModifiedBy>
  <cp:revision>9</cp:revision>
  <cp:lastPrinted>2022-11-01T08:20:00Z</cp:lastPrinted>
  <dcterms:created xsi:type="dcterms:W3CDTF">2023-01-24T13:59:00Z</dcterms:created>
  <dcterms:modified xsi:type="dcterms:W3CDTF">2023-01-24T15:20:00Z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0x0101007C66015608F8384F9B77912C6823B3ED</vt:lpwstr>
  </property>
</Properties>
</file>