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FF92D" w14:textId="6316BEE8" w:rsidR="002D32FC" w:rsidRPr="005017AA" w:rsidRDefault="0042126F" w:rsidP="00496CB3">
      <w:pPr>
        <w:pStyle w:val="0Nzevsmlouvy-nejvyssi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Dodatek č. 1 ke s</w:t>
      </w:r>
      <w:r w:rsidR="008D28B8" w:rsidRPr="005017AA">
        <w:rPr>
          <w:rFonts w:asciiTheme="majorHAnsi" w:hAnsiTheme="majorHAnsi" w:cstheme="majorHAnsi"/>
        </w:rPr>
        <w:t>mlouv</w:t>
      </w:r>
      <w:r>
        <w:rPr>
          <w:rFonts w:asciiTheme="majorHAnsi" w:hAnsiTheme="majorHAnsi" w:cstheme="majorHAnsi"/>
        </w:rPr>
        <w:t>ě</w:t>
      </w:r>
      <w:r w:rsidR="008D28B8" w:rsidRPr="005017AA">
        <w:rPr>
          <w:rFonts w:asciiTheme="majorHAnsi" w:hAnsiTheme="majorHAnsi" w:cstheme="majorHAnsi"/>
        </w:rPr>
        <w:t xml:space="preserve"> o dílo</w:t>
      </w:r>
      <w:r>
        <w:rPr>
          <w:rFonts w:asciiTheme="majorHAnsi" w:hAnsiTheme="majorHAnsi" w:cstheme="majorHAnsi"/>
        </w:rPr>
        <w:t xml:space="preserve"> č. SML/0449/24</w:t>
      </w:r>
    </w:p>
    <w:p w14:paraId="34E6FB94" w14:textId="77777777" w:rsidR="002D32FC" w:rsidRPr="005017AA" w:rsidRDefault="002D32FC" w:rsidP="00AB6B3C">
      <w:pPr>
        <w:pStyle w:val="text"/>
        <w:jc w:val="center"/>
        <w:rPr>
          <w:rFonts w:asciiTheme="majorHAnsi" w:hAnsiTheme="majorHAnsi" w:cstheme="majorHAnsi"/>
        </w:rPr>
      </w:pPr>
      <w:r w:rsidRPr="005017AA">
        <w:rPr>
          <w:rFonts w:asciiTheme="majorHAnsi" w:hAnsiTheme="majorHAnsi" w:cstheme="majorHAnsi"/>
        </w:rPr>
        <w:t>(dále jen „</w:t>
      </w:r>
      <w:r w:rsidR="0020709F" w:rsidRPr="005017AA">
        <w:rPr>
          <w:rFonts w:asciiTheme="majorHAnsi" w:hAnsiTheme="majorHAnsi" w:cstheme="majorHAnsi"/>
        </w:rPr>
        <w:t>s</w:t>
      </w:r>
      <w:r w:rsidRPr="005017AA">
        <w:rPr>
          <w:rFonts w:asciiTheme="majorHAnsi" w:hAnsiTheme="majorHAnsi" w:cstheme="majorHAnsi"/>
        </w:rPr>
        <w:t>mlouva“)</w:t>
      </w:r>
    </w:p>
    <w:p w14:paraId="00272342" w14:textId="3FE73F9E" w:rsidR="002D32FC" w:rsidRPr="005017AA" w:rsidRDefault="002D32FC" w:rsidP="00AB6B3C">
      <w:pPr>
        <w:pStyle w:val="text"/>
        <w:rPr>
          <w:rFonts w:asciiTheme="majorHAnsi" w:hAnsiTheme="majorHAnsi" w:cstheme="majorHAnsi"/>
        </w:rPr>
      </w:pPr>
      <w:r w:rsidRPr="005017AA">
        <w:rPr>
          <w:rFonts w:asciiTheme="majorHAnsi" w:hAnsiTheme="majorHAnsi" w:cstheme="majorHAnsi"/>
        </w:rPr>
        <w:t xml:space="preserve">číslo </w:t>
      </w:r>
      <w:r w:rsidR="0042126F">
        <w:rPr>
          <w:rFonts w:asciiTheme="majorHAnsi" w:hAnsiTheme="majorHAnsi" w:cstheme="majorHAnsi"/>
        </w:rPr>
        <w:t>dodatku</w:t>
      </w:r>
      <w:r w:rsidRPr="005017AA">
        <w:rPr>
          <w:rFonts w:asciiTheme="majorHAnsi" w:hAnsiTheme="majorHAnsi" w:cstheme="majorHAnsi"/>
        </w:rPr>
        <w:t xml:space="preserve"> Brněnské vodárny a kanalizace, a.s.:  </w:t>
      </w:r>
      <w:r w:rsidR="003D1EFA" w:rsidRPr="005017AA">
        <w:rPr>
          <w:rFonts w:asciiTheme="majorHAnsi" w:hAnsiTheme="majorHAnsi" w:cstheme="majorHAnsi"/>
        </w:rPr>
        <w:t>SML/</w:t>
      </w:r>
      <w:r w:rsidR="00666EF7" w:rsidRPr="005017AA">
        <w:rPr>
          <w:rFonts w:asciiTheme="majorHAnsi" w:hAnsiTheme="majorHAnsi" w:cstheme="majorHAnsi"/>
        </w:rPr>
        <w:t>0</w:t>
      </w:r>
      <w:r w:rsidR="00200609" w:rsidRPr="005017AA">
        <w:rPr>
          <w:rFonts w:asciiTheme="majorHAnsi" w:hAnsiTheme="majorHAnsi" w:cstheme="majorHAnsi"/>
        </w:rPr>
        <w:t>449</w:t>
      </w:r>
      <w:r w:rsidR="00666EF7" w:rsidRPr="005017AA">
        <w:rPr>
          <w:rFonts w:asciiTheme="majorHAnsi" w:hAnsiTheme="majorHAnsi" w:cstheme="majorHAnsi"/>
        </w:rPr>
        <w:t>/24</w:t>
      </w:r>
      <w:r w:rsidR="0042126F">
        <w:rPr>
          <w:rFonts w:asciiTheme="majorHAnsi" w:hAnsiTheme="majorHAnsi" w:cstheme="majorHAnsi"/>
        </w:rPr>
        <w:t>-1</w:t>
      </w:r>
    </w:p>
    <w:p w14:paraId="78805DE2" w14:textId="4C778C37" w:rsidR="002D32FC" w:rsidRPr="005017AA" w:rsidRDefault="002D32FC" w:rsidP="00A7740F">
      <w:pPr>
        <w:pStyle w:val="text"/>
        <w:rPr>
          <w:rFonts w:asciiTheme="majorHAnsi" w:hAnsiTheme="majorHAnsi" w:cstheme="majorHAnsi"/>
        </w:rPr>
      </w:pPr>
      <w:r w:rsidRPr="005017AA">
        <w:rPr>
          <w:rFonts w:asciiTheme="majorHAnsi" w:hAnsiTheme="majorHAnsi" w:cstheme="majorHAnsi"/>
        </w:rPr>
        <w:t>uzavřen</w:t>
      </w:r>
      <w:r w:rsidR="0042126F">
        <w:rPr>
          <w:rFonts w:asciiTheme="majorHAnsi" w:hAnsiTheme="majorHAnsi" w:cstheme="majorHAnsi"/>
        </w:rPr>
        <w:t>ý</w:t>
      </w:r>
      <w:r w:rsidRPr="005017AA">
        <w:rPr>
          <w:rFonts w:asciiTheme="majorHAnsi" w:hAnsiTheme="majorHAnsi" w:cstheme="majorHAnsi"/>
        </w:rPr>
        <w:t xml:space="preserve"> podle ustanovení § </w:t>
      </w:r>
      <w:r w:rsidR="008D28B8" w:rsidRPr="005017AA">
        <w:rPr>
          <w:rFonts w:asciiTheme="majorHAnsi" w:hAnsiTheme="majorHAnsi" w:cstheme="majorHAnsi"/>
        </w:rPr>
        <w:t>2586</w:t>
      </w:r>
      <w:r w:rsidRPr="005017AA">
        <w:rPr>
          <w:rFonts w:asciiTheme="majorHAnsi" w:hAnsiTheme="majorHAnsi" w:cstheme="majorHAnsi"/>
        </w:rPr>
        <w:t xml:space="preserve"> a následujících zákona č. 89/2012 Sb., občanský zákoník, ve znění pozdějších předpisů, následovně:</w:t>
      </w:r>
    </w:p>
    <w:p w14:paraId="1CD2E022" w14:textId="77777777" w:rsidR="00046A2A" w:rsidRPr="005017AA" w:rsidRDefault="00046A2A" w:rsidP="00A7740F">
      <w:pPr>
        <w:pStyle w:val="text"/>
        <w:rPr>
          <w:rFonts w:asciiTheme="majorHAnsi" w:hAnsiTheme="majorHAnsi" w:cstheme="majorHAnsi"/>
        </w:rPr>
      </w:pPr>
    </w:p>
    <w:p w14:paraId="6F9EAF2C" w14:textId="548E0AC5" w:rsidR="002D32FC" w:rsidRPr="005017AA" w:rsidRDefault="002D32FC" w:rsidP="00071F42">
      <w:pPr>
        <w:pStyle w:val="11uroven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5017AA">
        <w:rPr>
          <w:rFonts w:asciiTheme="majorHAnsi" w:hAnsiTheme="majorHAnsi" w:cstheme="majorHAnsi"/>
        </w:rPr>
        <w:t>Smluvní strany</w:t>
      </w:r>
    </w:p>
    <w:p w14:paraId="684002C1" w14:textId="77777777" w:rsidR="00073208" w:rsidRPr="005017AA" w:rsidRDefault="00073208" w:rsidP="00073208">
      <w:pPr>
        <w:pStyle w:val="22uroven"/>
        <w:numPr>
          <w:ilvl w:val="0"/>
          <w:numId w:val="0"/>
        </w:numPr>
        <w:ind w:left="705" w:hanging="705"/>
      </w:pPr>
    </w:p>
    <w:p w14:paraId="29926E1A" w14:textId="77777777" w:rsidR="002D32FC" w:rsidRPr="005017AA" w:rsidRDefault="008D28B8" w:rsidP="009B471E">
      <w:pPr>
        <w:pStyle w:val="22uroven"/>
        <w:numPr>
          <w:ilvl w:val="0"/>
          <w:numId w:val="0"/>
        </w:numPr>
        <w:ind w:left="705"/>
        <w:rPr>
          <w:rFonts w:asciiTheme="majorHAnsi" w:hAnsiTheme="majorHAnsi" w:cstheme="majorHAnsi"/>
          <w:b/>
        </w:rPr>
      </w:pPr>
      <w:r w:rsidRPr="005017AA">
        <w:rPr>
          <w:rFonts w:asciiTheme="majorHAnsi" w:hAnsiTheme="majorHAnsi" w:cstheme="majorHAnsi"/>
          <w:b/>
        </w:rPr>
        <w:t>Objednatel</w:t>
      </w:r>
      <w:r w:rsidR="002D32FC" w:rsidRPr="005017AA">
        <w:rPr>
          <w:rFonts w:asciiTheme="majorHAnsi" w:hAnsiTheme="majorHAnsi" w:cstheme="majorHAnsi"/>
          <w:b/>
        </w:rPr>
        <w:t>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2D32FC" w:rsidRPr="005017AA" w14:paraId="2ABCA688" w14:textId="77777777" w:rsidTr="00666EF7">
        <w:trPr>
          <w:trHeight w:val="57"/>
        </w:trPr>
        <w:tc>
          <w:tcPr>
            <w:tcW w:w="1121" w:type="dxa"/>
            <w:shd w:val="clear" w:color="auto" w:fill="auto"/>
          </w:tcPr>
          <w:p w14:paraId="7196B25C" w14:textId="77777777" w:rsidR="002D32FC" w:rsidRPr="005017AA" w:rsidRDefault="002D32FC" w:rsidP="00086D87">
            <w:pPr>
              <w:pStyle w:val="tex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17" w:type="dxa"/>
            <w:shd w:val="clear" w:color="auto" w:fill="auto"/>
          </w:tcPr>
          <w:p w14:paraId="3D45683C" w14:textId="77777777" w:rsidR="002D32FC" w:rsidRPr="005017AA" w:rsidRDefault="002D32FC" w:rsidP="00086D87">
            <w:pPr>
              <w:pStyle w:val="text"/>
              <w:rPr>
                <w:rFonts w:asciiTheme="majorHAnsi" w:hAnsiTheme="majorHAnsi" w:cstheme="majorHAnsi"/>
                <w:b/>
              </w:rPr>
            </w:pPr>
            <w:r w:rsidRPr="005017AA">
              <w:rPr>
                <w:rFonts w:asciiTheme="majorHAnsi" w:hAnsiTheme="majorHAnsi" w:cstheme="majorHAnsi"/>
                <w:b/>
              </w:rPr>
              <w:t>Brněnské vodárny a kanalizace, a.s.</w:t>
            </w:r>
          </w:p>
        </w:tc>
      </w:tr>
      <w:tr w:rsidR="002D32FC" w:rsidRPr="005017AA" w14:paraId="6F598470" w14:textId="77777777" w:rsidTr="00666EF7">
        <w:trPr>
          <w:trHeight w:val="57"/>
        </w:trPr>
        <w:tc>
          <w:tcPr>
            <w:tcW w:w="1121" w:type="dxa"/>
            <w:shd w:val="clear" w:color="auto" w:fill="auto"/>
          </w:tcPr>
          <w:p w14:paraId="224D75FE" w14:textId="77777777" w:rsidR="002D32FC" w:rsidRPr="005017AA" w:rsidRDefault="002D32FC" w:rsidP="00086D87">
            <w:pPr>
              <w:pStyle w:val="text"/>
              <w:rPr>
                <w:rFonts w:asciiTheme="majorHAnsi" w:hAnsiTheme="majorHAnsi" w:cstheme="majorHAnsi"/>
              </w:rPr>
            </w:pPr>
            <w:r w:rsidRPr="005017AA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417" w:type="dxa"/>
            <w:shd w:val="clear" w:color="auto" w:fill="auto"/>
          </w:tcPr>
          <w:p w14:paraId="10B448CC" w14:textId="77777777" w:rsidR="002D32FC" w:rsidRPr="005017AA" w:rsidRDefault="002D32FC" w:rsidP="00086D87">
            <w:pPr>
              <w:pStyle w:val="text"/>
              <w:rPr>
                <w:rFonts w:asciiTheme="majorHAnsi" w:hAnsiTheme="majorHAnsi" w:cstheme="majorHAnsi"/>
              </w:rPr>
            </w:pPr>
            <w:r w:rsidRPr="005017AA">
              <w:rPr>
                <w:rFonts w:asciiTheme="majorHAnsi" w:hAnsiTheme="majorHAnsi" w:cstheme="majorHAnsi"/>
              </w:rPr>
              <w:t>Pisárecká 555/1a, Pisárky, 603 00 Brno</w:t>
            </w:r>
          </w:p>
        </w:tc>
      </w:tr>
      <w:tr w:rsidR="002D32FC" w:rsidRPr="005017AA" w14:paraId="5BC17E60" w14:textId="77777777" w:rsidTr="00666EF7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14:paraId="583A9DB8" w14:textId="77777777" w:rsidR="002D32FC" w:rsidRPr="005017AA" w:rsidRDefault="002D32FC" w:rsidP="00E77BA3">
            <w:pPr>
              <w:pStyle w:val="text"/>
              <w:rPr>
                <w:rFonts w:asciiTheme="majorHAnsi" w:hAnsiTheme="majorHAnsi" w:cstheme="majorHAnsi"/>
              </w:rPr>
            </w:pPr>
            <w:r w:rsidRPr="005017AA">
              <w:rPr>
                <w:rFonts w:asciiTheme="majorHAnsi" w:hAnsiTheme="majorHAnsi" w:cstheme="majorHAnsi"/>
              </w:rPr>
              <w:t>Subjekt je zapsán v OR u Krajského soudu v Brně, spisová značka B 783</w:t>
            </w:r>
          </w:p>
        </w:tc>
      </w:tr>
      <w:tr w:rsidR="002D32FC" w:rsidRPr="005017AA" w14:paraId="76B69789" w14:textId="77777777" w:rsidTr="00666EF7">
        <w:trPr>
          <w:trHeight w:val="57"/>
        </w:trPr>
        <w:tc>
          <w:tcPr>
            <w:tcW w:w="1121" w:type="dxa"/>
            <w:shd w:val="clear" w:color="auto" w:fill="auto"/>
          </w:tcPr>
          <w:p w14:paraId="2919FD3F" w14:textId="77777777" w:rsidR="002D32FC" w:rsidRPr="005017AA" w:rsidRDefault="002D32FC" w:rsidP="00086D87">
            <w:pPr>
              <w:pStyle w:val="text"/>
              <w:rPr>
                <w:rFonts w:asciiTheme="majorHAnsi" w:hAnsiTheme="majorHAnsi" w:cstheme="majorHAnsi"/>
              </w:rPr>
            </w:pPr>
            <w:r w:rsidRPr="005017AA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417" w:type="dxa"/>
            <w:shd w:val="clear" w:color="auto" w:fill="auto"/>
          </w:tcPr>
          <w:p w14:paraId="65152197" w14:textId="77777777" w:rsidR="002D32FC" w:rsidRPr="005017AA" w:rsidRDefault="002D32FC" w:rsidP="00086D87">
            <w:pPr>
              <w:pStyle w:val="text"/>
              <w:rPr>
                <w:rFonts w:asciiTheme="majorHAnsi" w:hAnsiTheme="majorHAnsi" w:cstheme="majorHAnsi"/>
              </w:rPr>
            </w:pPr>
            <w:r w:rsidRPr="005017AA">
              <w:rPr>
                <w:rFonts w:asciiTheme="majorHAnsi" w:hAnsiTheme="majorHAnsi" w:cstheme="majorHAnsi"/>
              </w:rPr>
              <w:t>46347275</w:t>
            </w:r>
          </w:p>
        </w:tc>
      </w:tr>
      <w:tr w:rsidR="002D32FC" w:rsidRPr="005017AA" w14:paraId="2EAAA820" w14:textId="77777777" w:rsidTr="00666EF7">
        <w:trPr>
          <w:trHeight w:val="57"/>
        </w:trPr>
        <w:tc>
          <w:tcPr>
            <w:tcW w:w="1121" w:type="dxa"/>
            <w:shd w:val="clear" w:color="auto" w:fill="auto"/>
          </w:tcPr>
          <w:p w14:paraId="55E0625F" w14:textId="77777777" w:rsidR="002D32FC" w:rsidRPr="005017AA" w:rsidRDefault="002D32FC" w:rsidP="00086D87">
            <w:pPr>
              <w:pStyle w:val="text"/>
              <w:rPr>
                <w:rFonts w:asciiTheme="majorHAnsi" w:hAnsiTheme="majorHAnsi" w:cstheme="majorHAnsi"/>
              </w:rPr>
            </w:pPr>
            <w:r w:rsidRPr="005017AA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417" w:type="dxa"/>
            <w:shd w:val="clear" w:color="auto" w:fill="auto"/>
          </w:tcPr>
          <w:p w14:paraId="1C2ABD3E" w14:textId="77777777" w:rsidR="002D32FC" w:rsidRPr="005017AA" w:rsidRDefault="002D32FC" w:rsidP="00086D87">
            <w:pPr>
              <w:pStyle w:val="text"/>
              <w:rPr>
                <w:rFonts w:asciiTheme="majorHAnsi" w:hAnsiTheme="majorHAnsi" w:cstheme="majorHAnsi"/>
              </w:rPr>
            </w:pPr>
            <w:r w:rsidRPr="005017AA">
              <w:rPr>
                <w:rFonts w:asciiTheme="majorHAnsi" w:hAnsiTheme="majorHAnsi" w:cstheme="majorHAnsi"/>
              </w:rPr>
              <w:t>CZ46347275</w:t>
            </w:r>
          </w:p>
        </w:tc>
      </w:tr>
      <w:tr w:rsidR="002D32FC" w:rsidRPr="005017AA" w14:paraId="063CE03D" w14:textId="77777777" w:rsidTr="00666EF7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14:paraId="64009ABB" w14:textId="7883DC65" w:rsidR="002D32FC" w:rsidRPr="005017AA" w:rsidRDefault="002D32FC" w:rsidP="00234A06">
            <w:pPr>
              <w:pStyle w:val="text"/>
              <w:rPr>
                <w:rFonts w:asciiTheme="majorHAnsi" w:hAnsiTheme="majorHAnsi" w:cstheme="majorHAnsi"/>
              </w:rPr>
            </w:pPr>
            <w:r w:rsidRPr="005017AA">
              <w:rPr>
                <w:rFonts w:asciiTheme="majorHAnsi" w:hAnsiTheme="majorHAnsi" w:cstheme="majorHAnsi"/>
              </w:rPr>
              <w:t xml:space="preserve">K podpisu smlouvy je oprávněn </w:t>
            </w:r>
            <w:r w:rsidR="00234A06">
              <w:rPr>
                <w:rFonts w:asciiTheme="majorHAnsi" w:hAnsiTheme="majorHAnsi" w:cstheme="majorHAnsi"/>
              </w:rPr>
              <w:t>XXX</w:t>
            </w:r>
            <w:r w:rsidR="00666EF7" w:rsidRPr="005017AA">
              <w:rPr>
                <w:rFonts w:asciiTheme="majorHAnsi" w:hAnsiTheme="majorHAnsi" w:cstheme="majorHAnsi"/>
              </w:rPr>
              <w:t>,</w:t>
            </w:r>
          </w:p>
        </w:tc>
      </w:tr>
      <w:tr w:rsidR="002D32FC" w:rsidRPr="005017AA" w14:paraId="2644443C" w14:textId="77777777" w:rsidTr="00666EF7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14:paraId="687331A4" w14:textId="4DDAC8A8" w:rsidR="00046A2A" w:rsidRPr="005017AA" w:rsidRDefault="00666EF7" w:rsidP="00411764">
            <w:pPr>
              <w:pStyle w:val="text"/>
              <w:rPr>
                <w:rFonts w:asciiTheme="majorHAnsi" w:hAnsiTheme="majorHAnsi" w:cstheme="majorHAnsi"/>
              </w:rPr>
            </w:pPr>
            <w:r w:rsidRPr="005017AA">
              <w:rPr>
                <w:rFonts w:asciiTheme="majorHAnsi" w:hAnsiTheme="majorHAnsi" w:cstheme="majorHAnsi"/>
              </w:rPr>
              <w:t>na základě zmocnění z 16. 12. 2022</w:t>
            </w:r>
          </w:p>
        </w:tc>
      </w:tr>
    </w:tbl>
    <w:p w14:paraId="5BB9B62F" w14:textId="77777777" w:rsidR="00666EF7" w:rsidRPr="005017AA" w:rsidRDefault="00666EF7" w:rsidP="009B471E">
      <w:pPr>
        <w:pStyle w:val="22uroven"/>
        <w:numPr>
          <w:ilvl w:val="0"/>
          <w:numId w:val="0"/>
        </w:numPr>
        <w:ind w:left="705"/>
        <w:rPr>
          <w:b/>
        </w:rPr>
      </w:pPr>
      <w:r w:rsidRPr="005017AA">
        <w:rPr>
          <w:b/>
        </w:rPr>
        <w:t xml:space="preserve">Zhotovitel: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666EF7" w:rsidRPr="005017AA" w14:paraId="1D23BCB3" w14:textId="77777777" w:rsidTr="0078541B">
        <w:tc>
          <w:tcPr>
            <w:tcW w:w="1134" w:type="dxa"/>
            <w:shd w:val="clear" w:color="auto" w:fill="auto"/>
          </w:tcPr>
          <w:p w14:paraId="7E8F11F8" w14:textId="77777777" w:rsidR="00666EF7" w:rsidRPr="005017AA" w:rsidRDefault="00666EF7" w:rsidP="0078541B">
            <w:pPr>
              <w:pStyle w:val="tex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20" w:type="dxa"/>
            <w:shd w:val="clear" w:color="auto" w:fill="auto"/>
          </w:tcPr>
          <w:p w14:paraId="51B162AF" w14:textId="6B966109" w:rsidR="00666EF7" w:rsidRPr="005017AA" w:rsidRDefault="00666EF7" w:rsidP="0078541B">
            <w:pPr>
              <w:pStyle w:val="text"/>
              <w:rPr>
                <w:rFonts w:asciiTheme="majorHAnsi" w:hAnsiTheme="majorHAnsi" w:cstheme="majorHAnsi"/>
                <w:b/>
              </w:rPr>
            </w:pPr>
            <w:r w:rsidRPr="005017AA">
              <w:rPr>
                <w:rFonts w:asciiTheme="majorHAnsi" w:hAnsiTheme="majorHAnsi" w:cstheme="majorHAnsi"/>
                <w:b/>
              </w:rPr>
              <w:t>AISE, s.r.o.</w:t>
            </w:r>
          </w:p>
        </w:tc>
      </w:tr>
      <w:tr w:rsidR="00666EF7" w:rsidRPr="005017AA" w14:paraId="4E88581C" w14:textId="77777777" w:rsidTr="0078541B">
        <w:tc>
          <w:tcPr>
            <w:tcW w:w="1134" w:type="dxa"/>
            <w:shd w:val="clear" w:color="auto" w:fill="auto"/>
          </w:tcPr>
          <w:p w14:paraId="7F0AF2CB" w14:textId="77777777" w:rsidR="00666EF7" w:rsidRPr="005017AA" w:rsidRDefault="00666EF7" w:rsidP="0078541B">
            <w:pPr>
              <w:pStyle w:val="text"/>
              <w:rPr>
                <w:rFonts w:asciiTheme="majorHAnsi" w:hAnsiTheme="majorHAnsi" w:cstheme="majorHAnsi"/>
              </w:rPr>
            </w:pPr>
            <w:r w:rsidRPr="005017AA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620" w:type="dxa"/>
            <w:shd w:val="clear" w:color="auto" w:fill="auto"/>
          </w:tcPr>
          <w:p w14:paraId="621158CB" w14:textId="152D0C7D" w:rsidR="00666EF7" w:rsidRPr="005017AA" w:rsidRDefault="00666EF7" w:rsidP="0078541B">
            <w:pPr>
              <w:pStyle w:val="text"/>
              <w:rPr>
                <w:rFonts w:asciiTheme="majorHAnsi" w:hAnsiTheme="majorHAnsi" w:cstheme="majorHAnsi"/>
              </w:rPr>
            </w:pPr>
            <w:r w:rsidRPr="005017AA">
              <w:rPr>
                <w:rFonts w:asciiTheme="majorHAnsi" w:hAnsiTheme="majorHAnsi" w:cstheme="majorHAnsi"/>
              </w:rPr>
              <w:t>Broučkova 7165, 760 01 Zlín</w:t>
            </w:r>
          </w:p>
        </w:tc>
      </w:tr>
      <w:tr w:rsidR="00666EF7" w:rsidRPr="005017AA" w14:paraId="728D12F0" w14:textId="77777777" w:rsidTr="0078541B">
        <w:tc>
          <w:tcPr>
            <w:tcW w:w="8754" w:type="dxa"/>
            <w:gridSpan w:val="2"/>
            <w:shd w:val="clear" w:color="auto" w:fill="auto"/>
          </w:tcPr>
          <w:p w14:paraId="5FA90762" w14:textId="4322F67D" w:rsidR="00666EF7" w:rsidRPr="005017AA" w:rsidRDefault="00666EF7" w:rsidP="0078541B">
            <w:pPr>
              <w:pStyle w:val="text"/>
              <w:rPr>
                <w:rFonts w:asciiTheme="majorHAnsi" w:hAnsiTheme="majorHAnsi" w:cstheme="majorHAnsi"/>
              </w:rPr>
            </w:pPr>
            <w:r w:rsidRPr="005017AA">
              <w:rPr>
                <w:rFonts w:asciiTheme="majorHAnsi" w:hAnsiTheme="majorHAnsi" w:cstheme="majorHAnsi"/>
              </w:rPr>
              <w:t xml:space="preserve">Subjekt je zapsán v OR u </w:t>
            </w:r>
            <w:r w:rsidRPr="005017AA">
              <w:rPr>
                <w:rFonts w:asciiTheme="majorHAnsi" w:hAnsiTheme="majorHAnsi" w:cstheme="majorHAnsi"/>
                <w:noProof/>
              </w:rPr>
              <w:t>Krajského soudu v Brně, spisová značka C 20122</w:t>
            </w:r>
          </w:p>
        </w:tc>
      </w:tr>
      <w:tr w:rsidR="00666EF7" w:rsidRPr="005017AA" w14:paraId="2E19657F" w14:textId="77777777" w:rsidTr="0078541B">
        <w:tc>
          <w:tcPr>
            <w:tcW w:w="1134" w:type="dxa"/>
            <w:shd w:val="clear" w:color="auto" w:fill="auto"/>
          </w:tcPr>
          <w:p w14:paraId="291C8750" w14:textId="77777777" w:rsidR="00666EF7" w:rsidRPr="005017AA" w:rsidRDefault="00666EF7" w:rsidP="0078541B">
            <w:pPr>
              <w:pStyle w:val="text"/>
              <w:rPr>
                <w:rFonts w:asciiTheme="majorHAnsi" w:hAnsiTheme="majorHAnsi" w:cstheme="majorHAnsi"/>
              </w:rPr>
            </w:pPr>
            <w:r w:rsidRPr="005017AA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620" w:type="dxa"/>
            <w:shd w:val="clear" w:color="auto" w:fill="auto"/>
          </w:tcPr>
          <w:p w14:paraId="467FC0EF" w14:textId="7DE7F4C7" w:rsidR="00666EF7" w:rsidRPr="005017AA" w:rsidRDefault="00666EF7" w:rsidP="0078541B">
            <w:pPr>
              <w:pStyle w:val="text"/>
              <w:rPr>
                <w:rFonts w:asciiTheme="majorHAnsi" w:hAnsiTheme="majorHAnsi" w:cstheme="majorHAnsi"/>
              </w:rPr>
            </w:pPr>
            <w:r w:rsidRPr="005017AA">
              <w:rPr>
                <w:rFonts w:asciiTheme="majorHAnsi" w:hAnsiTheme="majorHAnsi" w:cstheme="majorHAnsi"/>
              </w:rPr>
              <w:t>63472651</w:t>
            </w:r>
          </w:p>
        </w:tc>
      </w:tr>
      <w:tr w:rsidR="00666EF7" w:rsidRPr="005017AA" w14:paraId="168D82EF" w14:textId="77777777" w:rsidTr="0078541B">
        <w:tc>
          <w:tcPr>
            <w:tcW w:w="1134" w:type="dxa"/>
            <w:shd w:val="clear" w:color="auto" w:fill="auto"/>
          </w:tcPr>
          <w:p w14:paraId="1F57765B" w14:textId="77777777" w:rsidR="00666EF7" w:rsidRPr="005017AA" w:rsidRDefault="00666EF7" w:rsidP="0078541B">
            <w:pPr>
              <w:pStyle w:val="text"/>
              <w:rPr>
                <w:rFonts w:asciiTheme="majorHAnsi" w:hAnsiTheme="majorHAnsi" w:cstheme="majorHAnsi"/>
              </w:rPr>
            </w:pPr>
            <w:r w:rsidRPr="005017AA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620" w:type="dxa"/>
            <w:shd w:val="clear" w:color="auto" w:fill="auto"/>
          </w:tcPr>
          <w:p w14:paraId="796443E4" w14:textId="7139E6BE" w:rsidR="00666EF7" w:rsidRPr="005017AA" w:rsidRDefault="00666EF7" w:rsidP="0078541B">
            <w:pPr>
              <w:pStyle w:val="text"/>
              <w:rPr>
                <w:rFonts w:asciiTheme="majorHAnsi" w:hAnsiTheme="majorHAnsi" w:cstheme="majorHAnsi"/>
              </w:rPr>
            </w:pPr>
            <w:r w:rsidRPr="005017AA">
              <w:rPr>
                <w:rFonts w:asciiTheme="majorHAnsi" w:hAnsiTheme="majorHAnsi" w:cstheme="majorHAnsi"/>
              </w:rPr>
              <w:t>CZ</w:t>
            </w:r>
            <w:r w:rsidRPr="005017AA">
              <w:t xml:space="preserve"> </w:t>
            </w:r>
            <w:r w:rsidRPr="005017AA">
              <w:rPr>
                <w:rFonts w:asciiTheme="majorHAnsi" w:hAnsiTheme="majorHAnsi" w:cstheme="majorHAnsi"/>
              </w:rPr>
              <w:t>63472651</w:t>
            </w:r>
          </w:p>
        </w:tc>
      </w:tr>
      <w:tr w:rsidR="00666EF7" w:rsidRPr="005017AA" w14:paraId="5B3763B6" w14:textId="77777777" w:rsidTr="0078541B">
        <w:tc>
          <w:tcPr>
            <w:tcW w:w="8754" w:type="dxa"/>
            <w:gridSpan w:val="2"/>
            <w:shd w:val="clear" w:color="auto" w:fill="auto"/>
          </w:tcPr>
          <w:p w14:paraId="4DE4BD1A" w14:textId="22623B62" w:rsidR="00666EF7" w:rsidRPr="005017AA" w:rsidRDefault="00666EF7" w:rsidP="00234A06">
            <w:pPr>
              <w:pStyle w:val="text"/>
              <w:rPr>
                <w:rFonts w:asciiTheme="majorHAnsi" w:hAnsiTheme="majorHAnsi" w:cstheme="majorHAnsi"/>
              </w:rPr>
            </w:pPr>
            <w:r w:rsidRPr="005017AA">
              <w:rPr>
                <w:rFonts w:asciiTheme="majorHAnsi" w:hAnsiTheme="majorHAnsi" w:cstheme="majorHAnsi"/>
              </w:rPr>
              <w:t xml:space="preserve">Zastoupený: </w:t>
            </w:r>
            <w:r w:rsidR="00234A06">
              <w:rPr>
                <w:rFonts w:asciiTheme="majorHAnsi" w:hAnsiTheme="majorHAnsi" w:cstheme="majorHAnsi"/>
              </w:rPr>
              <w:t>XXX</w:t>
            </w:r>
            <w:r w:rsidRPr="005017AA">
              <w:rPr>
                <w:rFonts w:asciiTheme="majorHAnsi" w:hAnsiTheme="majorHAnsi" w:cstheme="majorHAnsi"/>
              </w:rPr>
              <w:t xml:space="preserve">, na základě plné moci ze dne </w:t>
            </w:r>
            <w:r w:rsidR="00BC1358" w:rsidRPr="005017AA">
              <w:rPr>
                <w:rFonts w:asciiTheme="majorHAnsi" w:hAnsiTheme="majorHAnsi" w:cstheme="majorHAnsi"/>
              </w:rPr>
              <w:t>1. 3. 2020</w:t>
            </w:r>
          </w:p>
        </w:tc>
      </w:tr>
      <w:tr w:rsidR="00666EF7" w:rsidRPr="005017AA" w14:paraId="510317DC" w14:textId="77777777" w:rsidTr="0078541B">
        <w:tc>
          <w:tcPr>
            <w:tcW w:w="8754" w:type="dxa"/>
            <w:gridSpan w:val="2"/>
            <w:shd w:val="clear" w:color="auto" w:fill="auto"/>
          </w:tcPr>
          <w:p w14:paraId="76F93214" w14:textId="77777777" w:rsidR="00666EF7" w:rsidRPr="005017AA" w:rsidRDefault="00666EF7" w:rsidP="0078541B">
            <w:pPr>
              <w:pStyle w:val="text"/>
              <w:rPr>
                <w:rFonts w:asciiTheme="majorHAnsi" w:hAnsiTheme="majorHAnsi" w:cstheme="majorHAnsi"/>
              </w:rPr>
            </w:pPr>
          </w:p>
        </w:tc>
      </w:tr>
    </w:tbl>
    <w:p w14:paraId="65DE1F13" w14:textId="539188CC" w:rsidR="003658D5" w:rsidRDefault="003658D5" w:rsidP="003658D5">
      <w:pPr>
        <w:pStyle w:val="11uroven"/>
        <w:numPr>
          <w:ilvl w:val="0"/>
          <w:numId w:val="0"/>
        </w:numPr>
        <w:ind w:left="360" w:hanging="36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I.</w:t>
      </w:r>
    </w:p>
    <w:p w14:paraId="3D640241" w14:textId="0ACFEDB0" w:rsidR="002D32FC" w:rsidRPr="005017AA" w:rsidRDefault="0042126F" w:rsidP="003658D5">
      <w:pPr>
        <w:pStyle w:val="11uroven"/>
        <w:numPr>
          <w:ilvl w:val="0"/>
          <w:numId w:val="0"/>
        </w:numPr>
        <w:ind w:left="360" w:hanging="36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Předmět dodatku</w:t>
      </w:r>
    </w:p>
    <w:p w14:paraId="56D97C2F" w14:textId="601766B2" w:rsidR="0042126F" w:rsidRDefault="0042126F" w:rsidP="008234B1">
      <w:pPr>
        <w:pStyle w:val="22uroven"/>
        <w:numPr>
          <w:ilvl w:val="0"/>
          <w:numId w:val="0"/>
        </w:numPr>
        <w:rPr>
          <w:rFonts w:asciiTheme="majorHAnsi" w:hAnsiTheme="majorHAnsi" w:cstheme="majorHAnsi"/>
        </w:rPr>
      </w:pPr>
      <w:r w:rsidRPr="0042126F">
        <w:rPr>
          <w:rFonts w:asciiTheme="majorHAnsi" w:hAnsiTheme="majorHAnsi" w:cstheme="majorHAnsi"/>
        </w:rPr>
        <w:t xml:space="preserve">Smluvní strany se dohodly, že smlouva o dílo č. SML/0449/24 ze dne 4. 2. 2025 (dále jen „smlouva“) se mění </w:t>
      </w:r>
      <w:r w:rsidR="003658D5">
        <w:rPr>
          <w:rFonts w:asciiTheme="majorHAnsi" w:hAnsiTheme="majorHAnsi" w:cstheme="majorHAnsi"/>
        </w:rPr>
        <w:t>následovně:</w:t>
      </w:r>
    </w:p>
    <w:p w14:paraId="7C985DF4" w14:textId="77777777" w:rsidR="00073208" w:rsidRPr="005017AA" w:rsidRDefault="00073208" w:rsidP="00073208">
      <w:pPr>
        <w:pStyle w:val="22uroven"/>
        <w:numPr>
          <w:ilvl w:val="0"/>
          <w:numId w:val="0"/>
        </w:numPr>
        <w:rPr>
          <w:rFonts w:asciiTheme="majorHAnsi" w:hAnsiTheme="majorHAnsi" w:cstheme="majorHAnsi"/>
        </w:rPr>
      </w:pPr>
    </w:p>
    <w:p w14:paraId="66C8AD55" w14:textId="7AC77305" w:rsidR="002D32FC" w:rsidRPr="005017AA" w:rsidRDefault="0042126F" w:rsidP="003658D5">
      <w:pPr>
        <w:pStyle w:val="11uroven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V článku 2 </w:t>
      </w:r>
      <w:r w:rsidR="00DA2A22">
        <w:rPr>
          <w:rFonts w:asciiTheme="majorHAnsi" w:hAnsiTheme="majorHAnsi" w:cstheme="majorHAnsi"/>
        </w:rPr>
        <w:t xml:space="preserve">- Předmět </w:t>
      </w:r>
      <w:r>
        <w:rPr>
          <w:rFonts w:asciiTheme="majorHAnsi" w:hAnsiTheme="majorHAnsi" w:cstheme="majorHAnsi"/>
        </w:rPr>
        <w:t xml:space="preserve">smlouvy </w:t>
      </w:r>
      <w:r w:rsidR="00DA2A22">
        <w:rPr>
          <w:rFonts w:asciiTheme="majorHAnsi" w:hAnsiTheme="majorHAnsi" w:cstheme="majorHAnsi"/>
        </w:rPr>
        <w:t xml:space="preserve">- </w:t>
      </w:r>
      <w:r>
        <w:rPr>
          <w:rFonts w:asciiTheme="majorHAnsi" w:hAnsiTheme="majorHAnsi" w:cstheme="majorHAnsi"/>
        </w:rPr>
        <w:t>se mění odstavce 2.1., 2.3. a 2.4, které nově zní takto:</w:t>
      </w:r>
    </w:p>
    <w:p w14:paraId="2D2CA3F0" w14:textId="6546AAFA" w:rsidR="0042126F" w:rsidRPr="0042126F" w:rsidRDefault="0042126F" w:rsidP="0042126F">
      <w:pPr>
        <w:pStyle w:val="22uroven"/>
        <w:numPr>
          <w:ilvl w:val="0"/>
          <w:numId w:val="0"/>
        </w:numPr>
        <w:ind w:left="705" w:hanging="705"/>
      </w:pPr>
      <w:r>
        <w:t>2.1.</w:t>
      </w:r>
      <w:r>
        <w:tab/>
      </w:r>
      <w:r w:rsidRPr="0042126F">
        <w:t>Zhotovitel se zavazuje osobně na svůj náklad a na své nebezpečí provést pro objednatele dílo spočívající v obnově řídicího systému (dále jen „ŘS“) ČOV Brno - Modřice (dále též „ČOV“) a to v rozsahu:</w:t>
      </w:r>
    </w:p>
    <w:p w14:paraId="4CA41A5F" w14:textId="77777777" w:rsidR="0042126F" w:rsidRDefault="0042126F" w:rsidP="0042126F">
      <w:pPr>
        <w:pStyle w:val="22uroven"/>
        <w:numPr>
          <w:ilvl w:val="0"/>
          <w:numId w:val="33"/>
        </w:numPr>
      </w:pPr>
      <w:r>
        <w:t>migrace části ED2, tj. řídicí systém technologie usazovacích nádrží s příslušenstvím a čerpací stanici primárního kalu, jako další krok migrace celého řídicího systému pro část ČOV nedotčenou projektem Kalového hospodářství. Jedná se o přestrojení rozvaděče ED2, pořízení souvisejícího hardware, příslušných demontážních a montážních prací, a reimplementaci stávajících řídicích algoritmů v novém SW standardu (pro programování PLC a vizualizaci ve SCADA) zadavatele. V rámci této zakázky bude pod ŘS ED2 převedeno také řízení technologie zahuštění primárního kalu v rozváděči ED8 a dojde k reimplementaci stávajících algoritmů technologie zahuštění primárního kalu do nového SW standardu zadavatele v rozsahu výkazu výměr, uvedeného v Příloze č. 1 tohoto dodatku,</w:t>
      </w:r>
    </w:p>
    <w:p w14:paraId="7EF7B6DC" w14:textId="77777777" w:rsidR="0042126F" w:rsidRDefault="0042126F" w:rsidP="0042126F">
      <w:pPr>
        <w:pStyle w:val="22uroven"/>
        <w:numPr>
          <w:ilvl w:val="0"/>
          <w:numId w:val="33"/>
        </w:numPr>
      </w:pPr>
      <w:r>
        <w:t>reimplementace algoritmů části ED1, tj. řídicí systém technologie předčištění. Jedná se o reimplementaci řídicích algoritmů v novém SW standardu (pro programování PLC a vizualizaci ve SCADA) zadavatele. Popis stávajících algoritmů určených k reimplementaci je v Příloze č. 2 tohoto dodatku.</w:t>
      </w:r>
    </w:p>
    <w:p w14:paraId="5578E922" w14:textId="21E219A5" w:rsidR="0042126F" w:rsidRDefault="0042126F" w:rsidP="0042126F">
      <w:pPr>
        <w:pStyle w:val="22uroven"/>
        <w:numPr>
          <w:ilvl w:val="0"/>
          <w:numId w:val="0"/>
        </w:numPr>
        <w:ind w:left="705" w:hanging="705"/>
      </w:pPr>
      <w:r>
        <w:t>2.3.</w:t>
      </w:r>
      <w:r>
        <w:tab/>
      </w:r>
      <w:r>
        <w:tab/>
      </w:r>
      <w:r w:rsidRPr="0042126F">
        <w:t>Součástí díla jsou rovněž příslušné revize, dokumentace skutečného provedení, uživatelská dokumentace, zpracování procesního SW PLC S7-1500 pro migraci všech částí ŘS ED2 a reimplementaci ŘS ED1, zpracování vizualizace technologie ED2 a ED1 ve SCADA/HMI systému AVEVA, včetně uživatelské dokumentace.</w:t>
      </w:r>
    </w:p>
    <w:p w14:paraId="79FE9811" w14:textId="7A5852B8" w:rsidR="0042126F" w:rsidRDefault="0042126F" w:rsidP="0042126F">
      <w:pPr>
        <w:pStyle w:val="22uroven"/>
        <w:numPr>
          <w:ilvl w:val="0"/>
          <w:numId w:val="0"/>
        </w:numPr>
        <w:ind w:left="705" w:hanging="705"/>
      </w:pPr>
      <w:r>
        <w:t>2.4.</w:t>
      </w:r>
      <w:r>
        <w:tab/>
      </w:r>
      <w:r w:rsidRPr="0042126F">
        <w:t xml:space="preserve">Přesný rozsah a provedení prací bude v souladu s projektovou dokumentací „Migrace ŘS ED2 ČOV Brno – Modřice Část: ASŘ“ zpracovanou projektantem AISE s.r.o., ze dne 20. 12. 2023 (která byla součástí výzvy ve výběrovém řízení) a z ní vyplývajícího dokumentu „Technická specifikace / Výkaz výměr - Migrace ED2“, který tvoří přílohu č. 1 </w:t>
      </w:r>
      <w:r w:rsidR="000718AE">
        <w:t>této smlouvy</w:t>
      </w:r>
      <w:r w:rsidRPr="0042126F">
        <w:t xml:space="preserve"> a dle dokumentu „Popis stávají</w:t>
      </w:r>
      <w:r w:rsidR="000718AE">
        <w:t>cích řídicích algoritmů ŘS ED1“</w:t>
      </w:r>
      <w:r w:rsidRPr="0042126F">
        <w:t xml:space="preserve">, který tvoří přílohu č. 2 </w:t>
      </w:r>
      <w:r w:rsidR="000718AE">
        <w:t>této smlouvy</w:t>
      </w:r>
      <w:r w:rsidRPr="0042126F">
        <w:t>.</w:t>
      </w:r>
    </w:p>
    <w:p w14:paraId="31D4EB6B" w14:textId="6A2F1FEE" w:rsidR="002D32FC" w:rsidRPr="005017AA" w:rsidRDefault="00DA2A22" w:rsidP="003658D5">
      <w:pPr>
        <w:pStyle w:val="11uroven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 článku 3 - Doba plnění </w:t>
      </w:r>
      <w:r w:rsidR="005D40B4">
        <w:rPr>
          <w:rFonts w:asciiTheme="majorHAnsi" w:hAnsiTheme="majorHAnsi" w:cstheme="majorHAnsi"/>
        </w:rPr>
        <w:t xml:space="preserve">- </w:t>
      </w:r>
      <w:r>
        <w:rPr>
          <w:rFonts w:asciiTheme="majorHAnsi" w:hAnsiTheme="majorHAnsi" w:cstheme="majorHAnsi"/>
        </w:rPr>
        <w:t>se mění odstavec 3.1. takto:</w:t>
      </w:r>
    </w:p>
    <w:p w14:paraId="6BDFFB76" w14:textId="5B598D09" w:rsidR="00046A2A" w:rsidRPr="005017AA" w:rsidRDefault="008234B1" w:rsidP="008234B1">
      <w:pPr>
        <w:pStyle w:val="22uroven"/>
        <w:numPr>
          <w:ilvl w:val="0"/>
          <w:numId w:val="0"/>
        </w:numPr>
        <w:ind w:left="705" w:hanging="705"/>
      </w:pPr>
      <w:r>
        <w:t>3.1.</w:t>
      </w:r>
      <w:r>
        <w:tab/>
      </w:r>
      <w:r>
        <w:tab/>
      </w:r>
      <w:r w:rsidRPr="008234B1">
        <w:t>Zhotovitel dokončí dílo a objednateli je kompletně předá do 31. 3. 2026 s tím, že termín dokončení dílčí části díla „Reimplementace algoritmů části ŘS ED1“ je stanoven do 31.10.2025.</w:t>
      </w:r>
    </w:p>
    <w:p w14:paraId="5AF1A553" w14:textId="1F701AEE" w:rsidR="003658D5" w:rsidRDefault="003658D5" w:rsidP="003658D5">
      <w:pPr>
        <w:pStyle w:val="11uroven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 článku 5 - Cena díla </w:t>
      </w:r>
      <w:r w:rsidR="005D40B4">
        <w:rPr>
          <w:rFonts w:asciiTheme="majorHAnsi" w:hAnsiTheme="majorHAnsi" w:cstheme="majorHAnsi"/>
        </w:rPr>
        <w:t xml:space="preserve">- </w:t>
      </w:r>
      <w:r>
        <w:rPr>
          <w:rFonts w:asciiTheme="majorHAnsi" w:hAnsiTheme="majorHAnsi" w:cstheme="majorHAnsi"/>
        </w:rPr>
        <w:t>se mění odstavec 5.1. takto:</w:t>
      </w:r>
    </w:p>
    <w:p w14:paraId="615258CE" w14:textId="688FB47D" w:rsidR="003658D5" w:rsidRPr="003658D5" w:rsidRDefault="005D40B4" w:rsidP="005D40B4">
      <w:pPr>
        <w:pStyle w:val="22uroven"/>
        <w:numPr>
          <w:ilvl w:val="0"/>
          <w:numId w:val="0"/>
        </w:numPr>
        <w:ind w:left="705" w:hanging="70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5.1.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3658D5" w:rsidRPr="003658D5">
        <w:rPr>
          <w:rFonts w:asciiTheme="majorHAnsi" w:hAnsiTheme="majorHAnsi" w:cstheme="majorHAnsi"/>
        </w:rPr>
        <w:t>Cena díla včetně souvisejících prací a služeb činí celkem 3.513.261,- Kč bez DPH, přičemž jednotlivé ceny dílčích částí díla jsou stanoveny následovně:</w:t>
      </w:r>
    </w:p>
    <w:p w14:paraId="2F25C582" w14:textId="76CE3FC9" w:rsidR="003658D5" w:rsidRPr="003658D5" w:rsidRDefault="003658D5" w:rsidP="005D40B4">
      <w:pPr>
        <w:pStyle w:val="22uroven"/>
        <w:numPr>
          <w:ilvl w:val="0"/>
          <w:numId w:val="0"/>
        </w:numPr>
        <w:ind w:left="70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Pr="003658D5">
        <w:rPr>
          <w:rFonts w:asciiTheme="majorHAnsi" w:hAnsiTheme="majorHAnsi" w:cstheme="majorHAnsi"/>
        </w:rPr>
        <w:t xml:space="preserve"> Cena dílčí části „Migrace části ŘS ED2“ je 2.521.461,- Kč bez DPH.</w:t>
      </w:r>
    </w:p>
    <w:p w14:paraId="17132E30" w14:textId="24246354" w:rsidR="00073208" w:rsidRPr="005017AA" w:rsidRDefault="003658D5" w:rsidP="005D40B4">
      <w:pPr>
        <w:pStyle w:val="22uroven"/>
        <w:numPr>
          <w:ilvl w:val="0"/>
          <w:numId w:val="0"/>
        </w:numPr>
        <w:ind w:firstLine="70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Pr="003658D5">
        <w:rPr>
          <w:rFonts w:asciiTheme="majorHAnsi" w:hAnsiTheme="majorHAnsi" w:cstheme="majorHAnsi"/>
        </w:rPr>
        <w:t xml:space="preserve"> Cena dílčí části „Reimplementace algoritmů části ŘS ED1“ je 991.800,- Kč bez DPH.</w:t>
      </w:r>
    </w:p>
    <w:p w14:paraId="639D5626" w14:textId="418AED21" w:rsidR="002D32FC" w:rsidRPr="005017AA" w:rsidRDefault="005D40B4" w:rsidP="005D40B4">
      <w:pPr>
        <w:pStyle w:val="11uroven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 článku 6 - </w:t>
      </w:r>
      <w:r w:rsidR="002D32FC" w:rsidRPr="005017AA">
        <w:rPr>
          <w:rFonts w:asciiTheme="majorHAnsi" w:hAnsiTheme="majorHAnsi" w:cstheme="majorHAnsi"/>
        </w:rPr>
        <w:t>Platební podmínky</w:t>
      </w:r>
      <w:r>
        <w:rPr>
          <w:rFonts w:asciiTheme="majorHAnsi" w:hAnsiTheme="majorHAnsi" w:cstheme="majorHAnsi"/>
        </w:rPr>
        <w:t xml:space="preserve"> - se mění odstavce 6.1. a 6.2. takto:</w:t>
      </w:r>
    </w:p>
    <w:p w14:paraId="0E03FF9A" w14:textId="6BF439EE" w:rsidR="005D40B4" w:rsidRPr="005D40B4" w:rsidRDefault="005D40B4" w:rsidP="005D40B4">
      <w:pPr>
        <w:pStyle w:val="22uroven"/>
        <w:numPr>
          <w:ilvl w:val="0"/>
          <w:numId w:val="0"/>
        </w:numPr>
        <w:ind w:left="705" w:hanging="70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6.1.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5D40B4">
        <w:rPr>
          <w:rFonts w:asciiTheme="majorHAnsi" w:hAnsiTheme="majorHAnsi" w:cstheme="majorHAnsi"/>
        </w:rPr>
        <w:t xml:space="preserve">Datem zdanitelného plnění se rozumí den odevzdání dílčí části díla objednateli formou předávacího protokolu podepsaného pověřenými osobami ve věcech technických. Za stranu zhotovitele je pověřenou osobou </w:t>
      </w:r>
      <w:r w:rsidR="00234A06">
        <w:rPr>
          <w:rFonts w:asciiTheme="majorHAnsi" w:hAnsiTheme="majorHAnsi" w:cstheme="majorHAnsi"/>
        </w:rPr>
        <w:t>XXX</w:t>
      </w:r>
      <w:r w:rsidRPr="005D40B4">
        <w:rPr>
          <w:rFonts w:asciiTheme="majorHAnsi" w:hAnsiTheme="majorHAnsi" w:cstheme="majorHAnsi"/>
        </w:rPr>
        <w:t xml:space="preserve">, za stranu objednatele je oprávněn dílo převzít </w:t>
      </w:r>
      <w:r w:rsidR="00234A06">
        <w:rPr>
          <w:rFonts w:asciiTheme="majorHAnsi" w:hAnsiTheme="majorHAnsi" w:cstheme="majorHAnsi"/>
        </w:rPr>
        <w:t xml:space="preserve">XXX </w:t>
      </w:r>
      <w:r w:rsidRPr="005D40B4">
        <w:rPr>
          <w:rFonts w:asciiTheme="majorHAnsi" w:hAnsiTheme="majorHAnsi" w:cstheme="majorHAnsi"/>
        </w:rPr>
        <w:t xml:space="preserve">nebo </w:t>
      </w:r>
      <w:r w:rsidR="00234A06">
        <w:rPr>
          <w:rFonts w:asciiTheme="majorHAnsi" w:hAnsiTheme="majorHAnsi" w:cstheme="majorHAnsi"/>
        </w:rPr>
        <w:t>XXX</w:t>
      </w:r>
      <w:r w:rsidRPr="005D40B4">
        <w:rPr>
          <w:rFonts w:asciiTheme="majorHAnsi" w:hAnsiTheme="majorHAnsi" w:cstheme="majorHAnsi"/>
        </w:rPr>
        <w:t>.</w:t>
      </w:r>
    </w:p>
    <w:p w14:paraId="4A717EBA" w14:textId="34A06884" w:rsidR="005D40B4" w:rsidRPr="005D40B4" w:rsidRDefault="005D40B4" w:rsidP="005D40B4">
      <w:pPr>
        <w:pStyle w:val="22uroven"/>
        <w:numPr>
          <w:ilvl w:val="0"/>
          <w:numId w:val="0"/>
        </w:numPr>
        <w:ind w:left="705" w:hanging="70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6.2.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5D40B4">
        <w:rPr>
          <w:rFonts w:asciiTheme="majorHAnsi" w:hAnsiTheme="majorHAnsi" w:cstheme="majorHAnsi"/>
        </w:rPr>
        <w:t>Cena dílčích částí díla bude hrazena na základě dílčích faktur (daňových dokladů) zhotovitele se splatností 45 dní od doručení faktury objednateli. V případě prodlení s platbou je objednatel povinen uhradit zhotoviteli úrok ve výši stanovené právním předpisem.</w:t>
      </w:r>
    </w:p>
    <w:p w14:paraId="59B65467" w14:textId="77777777" w:rsidR="008832F1" w:rsidRPr="005017AA" w:rsidRDefault="008832F1" w:rsidP="008832F1">
      <w:pPr>
        <w:pStyle w:val="22uroven"/>
        <w:numPr>
          <w:ilvl w:val="0"/>
          <w:numId w:val="0"/>
        </w:numPr>
        <w:rPr>
          <w:rFonts w:asciiTheme="majorHAnsi" w:hAnsiTheme="majorHAnsi" w:cstheme="majorHAnsi"/>
        </w:rPr>
      </w:pPr>
    </w:p>
    <w:p w14:paraId="7D9EDD9A" w14:textId="1BB16D05" w:rsidR="002D32FC" w:rsidRDefault="002D32FC" w:rsidP="00D942E7">
      <w:pPr>
        <w:pStyle w:val="11uroven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  <w:r w:rsidRPr="005017AA">
        <w:rPr>
          <w:rFonts w:asciiTheme="majorHAnsi" w:hAnsiTheme="majorHAnsi" w:cstheme="majorHAnsi"/>
        </w:rPr>
        <w:lastRenderedPageBreak/>
        <w:t>V</w:t>
      </w:r>
      <w:r w:rsidR="005D40B4">
        <w:rPr>
          <w:rFonts w:asciiTheme="majorHAnsi" w:hAnsiTheme="majorHAnsi" w:cstheme="majorHAnsi"/>
        </w:rPr>
        <w:t> článku 13 - Závěrečná</w:t>
      </w:r>
      <w:r w:rsidR="00A12334">
        <w:rPr>
          <w:rFonts w:asciiTheme="majorHAnsi" w:hAnsiTheme="majorHAnsi" w:cstheme="majorHAnsi"/>
        </w:rPr>
        <w:t xml:space="preserve"> ujednání - se mění</w:t>
      </w:r>
      <w:r w:rsidR="00D942E7">
        <w:rPr>
          <w:rFonts w:asciiTheme="majorHAnsi" w:hAnsiTheme="majorHAnsi" w:cstheme="majorHAnsi"/>
        </w:rPr>
        <w:t xml:space="preserve"> </w:t>
      </w:r>
      <w:r w:rsidR="00A12334">
        <w:rPr>
          <w:rFonts w:asciiTheme="majorHAnsi" w:hAnsiTheme="majorHAnsi" w:cstheme="majorHAnsi"/>
        </w:rPr>
        <w:t>odstav</w:t>
      </w:r>
      <w:r w:rsidR="00803589">
        <w:rPr>
          <w:rFonts w:asciiTheme="majorHAnsi" w:hAnsiTheme="majorHAnsi" w:cstheme="majorHAnsi"/>
        </w:rPr>
        <w:t>ce</w:t>
      </w:r>
      <w:r w:rsidR="00D942E7">
        <w:rPr>
          <w:rFonts w:asciiTheme="majorHAnsi" w:hAnsiTheme="majorHAnsi" w:cstheme="majorHAnsi"/>
        </w:rPr>
        <w:t xml:space="preserve"> </w:t>
      </w:r>
      <w:r w:rsidR="00803589">
        <w:rPr>
          <w:rFonts w:asciiTheme="majorHAnsi" w:hAnsiTheme="majorHAnsi" w:cstheme="majorHAnsi"/>
        </w:rPr>
        <w:t xml:space="preserve">13.6. a </w:t>
      </w:r>
      <w:r w:rsidR="00D942E7">
        <w:rPr>
          <w:rFonts w:asciiTheme="majorHAnsi" w:hAnsiTheme="majorHAnsi" w:cstheme="majorHAnsi"/>
        </w:rPr>
        <w:t>13.9. takto:</w:t>
      </w:r>
    </w:p>
    <w:p w14:paraId="15A8BEC5" w14:textId="234BF082" w:rsidR="00803589" w:rsidRPr="00803589" w:rsidRDefault="00803589" w:rsidP="00803589">
      <w:pPr>
        <w:pStyle w:val="11uroven"/>
        <w:numPr>
          <w:ilvl w:val="0"/>
          <w:numId w:val="0"/>
        </w:numPr>
        <w:ind w:left="705" w:hanging="705"/>
        <w:jc w:val="both"/>
        <w:rPr>
          <w:b w:val="0"/>
          <w:u w:val="single"/>
        </w:rPr>
      </w:pPr>
      <w:r>
        <w:rPr>
          <w:b w:val="0"/>
        </w:rPr>
        <w:t>13.6.</w:t>
      </w:r>
      <w:r>
        <w:rPr>
          <w:b w:val="0"/>
        </w:rPr>
        <w:tab/>
        <w:t xml:space="preserve">Smluvní strany </w:t>
      </w:r>
      <w:r w:rsidRPr="00803589">
        <w:rPr>
          <w:b w:val="0"/>
        </w:rPr>
        <w:t>prohlašuj</w:t>
      </w:r>
      <w:r>
        <w:rPr>
          <w:b w:val="0"/>
        </w:rPr>
        <w:t>í</w:t>
      </w:r>
      <w:r w:rsidRPr="00803589">
        <w:rPr>
          <w:b w:val="0"/>
        </w:rPr>
        <w:t>, že skutečnosti uvedené v</w:t>
      </w:r>
      <w:r>
        <w:rPr>
          <w:b w:val="0"/>
        </w:rPr>
        <w:t> této smlouvě</w:t>
      </w:r>
      <w:r w:rsidRPr="00803589">
        <w:rPr>
          <w:b w:val="0"/>
        </w:rPr>
        <w:t xml:space="preserve"> nepovažuj</w:t>
      </w:r>
      <w:r>
        <w:rPr>
          <w:b w:val="0"/>
        </w:rPr>
        <w:t>í</w:t>
      </w:r>
      <w:r w:rsidRPr="00803589">
        <w:rPr>
          <w:b w:val="0"/>
        </w:rPr>
        <w:t xml:space="preserve"> za obchodní tajemství ve smyslu ustanovení § 504 zákona č. 89/2012 Sb. a uděluj</w:t>
      </w:r>
      <w:r w:rsidR="002735FE">
        <w:rPr>
          <w:b w:val="0"/>
        </w:rPr>
        <w:t>í</w:t>
      </w:r>
      <w:r w:rsidRPr="00803589">
        <w:rPr>
          <w:b w:val="0"/>
        </w:rPr>
        <w:t xml:space="preserve"> svolení k jejich užití a zveřejnění bez </w:t>
      </w:r>
      <w:r w:rsidRPr="008452EB">
        <w:rPr>
          <w:b w:val="0"/>
        </w:rPr>
        <w:t xml:space="preserve">stanovení jakýchkoliv dalších podmínek, </w:t>
      </w:r>
      <w:r w:rsidRPr="008452EB">
        <w:rPr>
          <w:b w:val="0"/>
          <w:u w:val="single"/>
        </w:rPr>
        <w:t>s výjimkou skutečností uvedených</w:t>
      </w:r>
      <w:r w:rsidR="00713E64">
        <w:rPr>
          <w:b w:val="0"/>
          <w:u w:val="single"/>
        </w:rPr>
        <w:t xml:space="preserve">          v </w:t>
      </w:r>
      <w:r w:rsidRPr="008452EB">
        <w:rPr>
          <w:b w:val="0"/>
          <w:u w:val="single"/>
        </w:rPr>
        <w:t>Příloze č. 1</w:t>
      </w:r>
      <w:r w:rsidR="002735FE" w:rsidRPr="008452EB">
        <w:rPr>
          <w:b w:val="0"/>
          <w:u w:val="single"/>
        </w:rPr>
        <w:t>, které zhotovitel považuje za svoje obchodní tajemství a k jejichž uveřejnění zhotovitel souhlas neuděluje</w:t>
      </w:r>
      <w:r w:rsidRPr="008452EB">
        <w:rPr>
          <w:b w:val="0"/>
          <w:u w:val="single"/>
        </w:rPr>
        <w:t xml:space="preserve"> a</w:t>
      </w:r>
      <w:r w:rsidR="002735FE" w:rsidRPr="008452EB">
        <w:rPr>
          <w:b w:val="0"/>
          <w:u w:val="single"/>
        </w:rPr>
        <w:t xml:space="preserve"> s výjimkou skutečností uvedených</w:t>
      </w:r>
      <w:r w:rsidRPr="008452EB">
        <w:rPr>
          <w:b w:val="0"/>
          <w:u w:val="single"/>
        </w:rPr>
        <w:t xml:space="preserve"> v Příloze č. 2 této smlouvy, které </w:t>
      </w:r>
      <w:r w:rsidR="002735FE" w:rsidRPr="008452EB">
        <w:rPr>
          <w:b w:val="0"/>
          <w:u w:val="single"/>
        </w:rPr>
        <w:t>objednatel považuje</w:t>
      </w:r>
      <w:r w:rsidRPr="008452EB">
        <w:rPr>
          <w:b w:val="0"/>
          <w:u w:val="single"/>
        </w:rPr>
        <w:t xml:space="preserve"> za svoje obchodní tajemství a k jejichž uveřejnění </w:t>
      </w:r>
      <w:r w:rsidR="002735FE" w:rsidRPr="008452EB">
        <w:rPr>
          <w:b w:val="0"/>
          <w:u w:val="single"/>
        </w:rPr>
        <w:t>objednatel souhlas neuděluje</w:t>
      </w:r>
      <w:r w:rsidRPr="008452EB">
        <w:rPr>
          <w:b w:val="0"/>
          <w:u w:val="single"/>
        </w:rPr>
        <w:t>.</w:t>
      </w:r>
    </w:p>
    <w:p w14:paraId="2922690D" w14:textId="2158F1DA" w:rsidR="00D942E7" w:rsidRPr="00D942E7" w:rsidRDefault="00D942E7" w:rsidP="004C3FF7">
      <w:pPr>
        <w:pStyle w:val="11uroven"/>
        <w:numPr>
          <w:ilvl w:val="0"/>
          <w:numId w:val="0"/>
        </w:numPr>
        <w:ind w:left="360" w:hanging="360"/>
        <w:rPr>
          <w:b w:val="0"/>
        </w:rPr>
      </w:pPr>
      <w:r w:rsidRPr="00D942E7">
        <w:rPr>
          <w:b w:val="0"/>
        </w:rPr>
        <w:t>13.9.</w:t>
      </w:r>
      <w:r>
        <w:rPr>
          <w:b w:val="0"/>
        </w:rPr>
        <w:t xml:space="preserve"> </w:t>
      </w:r>
      <w:r>
        <w:rPr>
          <w:b w:val="0"/>
        </w:rPr>
        <w:tab/>
      </w:r>
      <w:r w:rsidRPr="00D942E7">
        <w:rPr>
          <w:b w:val="0"/>
        </w:rPr>
        <w:t>Nedílnou součástí této smlouvy jsou následující přílohy:</w:t>
      </w:r>
    </w:p>
    <w:p w14:paraId="2824D996" w14:textId="022FD68E" w:rsidR="00D942E7" w:rsidRPr="00D942E7" w:rsidRDefault="004C3FF7" w:rsidP="004C3FF7">
      <w:pPr>
        <w:pStyle w:val="11uroven"/>
        <w:numPr>
          <w:ilvl w:val="0"/>
          <w:numId w:val="0"/>
        </w:numPr>
        <w:ind w:left="360" w:hanging="360"/>
        <w:rPr>
          <w:b w:val="0"/>
        </w:rPr>
      </w:pPr>
      <w:r>
        <w:rPr>
          <w:b w:val="0"/>
        </w:rPr>
        <w:t xml:space="preserve">Příloha č. 1 - </w:t>
      </w:r>
      <w:r w:rsidR="00D942E7" w:rsidRPr="00D942E7">
        <w:rPr>
          <w:b w:val="0"/>
        </w:rPr>
        <w:t>Technická specifika</w:t>
      </w:r>
      <w:r>
        <w:rPr>
          <w:b w:val="0"/>
        </w:rPr>
        <w:t>ce / Výkaz výměr - Migrace ED2</w:t>
      </w:r>
    </w:p>
    <w:p w14:paraId="02FF6671" w14:textId="2B474381" w:rsidR="00D942E7" w:rsidRPr="00D942E7" w:rsidRDefault="004C3FF7" w:rsidP="00D942E7">
      <w:pPr>
        <w:pStyle w:val="11uroven"/>
        <w:numPr>
          <w:ilvl w:val="0"/>
          <w:numId w:val="0"/>
        </w:numPr>
        <w:ind w:left="360" w:hanging="360"/>
        <w:rPr>
          <w:b w:val="0"/>
        </w:rPr>
      </w:pPr>
      <w:r>
        <w:rPr>
          <w:b w:val="0"/>
        </w:rPr>
        <w:t xml:space="preserve">Příloha č. 2 - </w:t>
      </w:r>
      <w:r w:rsidR="00D942E7" w:rsidRPr="00D942E7">
        <w:rPr>
          <w:b w:val="0"/>
        </w:rPr>
        <w:t>Popis stávají</w:t>
      </w:r>
      <w:r>
        <w:rPr>
          <w:b w:val="0"/>
        </w:rPr>
        <w:t>cích řídicích algoritmů ŘS ED1</w:t>
      </w:r>
    </w:p>
    <w:p w14:paraId="6172C607" w14:textId="4129A34C" w:rsidR="004C3FF7" w:rsidRDefault="004C3FF7" w:rsidP="004C3FF7">
      <w:pPr>
        <w:pStyle w:val="22uroven"/>
        <w:numPr>
          <w:ilvl w:val="0"/>
          <w:numId w:val="0"/>
        </w:numPr>
        <w:jc w:val="center"/>
        <w:rPr>
          <w:b/>
        </w:rPr>
      </w:pPr>
      <w:r w:rsidRPr="004C3FF7">
        <w:rPr>
          <w:b/>
        </w:rPr>
        <w:t>II.</w:t>
      </w:r>
    </w:p>
    <w:p w14:paraId="756A7A24" w14:textId="7B01C511" w:rsidR="004C3FF7" w:rsidRPr="004C3FF7" w:rsidRDefault="004C3FF7" w:rsidP="004C3FF7">
      <w:pPr>
        <w:pStyle w:val="22uroven"/>
        <w:numPr>
          <w:ilvl w:val="0"/>
          <w:numId w:val="0"/>
        </w:numPr>
        <w:jc w:val="center"/>
        <w:rPr>
          <w:b/>
        </w:rPr>
      </w:pPr>
      <w:r>
        <w:rPr>
          <w:b/>
        </w:rPr>
        <w:t>Závěrečná ustanovení dodatku</w:t>
      </w:r>
    </w:p>
    <w:p w14:paraId="170CDEC4" w14:textId="14A4FEF7" w:rsidR="002D32FC" w:rsidRPr="005017AA" w:rsidRDefault="004C3FF7" w:rsidP="004C3FF7">
      <w:pPr>
        <w:pStyle w:val="22uroven"/>
        <w:numPr>
          <w:ilvl w:val="0"/>
          <w:numId w:val="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1. Tento dodatek</w:t>
      </w:r>
      <w:r w:rsidR="006A67B2" w:rsidRPr="005017AA">
        <w:rPr>
          <w:rFonts w:asciiTheme="majorHAnsi" w:hAnsiTheme="majorHAnsi" w:cstheme="majorHAnsi"/>
        </w:rPr>
        <w:t xml:space="preserve"> </w:t>
      </w:r>
      <w:r w:rsidR="00F53991" w:rsidRPr="005017AA">
        <w:rPr>
          <w:rFonts w:asciiTheme="majorHAnsi" w:hAnsiTheme="majorHAnsi" w:cstheme="majorHAnsi"/>
        </w:rPr>
        <w:t xml:space="preserve">je </w:t>
      </w:r>
      <w:r w:rsidR="006A67B2" w:rsidRPr="005017AA">
        <w:rPr>
          <w:rFonts w:asciiTheme="majorHAnsi" w:hAnsiTheme="majorHAnsi" w:cstheme="majorHAnsi"/>
        </w:rPr>
        <w:t>vyhotoven ve dvou listinných stejnopisech s vlastnoručními podpisy smluvních stran, ze kterých každá ze smluvních stran obdrží jedno vyhotovení</w:t>
      </w:r>
      <w:r w:rsidR="002D32FC" w:rsidRPr="005017AA">
        <w:rPr>
          <w:rFonts w:asciiTheme="majorHAnsi" w:hAnsiTheme="majorHAnsi" w:cstheme="majorHAnsi"/>
        </w:rPr>
        <w:t>.</w:t>
      </w:r>
    </w:p>
    <w:p w14:paraId="3BF1F010" w14:textId="160E7297" w:rsidR="003B2EA5" w:rsidRPr="005017AA" w:rsidRDefault="004C3FF7" w:rsidP="004C3FF7">
      <w:pPr>
        <w:pStyle w:val="22uroven"/>
        <w:numPr>
          <w:ilvl w:val="0"/>
          <w:numId w:val="0"/>
        </w:num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2. Tento dodatek byl uzavřen</w:t>
      </w:r>
      <w:r w:rsidR="00BC1358" w:rsidRPr="005017AA">
        <w:rPr>
          <w:rFonts w:asciiTheme="majorHAnsi" w:hAnsiTheme="majorHAnsi" w:cstheme="majorHAnsi"/>
        </w:rPr>
        <w:t xml:space="preserve"> v běžném obchodním styku právnickou osobou, která byla založena za účelem uspokojování potřeb majících průmyslovou nebo obchodní povahu. Přestože </w:t>
      </w:r>
      <w:r>
        <w:rPr>
          <w:rFonts w:asciiTheme="majorHAnsi" w:hAnsiTheme="majorHAnsi" w:cstheme="majorHAnsi"/>
        </w:rPr>
        <w:t>dodatek</w:t>
      </w:r>
      <w:r w:rsidR="00BC1358" w:rsidRPr="005017AA">
        <w:rPr>
          <w:rFonts w:asciiTheme="majorHAnsi" w:hAnsiTheme="majorHAnsi" w:cstheme="majorHAnsi"/>
        </w:rPr>
        <w:t xml:space="preserve"> nepodléhá uveřejnění v registru smluv dle zákona č. 340/2015 Sb., o zvláštních podmínkách účinnosti některých smluv, uveřejňování těchto smluv a o registru smluv (zákon o registru smluv) ve znění pozdějších předpisů, pro naplnění zásady transparentnosti při uzavírání smlouvy se smluvní strany dohodly, že Brněnské vodárny a kanalizace, a.s. zajistí zveřejnění </w:t>
      </w:r>
      <w:r>
        <w:rPr>
          <w:rFonts w:asciiTheme="majorHAnsi" w:hAnsiTheme="majorHAnsi" w:cstheme="majorHAnsi"/>
        </w:rPr>
        <w:t>dodatku</w:t>
      </w:r>
      <w:r w:rsidR="00BC1358" w:rsidRPr="005017AA">
        <w:rPr>
          <w:rFonts w:asciiTheme="majorHAnsi" w:hAnsiTheme="majorHAnsi" w:cstheme="majorHAnsi"/>
        </w:rPr>
        <w:t xml:space="preserve"> v registru smluv. </w:t>
      </w:r>
    </w:p>
    <w:p w14:paraId="1213234B" w14:textId="49C5DBD3" w:rsidR="00BC1358" w:rsidRPr="005017AA" w:rsidRDefault="004C3FF7" w:rsidP="004C3FF7">
      <w:pPr>
        <w:pStyle w:val="22uroven"/>
        <w:numPr>
          <w:ilvl w:val="0"/>
          <w:numId w:val="0"/>
        </w:num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 xml:space="preserve">3. </w:t>
      </w:r>
      <w:r w:rsidR="00936511">
        <w:rPr>
          <w:rFonts w:asciiTheme="majorHAnsi" w:hAnsiTheme="majorHAnsi" w:cstheme="majorHAnsi"/>
        </w:rPr>
        <w:t>Smluvní strany</w:t>
      </w:r>
      <w:r w:rsidR="003B2EA5" w:rsidRPr="005017AA">
        <w:rPr>
          <w:rFonts w:asciiTheme="majorHAnsi" w:hAnsiTheme="majorHAnsi" w:cstheme="majorHAnsi"/>
        </w:rPr>
        <w:t xml:space="preserve"> prohlašuj</w:t>
      </w:r>
      <w:r w:rsidR="00936511">
        <w:rPr>
          <w:rFonts w:asciiTheme="majorHAnsi" w:hAnsiTheme="majorHAnsi" w:cstheme="majorHAnsi"/>
        </w:rPr>
        <w:t>í</w:t>
      </w:r>
      <w:r w:rsidR="00BC1358" w:rsidRPr="005017AA">
        <w:rPr>
          <w:rFonts w:asciiTheme="majorHAnsi" w:hAnsiTheme="majorHAnsi" w:cstheme="majorHAnsi"/>
        </w:rPr>
        <w:t>, že skutečnosti uvedené v</w:t>
      </w:r>
      <w:r>
        <w:rPr>
          <w:rFonts w:asciiTheme="majorHAnsi" w:hAnsiTheme="majorHAnsi" w:cstheme="majorHAnsi"/>
        </w:rPr>
        <w:t> tomto dodatku</w:t>
      </w:r>
      <w:r w:rsidR="00BC1358" w:rsidRPr="005017AA">
        <w:rPr>
          <w:rFonts w:asciiTheme="majorHAnsi" w:hAnsiTheme="majorHAnsi" w:cstheme="majorHAnsi"/>
        </w:rPr>
        <w:t xml:space="preserve"> nepovažují za obchodní tajemství ve smyslu ustanovení § 504</w:t>
      </w:r>
      <w:r w:rsidR="003B2EA5" w:rsidRPr="005017AA">
        <w:rPr>
          <w:rFonts w:asciiTheme="majorHAnsi" w:hAnsiTheme="majorHAnsi" w:cstheme="majorHAnsi"/>
        </w:rPr>
        <w:t xml:space="preserve"> zákona č. 89/2012 Sb. a uděluj</w:t>
      </w:r>
      <w:r w:rsidR="00936511">
        <w:rPr>
          <w:rFonts w:asciiTheme="majorHAnsi" w:hAnsiTheme="majorHAnsi" w:cstheme="majorHAnsi"/>
        </w:rPr>
        <w:t>í</w:t>
      </w:r>
      <w:r w:rsidR="00BC1358" w:rsidRPr="005017AA">
        <w:rPr>
          <w:rFonts w:asciiTheme="majorHAnsi" w:hAnsiTheme="majorHAnsi" w:cstheme="majorHAnsi"/>
        </w:rPr>
        <w:t xml:space="preserve"> svolení k jejich užití a zveřejnění bez stanovení jakýchkoliv dalších podmínek, </w:t>
      </w:r>
      <w:r w:rsidR="008452EB" w:rsidRPr="008452EB">
        <w:rPr>
          <w:rFonts w:asciiTheme="majorHAnsi" w:hAnsiTheme="majorHAnsi" w:cstheme="majorHAnsi"/>
          <w:u w:val="single"/>
        </w:rPr>
        <w:t xml:space="preserve">s výjimkou skutečností uvedených v Příloze č. 2 </w:t>
      </w:r>
      <w:r w:rsidR="008452EB">
        <w:rPr>
          <w:rFonts w:asciiTheme="majorHAnsi" w:hAnsiTheme="majorHAnsi" w:cstheme="majorHAnsi"/>
          <w:u w:val="single"/>
        </w:rPr>
        <w:t>tohoto dodatku</w:t>
      </w:r>
      <w:r w:rsidR="008452EB" w:rsidRPr="008452EB">
        <w:rPr>
          <w:rFonts w:asciiTheme="majorHAnsi" w:hAnsiTheme="majorHAnsi" w:cstheme="majorHAnsi"/>
          <w:u w:val="single"/>
        </w:rPr>
        <w:t>, které objednatel považuje za svoje obchodní tajemství a k jejichž uveřejnění objednatel souhlas neuděluje.</w:t>
      </w:r>
    </w:p>
    <w:p w14:paraId="780F262B" w14:textId="558F6EB8" w:rsidR="003B2EA5" w:rsidRPr="005017AA" w:rsidRDefault="00F75AE1" w:rsidP="004C3FF7">
      <w:pPr>
        <w:pStyle w:val="22uroven"/>
        <w:numPr>
          <w:ilvl w:val="0"/>
          <w:numId w:val="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="004C3FF7">
        <w:rPr>
          <w:rFonts w:asciiTheme="majorHAnsi" w:hAnsiTheme="majorHAnsi" w:cstheme="majorHAnsi"/>
        </w:rPr>
        <w:t xml:space="preserve">. </w:t>
      </w:r>
      <w:r w:rsidR="003B2EA5" w:rsidRPr="005017AA">
        <w:rPr>
          <w:rFonts w:asciiTheme="majorHAnsi" w:hAnsiTheme="majorHAnsi" w:cstheme="majorHAnsi"/>
        </w:rPr>
        <w:t>Smluvní strany prohlašují, že údaje uvedené v</w:t>
      </w:r>
      <w:r>
        <w:rPr>
          <w:rFonts w:asciiTheme="majorHAnsi" w:hAnsiTheme="majorHAnsi" w:cstheme="majorHAnsi"/>
        </w:rPr>
        <w:t> tomto dodatku</w:t>
      </w:r>
      <w:r w:rsidR="003B2EA5" w:rsidRPr="005017AA">
        <w:rPr>
          <w:rFonts w:asciiTheme="majorHAnsi" w:hAnsiTheme="majorHAnsi" w:cstheme="majorHAnsi"/>
        </w:rPr>
        <w:t xml:space="preserve"> nejsou informacemi požívajícími ochrany důvěrnosti majetkových poměrů. </w:t>
      </w:r>
    </w:p>
    <w:p w14:paraId="029CA9E1" w14:textId="1786D82A" w:rsidR="00150954" w:rsidRPr="005017AA" w:rsidRDefault="004C3FF7" w:rsidP="004C3FF7">
      <w:pPr>
        <w:pStyle w:val="22uroven"/>
        <w:numPr>
          <w:ilvl w:val="0"/>
          <w:numId w:val="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6. </w:t>
      </w:r>
      <w:r w:rsidR="00150954" w:rsidRPr="005017AA">
        <w:rPr>
          <w:rFonts w:asciiTheme="majorHAnsi" w:hAnsiTheme="majorHAnsi" w:cstheme="majorHAnsi"/>
        </w:rPr>
        <w:t xml:space="preserve">Nedílnou součástí </w:t>
      </w:r>
      <w:r w:rsidR="00F75AE1">
        <w:rPr>
          <w:rFonts w:asciiTheme="majorHAnsi" w:hAnsiTheme="majorHAnsi" w:cstheme="majorHAnsi"/>
        </w:rPr>
        <w:t>tohoto dodatku</w:t>
      </w:r>
      <w:r w:rsidR="00150954" w:rsidRPr="005017AA">
        <w:rPr>
          <w:rFonts w:asciiTheme="majorHAnsi" w:hAnsiTheme="majorHAnsi" w:cstheme="majorHAnsi"/>
        </w:rPr>
        <w:t xml:space="preserve"> je Příloha č. </w:t>
      </w:r>
      <w:r w:rsidR="00F75AE1">
        <w:rPr>
          <w:rFonts w:asciiTheme="majorHAnsi" w:hAnsiTheme="majorHAnsi" w:cstheme="majorHAnsi"/>
        </w:rPr>
        <w:t>2</w:t>
      </w:r>
      <w:r w:rsidR="00150954" w:rsidRPr="005017AA">
        <w:rPr>
          <w:rFonts w:asciiTheme="majorHAnsi" w:hAnsiTheme="majorHAnsi" w:cstheme="majorHAnsi"/>
        </w:rPr>
        <w:t xml:space="preserve"> </w:t>
      </w:r>
      <w:r w:rsidR="008452EB">
        <w:rPr>
          <w:rFonts w:asciiTheme="majorHAnsi" w:hAnsiTheme="majorHAnsi" w:cstheme="majorHAnsi"/>
        </w:rPr>
        <w:t xml:space="preserve">smlouvy </w:t>
      </w:r>
      <w:r w:rsidR="00150954" w:rsidRPr="005017AA">
        <w:rPr>
          <w:rFonts w:asciiTheme="majorHAnsi" w:hAnsiTheme="majorHAnsi" w:cstheme="majorHAnsi"/>
        </w:rPr>
        <w:t xml:space="preserve">obsahující </w:t>
      </w:r>
      <w:r w:rsidR="00F75AE1">
        <w:t>popis stávajících řídicích algoritmů ŘS ED1</w:t>
      </w:r>
      <w:r w:rsidR="00150954" w:rsidRPr="005017AA">
        <w:rPr>
          <w:rFonts w:asciiTheme="majorHAnsi" w:hAnsiTheme="majorHAnsi" w:cstheme="majorHAnsi"/>
        </w:rPr>
        <w:t>.</w:t>
      </w:r>
    </w:p>
    <w:p w14:paraId="19716E03" w14:textId="5E209F32" w:rsidR="002D32FC" w:rsidRPr="005017AA" w:rsidRDefault="004C3FF7" w:rsidP="004C3FF7">
      <w:pPr>
        <w:pStyle w:val="22uroven"/>
        <w:numPr>
          <w:ilvl w:val="0"/>
          <w:numId w:val="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7. </w:t>
      </w:r>
      <w:r w:rsidR="002D32FC" w:rsidRPr="005017AA">
        <w:rPr>
          <w:rFonts w:asciiTheme="majorHAnsi" w:hAnsiTheme="majorHAnsi" w:cstheme="majorHAnsi"/>
        </w:rPr>
        <w:t xml:space="preserve">Smluvní strany prohlašují, že s obsahem této smlouvy souhlasí a nemají žádných připomínek. Na důkaz toho připojují své podpisy. </w:t>
      </w:r>
    </w:p>
    <w:p w14:paraId="2F96191F" w14:textId="77777777" w:rsidR="002D32FC" w:rsidRPr="005017AA" w:rsidRDefault="002D32FC" w:rsidP="00A51C5B">
      <w:pPr>
        <w:rPr>
          <w:rFonts w:asciiTheme="majorHAnsi" w:hAnsiTheme="majorHAnsi" w:cstheme="majorHAnsi"/>
          <w:b/>
        </w:rPr>
      </w:pPr>
    </w:p>
    <w:tbl>
      <w:tblPr>
        <w:tblW w:w="96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257"/>
        <w:gridCol w:w="167"/>
        <w:gridCol w:w="540"/>
        <w:gridCol w:w="540"/>
        <w:gridCol w:w="1741"/>
        <w:gridCol w:w="2367"/>
        <w:gridCol w:w="160"/>
      </w:tblGrid>
      <w:tr w:rsidR="00445D66" w:rsidRPr="005017AA" w14:paraId="2044C8EB" w14:textId="77777777" w:rsidTr="00445D66">
        <w:tc>
          <w:tcPr>
            <w:tcW w:w="1843" w:type="dxa"/>
          </w:tcPr>
          <w:p w14:paraId="2C4E7E4C" w14:textId="50266CE3" w:rsidR="00445D66" w:rsidRPr="005017AA" w:rsidRDefault="00445D66" w:rsidP="00103BC4">
            <w:pPr>
              <w:rPr>
                <w:rFonts w:asciiTheme="majorHAnsi" w:hAnsiTheme="majorHAnsi" w:cstheme="majorHAnsi"/>
              </w:rPr>
            </w:pPr>
            <w:r w:rsidRPr="005017AA">
              <w:rPr>
                <w:rFonts w:asciiTheme="majorHAnsi" w:hAnsiTheme="majorHAnsi" w:cstheme="majorHAnsi"/>
              </w:rPr>
              <w:t>Ve Zlíně</w:t>
            </w:r>
          </w:p>
        </w:tc>
        <w:tc>
          <w:tcPr>
            <w:tcW w:w="2257" w:type="dxa"/>
          </w:tcPr>
          <w:p w14:paraId="5A5000C0" w14:textId="6E6AF845" w:rsidR="00445D66" w:rsidRPr="005017AA" w:rsidRDefault="00445D66" w:rsidP="004D11E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Pr="005017AA">
              <w:rPr>
                <w:rFonts w:asciiTheme="majorHAnsi" w:hAnsiTheme="majorHAnsi" w:cstheme="majorHAnsi"/>
              </w:rPr>
              <w:t>ne</w:t>
            </w:r>
            <w:r>
              <w:rPr>
                <w:rFonts w:asciiTheme="majorHAnsi" w:hAnsiTheme="majorHAnsi" w:cstheme="majorHAnsi"/>
              </w:rPr>
              <w:t xml:space="preserve"> 19. 8. 2025</w:t>
            </w:r>
          </w:p>
        </w:tc>
        <w:tc>
          <w:tcPr>
            <w:tcW w:w="167" w:type="dxa"/>
          </w:tcPr>
          <w:p w14:paraId="4A39A91B" w14:textId="77777777" w:rsidR="00445D66" w:rsidRPr="005017AA" w:rsidRDefault="00445D66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51077E41" w14:textId="77777777" w:rsidR="00445D66" w:rsidRPr="005017AA" w:rsidRDefault="00445D66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2119451B" w14:textId="75E443BC" w:rsidR="00445D66" w:rsidRPr="005017AA" w:rsidRDefault="00445D66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1" w:type="dxa"/>
          </w:tcPr>
          <w:p w14:paraId="617CDD8C" w14:textId="77777777" w:rsidR="00445D66" w:rsidRPr="005017AA" w:rsidRDefault="00445D66" w:rsidP="004D11E8">
            <w:pPr>
              <w:rPr>
                <w:rFonts w:asciiTheme="majorHAnsi" w:hAnsiTheme="majorHAnsi" w:cstheme="majorHAnsi"/>
              </w:rPr>
            </w:pPr>
            <w:r w:rsidRPr="005017AA">
              <w:rPr>
                <w:rFonts w:asciiTheme="majorHAnsi" w:hAnsiTheme="majorHAnsi" w:cstheme="majorHAnsi"/>
              </w:rPr>
              <w:t>V Brně</w:t>
            </w:r>
          </w:p>
        </w:tc>
        <w:tc>
          <w:tcPr>
            <w:tcW w:w="2367" w:type="dxa"/>
          </w:tcPr>
          <w:p w14:paraId="0E4C1B4E" w14:textId="3942F327" w:rsidR="00445D66" w:rsidRPr="005017AA" w:rsidRDefault="00445D66" w:rsidP="004D11E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Pr="005017AA">
              <w:rPr>
                <w:rFonts w:asciiTheme="majorHAnsi" w:hAnsiTheme="majorHAnsi" w:cstheme="majorHAnsi"/>
              </w:rPr>
              <w:t>ne</w:t>
            </w:r>
            <w:r>
              <w:rPr>
                <w:rFonts w:asciiTheme="majorHAnsi" w:hAnsiTheme="majorHAnsi" w:cstheme="majorHAnsi"/>
              </w:rPr>
              <w:t xml:space="preserve"> 25. 8. 2025</w:t>
            </w:r>
          </w:p>
        </w:tc>
        <w:tc>
          <w:tcPr>
            <w:tcW w:w="160" w:type="dxa"/>
          </w:tcPr>
          <w:p w14:paraId="18C031D7" w14:textId="77777777" w:rsidR="00445D66" w:rsidRPr="005017AA" w:rsidRDefault="00445D66" w:rsidP="004D11E8">
            <w:pPr>
              <w:rPr>
                <w:rFonts w:asciiTheme="majorHAnsi" w:hAnsiTheme="majorHAnsi" w:cstheme="majorHAnsi"/>
              </w:rPr>
            </w:pPr>
          </w:p>
        </w:tc>
      </w:tr>
      <w:tr w:rsidR="00445D66" w:rsidRPr="005017AA" w14:paraId="18CA59F0" w14:textId="77777777" w:rsidTr="00445D66">
        <w:tc>
          <w:tcPr>
            <w:tcW w:w="4267" w:type="dxa"/>
            <w:gridSpan w:val="3"/>
          </w:tcPr>
          <w:p w14:paraId="09DCA19D" w14:textId="77777777" w:rsidR="00445D66" w:rsidRPr="005017AA" w:rsidRDefault="00445D66" w:rsidP="00ED2CA0">
            <w:pPr>
              <w:rPr>
                <w:rFonts w:asciiTheme="majorHAnsi" w:hAnsiTheme="majorHAnsi" w:cstheme="majorHAnsi"/>
              </w:rPr>
            </w:pPr>
            <w:r w:rsidRPr="005017AA">
              <w:rPr>
                <w:rFonts w:asciiTheme="majorHAnsi" w:hAnsiTheme="majorHAnsi" w:cstheme="majorHAnsi"/>
              </w:rPr>
              <w:t>Za zhotovitele</w:t>
            </w:r>
          </w:p>
        </w:tc>
        <w:tc>
          <w:tcPr>
            <w:tcW w:w="540" w:type="dxa"/>
          </w:tcPr>
          <w:p w14:paraId="761237E5" w14:textId="77777777" w:rsidR="00445D66" w:rsidRPr="005017AA" w:rsidRDefault="00445D66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7030A706" w14:textId="2783604D" w:rsidR="00445D66" w:rsidRPr="005017AA" w:rsidRDefault="00445D66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68" w:type="dxa"/>
            <w:gridSpan w:val="3"/>
          </w:tcPr>
          <w:p w14:paraId="15848AB7" w14:textId="77777777" w:rsidR="00445D66" w:rsidRPr="005017AA" w:rsidRDefault="00445D66" w:rsidP="00ED2CA0">
            <w:pPr>
              <w:rPr>
                <w:rFonts w:asciiTheme="majorHAnsi" w:hAnsiTheme="majorHAnsi" w:cstheme="majorHAnsi"/>
              </w:rPr>
            </w:pPr>
            <w:r w:rsidRPr="005017AA">
              <w:rPr>
                <w:rFonts w:asciiTheme="majorHAnsi" w:hAnsiTheme="majorHAnsi" w:cstheme="majorHAnsi"/>
              </w:rPr>
              <w:t>Za objednatele</w:t>
            </w:r>
          </w:p>
        </w:tc>
      </w:tr>
      <w:tr w:rsidR="00445D66" w:rsidRPr="005017AA" w14:paraId="382AF0CC" w14:textId="77777777" w:rsidTr="00445D66">
        <w:trPr>
          <w:trHeight w:val="1475"/>
        </w:trPr>
        <w:tc>
          <w:tcPr>
            <w:tcW w:w="4267" w:type="dxa"/>
            <w:gridSpan w:val="3"/>
            <w:tcBorders>
              <w:bottom w:val="dashed" w:sz="4" w:space="0" w:color="auto"/>
            </w:tcBorders>
          </w:tcPr>
          <w:p w14:paraId="25E8FC4B" w14:textId="77777777" w:rsidR="00445D66" w:rsidRPr="005017AA" w:rsidRDefault="00445D66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30B096A6" w14:textId="77777777" w:rsidR="00445D66" w:rsidRPr="005017AA" w:rsidRDefault="00445D66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7623943F" w14:textId="33F748CC" w:rsidR="00445D66" w:rsidRPr="005017AA" w:rsidRDefault="00445D66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68" w:type="dxa"/>
            <w:gridSpan w:val="3"/>
            <w:tcBorders>
              <w:bottom w:val="dashed" w:sz="4" w:space="0" w:color="auto"/>
            </w:tcBorders>
          </w:tcPr>
          <w:p w14:paraId="4DFB2E45" w14:textId="77777777" w:rsidR="00445D66" w:rsidRPr="005017AA" w:rsidRDefault="00445D66" w:rsidP="004D11E8">
            <w:pPr>
              <w:rPr>
                <w:rFonts w:asciiTheme="majorHAnsi" w:hAnsiTheme="majorHAnsi" w:cstheme="majorHAnsi"/>
              </w:rPr>
            </w:pPr>
          </w:p>
        </w:tc>
      </w:tr>
      <w:tr w:rsidR="00445D66" w:rsidRPr="00666EF7" w14:paraId="50DB294A" w14:textId="77777777" w:rsidTr="00445D66">
        <w:tc>
          <w:tcPr>
            <w:tcW w:w="4267" w:type="dxa"/>
            <w:gridSpan w:val="3"/>
            <w:tcBorders>
              <w:top w:val="dashed" w:sz="4" w:space="0" w:color="auto"/>
            </w:tcBorders>
          </w:tcPr>
          <w:p w14:paraId="170F4BB8" w14:textId="77777777" w:rsidR="00445D66" w:rsidRPr="005017AA" w:rsidRDefault="00445D66" w:rsidP="00BF6029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5017AA">
              <w:rPr>
                <w:rFonts w:asciiTheme="majorHAnsi" w:hAnsiTheme="majorHAnsi" w:cstheme="majorHAnsi"/>
                <w:sz w:val="20"/>
              </w:rPr>
              <w:t>AISE, s. r. o.</w:t>
            </w:r>
          </w:p>
          <w:p w14:paraId="4763BA99" w14:textId="047745F5" w:rsidR="00445D66" w:rsidRPr="005017AA" w:rsidRDefault="00234A06" w:rsidP="00BF6029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XXX</w:t>
            </w:r>
          </w:p>
        </w:tc>
        <w:tc>
          <w:tcPr>
            <w:tcW w:w="540" w:type="dxa"/>
          </w:tcPr>
          <w:p w14:paraId="10E701BC" w14:textId="77777777" w:rsidR="00445D66" w:rsidRPr="005017AA" w:rsidRDefault="00445D66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57FA58E5" w14:textId="01901E4C" w:rsidR="00445D66" w:rsidRPr="005017AA" w:rsidRDefault="00445D66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68" w:type="dxa"/>
            <w:gridSpan w:val="3"/>
            <w:tcBorders>
              <w:top w:val="dashed" w:sz="4" w:space="0" w:color="auto"/>
            </w:tcBorders>
          </w:tcPr>
          <w:p w14:paraId="3A3136D0" w14:textId="77777777" w:rsidR="00445D66" w:rsidRPr="005017AA" w:rsidRDefault="00445D66" w:rsidP="004D11E8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5017AA">
              <w:rPr>
                <w:rFonts w:asciiTheme="majorHAnsi" w:hAnsiTheme="majorHAnsi" w:cstheme="majorHAnsi"/>
                <w:sz w:val="20"/>
              </w:rPr>
              <w:t>Brněnské vodárny a kanalizace, a.s.</w:t>
            </w:r>
          </w:p>
          <w:p w14:paraId="0D109971" w14:textId="075FDC9E" w:rsidR="00445D66" w:rsidRPr="00666EF7" w:rsidRDefault="00234A06" w:rsidP="00970B7C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XXX</w:t>
            </w:r>
          </w:p>
        </w:tc>
      </w:tr>
    </w:tbl>
    <w:p w14:paraId="02CBE04A" w14:textId="77777777" w:rsidR="002D32FC" w:rsidRPr="00666EF7" w:rsidRDefault="002D32FC" w:rsidP="00257A5F">
      <w:pPr>
        <w:rPr>
          <w:rFonts w:asciiTheme="majorHAnsi" w:hAnsiTheme="majorHAnsi" w:cstheme="majorHAnsi"/>
        </w:rPr>
      </w:pPr>
    </w:p>
    <w:p w14:paraId="626839A4" w14:textId="77777777" w:rsidR="002D32FC" w:rsidRPr="00666EF7" w:rsidRDefault="002D32FC" w:rsidP="00F54A43">
      <w:pPr>
        <w:rPr>
          <w:rFonts w:asciiTheme="majorHAnsi" w:hAnsiTheme="majorHAnsi" w:cstheme="majorHAnsi"/>
        </w:rPr>
        <w:sectPr w:rsidR="002D32FC" w:rsidRPr="00666EF7" w:rsidSect="002D32FC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537842B6" w14:textId="2B2FC948" w:rsidR="002D32FC" w:rsidRDefault="002D32FC" w:rsidP="00F54A43">
      <w:pPr>
        <w:rPr>
          <w:rFonts w:asciiTheme="majorHAnsi" w:hAnsiTheme="majorHAnsi" w:cstheme="majorHAnsi"/>
        </w:rPr>
      </w:pPr>
    </w:p>
    <w:p w14:paraId="63499A15" w14:textId="77777777" w:rsidR="00FD371C" w:rsidRDefault="00FD371C" w:rsidP="00F54A43">
      <w:pPr>
        <w:rPr>
          <w:rFonts w:asciiTheme="majorHAnsi" w:hAnsiTheme="majorHAnsi" w:cstheme="majorHAnsi"/>
        </w:rPr>
      </w:pPr>
    </w:p>
    <w:p w14:paraId="550FBD4F" w14:textId="177C3988" w:rsidR="00FD371C" w:rsidRPr="005017AA" w:rsidRDefault="00FD371C" w:rsidP="00FD371C">
      <w:pPr>
        <w:pStyle w:val="0Nzevsmlouvy-nejvyssi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Příloha č. 2 s</w:t>
      </w:r>
      <w:r w:rsidRPr="005017AA">
        <w:rPr>
          <w:rFonts w:asciiTheme="majorHAnsi" w:hAnsiTheme="majorHAnsi" w:cstheme="majorHAnsi"/>
        </w:rPr>
        <w:t>mlouv</w:t>
      </w:r>
      <w:r>
        <w:rPr>
          <w:rFonts w:asciiTheme="majorHAnsi" w:hAnsiTheme="majorHAnsi" w:cstheme="majorHAnsi"/>
        </w:rPr>
        <w:t>y</w:t>
      </w:r>
      <w:r w:rsidRPr="005017AA">
        <w:rPr>
          <w:rFonts w:asciiTheme="majorHAnsi" w:hAnsiTheme="majorHAnsi" w:cstheme="majorHAnsi"/>
        </w:rPr>
        <w:t xml:space="preserve"> o dílo</w:t>
      </w:r>
      <w:r>
        <w:rPr>
          <w:rFonts w:asciiTheme="majorHAnsi" w:hAnsiTheme="majorHAnsi" w:cstheme="majorHAnsi"/>
        </w:rPr>
        <w:t xml:space="preserve"> č. SML/0449/24</w:t>
      </w:r>
    </w:p>
    <w:p w14:paraId="6E748194" w14:textId="77777777" w:rsidR="00FD371C" w:rsidRPr="005017AA" w:rsidRDefault="00FD371C" w:rsidP="00FD371C">
      <w:pPr>
        <w:pStyle w:val="text"/>
        <w:rPr>
          <w:rFonts w:asciiTheme="majorHAnsi" w:hAnsiTheme="majorHAnsi" w:cstheme="majorHAnsi"/>
        </w:rPr>
      </w:pPr>
      <w:bookmarkStart w:id="0" w:name="_GoBack"/>
      <w:bookmarkEnd w:id="0"/>
    </w:p>
    <w:p w14:paraId="603FED4B" w14:textId="524B4EAB" w:rsidR="00FD371C" w:rsidRPr="00FD371C" w:rsidRDefault="00234A06" w:rsidP="00F54A4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XXX</w:t>
      </w:r>
    </w:p>
    <w:sectPr w:rsidR="00FD371C" w:rsidRPr="00FD371C" w:rsidSect="002D32FC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F03DD" w14:textId="77777777" w:rsidR="0047576E" w:rsidRDefault="0047576E" w:rsidP="00C3612E">
      <w:r>
        <w:separator/>
      </w:r>
    </w:p>
  </w:endnote>
  <w:endnote w:type="continuationSeparator" w:id="0">
    <w:p w14:paraId="02FDC69E" w14:textId="77777777" w:rsidR="0047576E" w:rsidRDefault="0047576E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384444"/>
      <w:docPartObj>
        <w:docPartGallery w:val="Page Numbers (Bottom of Page)"/>
        <w:docPartUnique/>
      </w:docPartObj>
    </w:sdtPr>
    <w:sdtEndPr/>
    <w:sdtContent>
      <w:p w14:paraId="3F179CC0" w14:textId="77777777" w:rsidR="002D32FC" w:rsidRDefault="002D32F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D90FC67" wp14:editId="5E2FC539">
                  <wp:extent cx="5467350" cy="45085"/>
                  <wp:effectExtent l="0" t="0" r="0" b="0"/>
                  <wp:docPr id="1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0C3931E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YnYVZtwIAAGs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7E54CF1" w14:textId="0B6D760D" w:rsidR="002D32FC" w:rsidRDefault="002D32F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234A06">
          <w:rPr>
            <w:noProof/>
          </w:rPr>
          <w:t>3</w:t>
        </w:r>
        <w:r>
          <w:fldChar w:fldCharType="end"/>
        </w:r>
      </w:p>
    </w:sdtContent>
  </w:sdt>
  <w:p w14:paraId="02C56F34" w14:textId="77777777" w:rsidR="002D32FC" w:rsidRDefault="002D32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14:paraId="3D885134" w14:textId="77777777" w:rsidR="00EE448C" w:rsidRDefault="002D32F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9ADF252" wp14:editId="51363317">
                  <wp:extent cx="5467350" cy="45085"/>
                  <wp:effectExtent l="0" t="0" r="0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391B4FB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lkuQIAAG0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1A001B2" w14:textId="07EDFD9A" w:rsidR="00EE448C" w:rsidRDefault="00EE448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234A06">
          <w:rPr>
            <w:noProof/>
          </w:rPr>
          <w:t>4</w:t>
        </w:r>
        <w:r>
          <w:fldChar w:fldCharType="end"/>
        </w:r>
      </w:p>
    </w:sdtContent>
  </w:sdt>
  <w:p w14:paraId="626DE048" w14:textId="77777777" w:rsidR="00EE448C" w:rsidRDefault="00EE44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5F146" w14:textId="77777777" w:rsidR="0047576E" w:rsidRDefault="0047576E" w:rsidP="00C3612E">
      <w:r>
        <w:separator/>
      </w:r>
    </w:p>
  </w:footnote>
  <w:footnote w:type="continuationSeparator" w:id="0">
    <w:p w14:paraId="1F180A31" w14:textId="77777777" w:rsidR="0047576E" w:rsidRDefault="0047576E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20D67" w14:textId="2405DF69" w:rsidR="00666EF7" w:rsidRDefault="0047576E">
    <w:pPr>
      <w:pStyle w:val="Zhlav"/>
    </w:pPr>
    <w:r>
      <w:rPr>
        <w:noProof/>
      </w:rPr>
      <w:pict w14:anchorId="10587E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327985" o:spid="_x0000_s2056" type="#_x0000_t75" style="position:absolute;left:0;text-align:left;margin-left:0;margin-top:0;width:229.4pt;height:373.4pt;z-index:-251657216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2BEB5" w14:textId="65D4F1EF" w:rsidR="00666EF7" w:rsidRDefault="0047576E">
    <w:pPr>
      <w:pStyle w:val="Zhlav"/>
    </w:pPr>
    <w:r>
      <w:rPr>
        <w:noProof/>
      </w:rPr>
      <w:pict w14:anchorId="355256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327986" o:spid="_x0000_s2057" type="#_x0000_t75" style="position:absolute;left:0;text-align:left;margin-left:0;margin-top:0;width:229.4pt;height:373.4pt;z-index:-251656192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F112F" w14:textId="25768976" w:rsidR="00666EF7" w:rsidRDefault="0047576E">
    <w:pPr>
      <w:pStyle w:val="Zhlav"/>
    </w:pPr>
    <w:r>
      <w:rPr>
        <w:noProof/>
      </w:rPr>
      <w:pict w14:anchorId="4F8449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327984" o:spid="_x0000_s2055" type="#_x0000_t75" style="position:absolute;left:0;text-align:left;margin-left:0;margin-top:0;width:229.4pt;height:373.4pt;z-index:-25165824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841D" w14:textId="669488AE" w:rsidR="00666EF7" w:rsidRDefault="0047576E">
    <w:pPr>
      <w:pStyle w:val="Zhlav"/>
    </w:pPr>
    <w:r>
      <w:rPr>
        <w:noProof/>
      </w:rPr>
      <w:pict w14:anchorId="6B4C7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327988" o:spid="_x0000_s2059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43C83" w14:textId="0D2EB00A" w:rsidR="00666EF7" w:rsidRDefault="0047576E">
    <w:pPr>
      <w:pStyle w:val="Zhlav"/>
    </w:pPr>
    <w:r>
      <w:rPr>
        <w:noProof/>
      </w:rPr>
      <w:pict w14:anchorId="532421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327989" o:spid="_x0000_s2060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45043" w14:textId="6F2684ED" w:rsidR="00666EF7" w:rsidRDefault="0047576E">
    <w:pPr>
      <w:pStyle w:val="Zhlav"/>
    </w:pPr>
    <w:r>
      <w:rPr>
        <w:noProof/>
      </w:rPr>
      <w:pict w14:anchorId="33C679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327987" o:spid="_x0000_s2058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4" w15:restartNumberingAfterBreak="1">
    <w:nsid w:val="19173E62"/>
    <w:multiLevelType w:val="multilevel"/>
    <w:tmpl w:val="F7E265B2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85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</w:rPr>
    </w:lvl>
  </w:abstractNum>
  <w:abstractNum w:abstractNumId="5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7746F2"/>
    <w:multiLevelType w:val="hybridMultilevel"/>
    <w:tmpl w:val="E806C206"/>
    <w:lvl w:ilvl="0" w:tplc="714830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7630AC2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C942875"/>
    <w:multiLevelType w:val="hybridMultilevel"/>
    <w:tmpl w:val="7EDEB004"/>
    <w:lvl w:ilvl="0" w:tplc="6EBA6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01D09"/>
    <w:multiLevelType w:val="hybridMultilevel"/>
    <w:tmpl w:val="0332E506"/>
    <w:lvl w:ilvl="0" w:tplc="DD82524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1">
    <w:nsid w:val="47456AF4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C8A0619"/>
    <w:multiLevelType w:val="hybridMultilevel"/>
    <w:tmpl w:val="BF7C8580"/>
    <w:lvl w:ilvl="0" w:tplc="88D01B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A2F36"/>
    <w:multiLevelType w:val="hybridMultilevel"/>
    <w:tmpl w:val="E662E3C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50DB4"/>
    <w:multiLevelType w:val="hybridMultilevel"/>
    <w:tmpl w:val="03B482CC"/>
    <w:lvl w:ilvl="0" w:tplc="12B4C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2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5E1392B"/>
    <w:multiLevelType w:val="hybridMultilevel"/>
    <w:tmpl w:val="10E470DC"/>
    <w:lvl w:ilvl="0" w:tplc="7EF607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6C6C3B45"/>
    <w:multiLevelType w:val="hybridMultilevel"/>
    <w:tmpl w:val="0D06079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1">
    <w:nsid w:val="72A90226"/>
    <w:multiLevelType w:val="multilevel"/>
    <w:tmpl w:val="11C87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A2B0AF2"/>
    <w:multiLevelType w:val="hybridMultilevel"/>
    <w:tmpl w:val="3B3E449E"/>
    <w:lvl w:ilvl="0" w:tplc="0A3CE2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22"/>
  </w:num>
  <w:num w:numId="4">
    <w:abstractNumId w:val="15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12"/>
  </w:num>
  <w:num w:numId="10">
    <w:abstractNumId w:val="17"/>
  </w:num>
  <w:num w:numId="11">
    <w:abstractNumId w:val="26"/>
  </w:num>
  <w:num w:numId="12">
    <w:abstractNumId w:val="5"/>
  </w:num>
  <w:num w:numId="13">
    <w:abstractNumId w:val="19"/>
  </w:num>
  <w:num w:numId="14">
    <w:abstractNumId w:val="20"/>
  </w:num>
  <w:num w:numId="15">
    <w:abstractNumId w:val="20"/>
  </w:num>
  <w:num w:numId="16">
    <w:abstractNumId w:val="3"/>
  </w:num>
  <w:num w:numId="17">
    <w:abstractNumId w:val="21"/>
  </w:num>
  <w:num w:numId="18">
    <w:abstractNumId w:val="3"/>
    <w:lvlOverride w:ilvl="0">
      <w:startOverride w:val="1"/>
    </w:lvlOverride>
  </w:num>
  <w:num w:numId="19">
    <w:abstractNumId w:val="29"/>
  </w:num>
  <w:num w:numId="20">
    <w:abstractNumId w:val="23"/>
  </w:num>
  <w:num w:numId="21">
    <w:abstractNumId w:val="25"/>
  </w:num>
  <w:num w:numId="22">
    <w:abstractNumId w:val="27"/>
  </w:num>
  <w:num w:numId="23">
    <w:abstractNumId w:val="7"/>
  </w:num>
  <w:num w:numId="24">
    <w:abstractNumId w:val="13"/>
  </w:num>
  <w:num w:numId="25">
    <w:abstractNumId w:val="4"/>
  </w:num>
  <w:num w:numId="26">
    <w:abstractNumId w:val="16"/>
  </w:num>
  <w:num w:numId="27">
    <w:abstractNumId w:val="14"/>
  </w:num>
  <w:num w:numId="28">
    <w:abstractNumId w:val="28"/>
  </w:num>
  <w:num w:numId="29">
    <w:abstractNumId w:val="18"/>
  </w:num>
  <w:num w:numId="30">
    <w:abstractNumId w:val="8"/>
  </w:num>
  <w:num w:numId="31">
    <w:abstractNumId w:val="6"/>
  </w:num>
  <w:num w:numId="32">
    <w:abstractNumId w:val="9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8C"/>
    <w:rsid w:val="00007A82"/>
    <w:rsid w:val="0001497D"/>
    <w:rsid w:val="000228A3"/>
    <w:rsid w:val="00022EF9"/>
    <w:rsid w:val="0002582F"/>
    <w:rsid w:val="00030F5F"/>
    <w:rsid w:val="000340D0"/>
    <w:rsid w:val="00035186"/>
    <w:rsid w:val="000353B7"/>
    <w:rsid w:val="00046A2A"/>
    <w:rsid w:val="00050A2E"/>
    <w:rsid w:val="0005319E"/>
    <w:rsid w:val="00066EB5"/>
    <w:rsid w:val="00067AA4"/>
    <w:rsid w:val="000718AE"/>
    <w:rsid w:val="00071F42"/>
    <w:rsid w:val="00073208"/>
    <w:rsid w:val="00075582"/>
    <w:rsid w:val="00086D87"/>
    <w:rsid w:val="00092C99"/>
    <w:rsid w:val="000975F9"/>
    <w:rsid w:val="000A72F6"/>
    <w:rsid w:val="000B0E91"/>
    <w:rsid w:val="000B2741"/>
    <w:rsid w:val="000B4709"/>
    <w:rsid w:val="000B520B"/>
    <w:rsid w:val="000C1A28"/>
    <w:rsid w:val="000C7DD3"/>
    <w:rsid w:val="000D3283"/>
    <w:rsid w:val="000D5281"/>
    <w:rsid w:val="000E2505"/>
    <w:rsid w:val="000E315F"/>
    <w:rsid w:val="000E375C"/>
    <w:rsid w:val="000F2D51"/>
    <w:rsid w:val="000F7F5E"/>
    <w:rsid w:val="00103454"/>
    <w:rsid w:val="00103BC4"/>
    <w:rsid w:val="00106A79"/>
    <w:rsid w:val="00114FF2"/>
    <w:rsid w:val="001166E6"/>
    <w:rsid w:val="00116D8A"/>
    <w:rsid w:val="00117935"/>
    <w:rsid w:val="001242C5"/>
    <w:rsid w:val="00131470"/>
    <w:rsid w:val="00131F22"/>
    <w:rsid w:val="00132F5B"/>
    <w:rsid w:val="001375D8"/>
    <w:rsid w:val="00143108"/>
    <w:rsid w:val="00150954"/>
    <w:rsid w:val="001545C5"/>
    <w:rsid w:val="00155206"/>
    <w:rsid w:val="00170823"/>
    <w:rsid w:val="00173391"/>
    <w:rsid w:val="00180E81"/>
    <w:rsid w:val="0018142D"/>
    <w:rsid w:val="0018268B"/>
    <w:rsid w:val="001843E3"/>
    <w:rsid w:val="00193283"/>
    <w:rsid w:val="001A642F"/>
    <w:rsid w:val="001A6BE3"/>
    <w:rsid w:val="001C55D6"/>
    <w:rsid w:val="001D459C"/>
    <w:rsid w:val="001D754A"/>
    <w:rsid w:val="001E110B"/>
    <w:rsid w:val="001E66BE"/>
    <w:rsid w:val="001F6051"/>
    <w:rsid w:val="00200609"/>
    <w:rsid w:val="0020709F"/>
    <w:rsid w:val="00213631"/>
    <w:rsid w:val="0022731B"/>
    <w:rsid w:val="00230491"/>
    <w:rsid w:val="002309D5"/>
    <w:rsid w:val="00230B84"/>
    <w:rsid w:val="00234A06"/>
    <w:rsid w:val="00235007"/>
    <w:rsid w:val="00250C2E"/>
    <w:rsid w:val="00252177"/>
    <w:rsid w:val="00257A5F"/>
    <w:rsid w:val="00263502"/>
    <w:rsid w:val="00267A3E"/>
    <w:rsid w:val="002735FE"/>
    <w:rsid w:val="0029008A"/>
    <w:rsid w:val="00290CBE"/>
    <w:rsid w:val="00291759"/>
    <w:rsid w:val="002968F2"/>
    <w:rsid w:val="002B5235"/>
    <w:rsid w:val="002C36A8"/>
    <w:rsid w:val="002D32FC"/>
    <w:rsid w:val="002E3E4A"/>
    <w:rsid w:val="002F1408"/>
    <w:rsid w:val="00302198"/>
    <w:rsid w:val="003023B9"/>
    <w:rsid w:val="00305075"/>
    <w:rsid w:val="00327575"/>
    <w:rsid w:val="00335187"/>
    <w:rsid w:val="003353AC"/>
    <w:rsid w:val="0033578A"/>
    <w:rsid w:val="00336309"/>
    <w:rsid w:val="00345F4A"/>
    <w:rsid w:val="00351DCC"/>
    <w:rsid w:val="00355A63"/>
    <w:rsid w:val="00360E91"/>
    <w:rsid w:val="00363E6D"/>
    <w:rsid w:val="003650D4"/>
    <w:rsid w:val="003658D5"/>
    <w:rsid w:val="00365AF3"/>
    <w:rsid w:val="00366668"/>
    <w:rsid w:val="003667C3"/>
    <w:rsid w:val="00366EDF"/>
    <w:rsid w:val="0037197C"/>
    <w:rsid w:val="00371AA2"/>
    <w:rsid w:val="003732A0"/>
    <w:rsid w:val="00374386"/>
    <w:rsid w:val="003811A5"/>
    <w:rsid w:val="003A2C15"/>
    <w:rsid w:val="003B2EA5"/>
    <w:rsid w:val="003B4EEF"/>
    <w:rsid w:val="003B5325"/>
    <w:rsid w:val="003B5405"/>
    <w:rsid w:val="003B720A"/>
    <w:rsid w:val="003C3D11"/>
    <w:rsid w:val="003D1EFA"/>
    <w:rsid w:val="003F08D4"/>
    <w:rsid w:val="0041037E"/>
    <w:rsid w:val="00411764"/>
    <w:rsid w:val="0042126F"/>
    <w:rsid w:val="00422B92"/>
    <w:rsid w:val="00433C13"/>
    <w:rsid w:val="004371C2"/>
    <w:rsid w:val="00445713"/>
    <w:rsid w:val="00445A2D"/>
    <w:rsid w:val="00445D66"/>
    <w:rsid w:val="00452AD4"/>
    <w:rsid w:val="00453070"/>
    <w:rsid w:val="0045462A"/>
    <w:rsid w:val="00473804"/>
    <w:rsid w:val="0047576E"/>
    <w:rsid w:val="00477A53"/>
    <w:rsid w:val="00487DE9"/>
    <w:rsid w:val="00494259"/>
    <w:rsid w:val="00494690"/>
    <w:rsid w:val="00496CB3"/>
    <w:rsid w:val="004979AA"/>
    <w:rsid w:val="004A2A12"/>
    <w:rsid w:val="004B0CD0"/>
    <w:rsid w:val="004B260C"/>
    <w:rsid w:val="004C1CAC"/>
    <w:rsid w:val="004C3FF7"/>
    <w:rsid w:val="004C7D31"/>
    <w:rsid w:val="004D11E8"/>
    <w:rsid w:val="004D43B9"/>
    <w:rsid w:val="004D4574"/>
    <w:rsid w:val="004D7CFF"/>
    <w:rsid w:val="004E2B9A"/>
    <w:rsid w:val="004E39FC"/>
    <w:rsid w:val="004F6074"/>
    <w:rsid w:val="005017AA"/>
    <w:rsid w:val="00506B29"/>
    <w:rsid w:val="00514144"/>
    <w:rsid w:val="005173F6"/>
    <w:rsid w:val="00520C8C"/>
    <w:rsid w:val="00523942"/>
    <w:rsid w:val="00523A61"/>
    <w:rsid w:val="00524BFC"/>
    <w:rsid w:val="0052507C"/>
    <w:rsid w:val="00526F72"/>
    <w:rsid w:val="00535691"/>
    <w:rsid w:val="00536994"/>
    <w:rsid w:val="00543BA3"/>
    <w:rsid w:val="00562F40"/>
    <w:rsid w:val="005750A3"/>
    <w:rsid w:val="00575F01"/>
    <w:rsid w:val="00584590"/>
    <w:rsid w:val="00584C0A"/>
    <w:rsid w:val="00585CB9"/>
    <w:rsid w:val="0059084D"/>
    <w:rsid w:val="00592189"/>
    <w:rsid w:val="00594B3F"/>
    <w:rsid w:val="00597D2E"/>
    <w:rsid w:val="005A5A6B"/>
    <w:rsid w:val="005A6623"/>
    <w:rsid w:val="005B7129"/>
    <w:rsid w:val="005C3458"/>
    <w:rsid w:val="005C35ED"/>
    <w:rsid w:val="005C55D5"/>
    <w:rsid w:val="005D1122"/>
    <w:rsid w:val="005D40B4"/>
    <w:rsid w:val="005F4031"/>
    <w:rsid w:val="005F57A3"/>
    <w:rsid w:val="00604EFC"/>
    <w:rsid w:val="00606A30"/>
    <w:rsid w:val="00606E95"/>
    <w:rsid w:val="00622992"/>
    <w:rsid w:val="0062730F"/>
    <w:rsid w:val="00635D82"/>
    <w:rsid w:val="00636ACC"/>
    <w:rsid w:val="00642103"/>
    <w:rsid w:val="0064250D"/>
    <w:rsid w:val="0065097C"/>
    <w:rsid w:val="006522A9"/>
    <w:rsid w:val="006522B3"/>
    <w:rsid w:val="00653789"/>
    <w:rsid w:val="0066627F"/>
    <w:rsid w:val="00666EF7"/>
    <w:rsid w:val="00667479"/>
    <w:rsid w:val="00685CA4"/>
    <w:rsid w:val="00691D0C"/>
    <w:rsid w:val="006A1E1B"/>
    <w:rsid w:val="006A67B2"/>
    <w:rsid w:val="006A7B06"/>
    <w:rsid w:val="006C5016"/>
    <w:rsid w:val="006D2874"/>
    <w:rsid w:val="006D4BA5"/>
    <w:rsid w:val="006E04EE"/>
    <w:rsid w:val="006E74F8"/>
    <w:rsid w:val="006F7189"/>
    <w:rsid w:val="00700C9E"/>
    <w:rsid w:val="007046F0"/>
    <w:rsid w:val="00712844"/>
    <w:rsid w:val="00713E64"/>
    <w:rsid w:val="00741E92"/>
    <w:rsid w:val="00765AC5"/>
    <w:rsid w:val="00765DDC"/>
    <w:rsid w:val="00772122"/>
    <w:rsid w:val="00791058"/>
    <w:rsid w:val="007925B8"/>
    <w:rsid w:val="00793366"/>
    <w:rsid w:val="0079478B"/>
    <w:rsid w:val="0079655D"/>
    <w:rsid w:val="007971F0"/>
    <w:rsid w:val="007A5B88"/>
    <w:rsid w:val="007A7881"/>
    <w:rsid w:val="007C5F91"/>
    <w:rsid w:val="007C63CF"/>
    <w:rsid w:val="007D033F"/>
    <w:rsid w:val="007D4D71"/>
    <w:rsid w:val="007D6682"/>
    <w:rsid w:val="007D7416"/>
    <w:rsid w:val="007E58C0"/>
    <w:rsid w:val="007E67A1"/>
    <w:rsid w:val="007F42D0"/>
    <w:rsid w:val="007F4E2A"/>
    <w:rsid w:val="007F5D4E"/>
    <w:rsid w:val="00803589"/>
    <w:rsid w:val="00803660"/>
    <w:rsid w:val="00810184"/>
    <w:rsid w:val="008200F4"/>
    <w:rsid w:val="008234B1"/>
    <w:rsid w:val="00823C2B"/>
    <w:rsid w:val="008262E1"/>
    <w:rsid w:val="00827DF7"/>
    <w:rsid w:val="008322EE"/>
    <w:rsid w:val="00844202"/>
    <w:rsid w:val="008452EB"/>
    <w:rsid w:val="008530AD"/>
    <w:rsid w:val="0085606C"/>
    <w:rsid w:val="008705DC"/>
    <w:rsid w:val="00871058"/>
    <w:rsid w:val="0087273D"/>
    <w:rsid w:val="00873D99"/>
    <w:rsid w:val="00874D73"/>
    <w:rsid w:val="0087644B"/>
    <w:rsid w:val="008832F1"/>
    <w:rsid w:val="008B67E4"/>
    <w:rsid w:val="008B7CB9"/>
    <w:rsid w:val="008C3AF5"/>
    <w:rsid w:val="008C5CD1"/>
    <w:rsid w:val="008D28B8"/>
    <w:rsid w:val="008E7FED"/>
    <w:rsid w:val="008F5231"/>
    <w:rsid w:val="009014C3"/>
    <w:rsid w:val="00903D53"/>
    <w:rsid w:val="00904BE1"/>
    <w:rsid w:val="00926E84"/>
    <w:rsid w:val="00936511"/>
    <w:rsid w:val="00941142"/>
    <w:rsid w:val="00943729"/>
    <w:rsid w:val="00944F61"/>
    <w:rsid w:val="009463DE"/>
    <w:rsid w:val="00952B23"/>
    <w:rsid w:val="0095767F"/>
    <w:rsid w:val="00960CA4"/>
    <w:rsid w:val="00970B7C"/>
    <w:rsid w:val="009717F2"/>
    <w:rsid w:val="00971D5C"/>
    <w:rsid w:val="009722F3"/>
    <w:rsid w:val="00972724"/>
    <w:rsid w:val="009777E7"/>
    <w:rsid w:val="00977BCF"/>
    <w:rsid w:val="00987CDE"/>
    <w:rsid w:val="00990795"/>
    <w:rsid w:val="0099751F"/>
    <w:rsid w:val="009B471E"/>
    <w:rsid w:val="009B58F9"/>
    <w:rsid w:val="009C1B41"/>
    <w:rsid w:val="009C7BD2"/>
    <w:rsid w:val="009D4A1A"/>
    <w:rsid w:val="009D50A2"/>
    <w:rsid w:val="009E00BB"/>
    <w:rsid w:val="009F452B"/>
    <w:rsid w:val="009F4CB1"/>
    <w:rsid w:val="009F6C08"/>
    <w:rsid w:val="009F743C"/>
    <w:rsid w:val="00A03F7D"/>
    <w:rsid w:val="00A04DF0"/>
    <w:rsid w:val="00A07CA2"/>
    <w:rsid w:val="00A1216B"/>
    <w:rsid w:val="00A12331"/>
    <w:rsid w:val="00A12334"/>
    <w:rsid w:val="00A132B5"/>
    <w:rsid w:val="00A1658D"/>
    <w:rsid w:val="00A1716D"/>
    <w:rsid w:val="00A343F0"/>
    <w:rsid w:val="00A35433"/>
    <w:rsid w:val="00A44EBE"/>
    <w:rsid w:val="00A513DF"/>
    <w:rsid w:val="00A51C5B"/>
    <w:rsid w:val="00A5359E"/>
    <w:rsid w:val="00A749B7"/>
    <w:rsid w:val="00A7740F"/>
    <w:rsid w:val="00A82565"/>
    <w:rsid w:val="00A82E6D"/>
    <w:rsid w:val="00A932DB"/>
    <w:rsid w:val="00AA1C09"/>
    <w:rsid w:val="00AA4731"/>
    <w:rsid w:val="00AB3CDA"/>
    <w:rsid w:val="00AB5411"/>
    <w:rsid w:val="00AB6B3C"/>
    <w:rsid w:val="00AD5A72"/>
    <w:rsid w:val="00AE2026"/>
    <w:rsid w:val="00AE352D"/>
    <w:rsid w:val="00AE5441"/>
    <w:rsid w:val="00AF18CB"/>
    <w:rsid w:val="00AF5F8B"/>
    <w:rsid w:val="00AF6763"/>
    <w:rsid w:val="00B1104D"/>
    <w:rsid w:val="00B12771"/>
    <w:rsid w:val="00B2643F"/>
    <w:rsid w:val="00B27414"/>
    <w:rsid w:val="00B42292"/>
    <w:rsid w:val="00B46991"/>
    <w:rsid w:val="00B53321"/>
    <w:rsid w:val="00B5578A"/>
    <w:rsid w:val="00B6080B"/>
    <w:rsid w:val="00B6793A"/>
    <w:rsid w:val="00B67B8A"/>
    <w:rsid w:val="00B7119D"/>
    <w:rsid w:val="00B83838"/>
    <w:rsid w:val="00B92DE0"/>
    <w:rsid w:val="00BA2506"/>
    <w:rsid w:val="00BA2B03"/>
    <w:rsid w:val="00BB013A"/>
    <w:rsid w:val="00BB084B"/>
    <w:rsid w:val="00BB11C8"/>
    <w:rsid w:val="00BB2D54"/>
    <w:rsid w:val="00BC09C6"/>
    <w:rsid w:val="00BC1358"/>
    <w:rsid w:val="00BC4001"/>
    <w:rsid w:val="00BC5B58"/>
    <w:rsid w:val="00BC7477"/>
    <w:rsid w:val="00BD2097"/>
    <w:rsid w:val="00BE371F"/>
    <w:rsid w:val="00BE42C8"/>
    <w:rsid w:val="00BF30F7"/>
    <w:rsid w:val="00BF6029"/>
    <w:rsid w:val="00BF769B"/>
    <w:rsid w:val="00BF7EB9"/>
    <w:rsid w:val="00C02B91"/>
    <w:rsid w:val="00C04077"/>
    <w:rsid w:val="00C05260"/>
    <w:rsid w:val="00C07445"/>
    <w:rsid w:val="00C17F97"/>
    <w:rsid w:val="00C32D8D"/>
    <w:rsid w:val="00C330C6"/>
    <w:rsid w:val="00C337E3"/>
    <w:rsid w:val="00C34A3E"/>
    <w:rsid w:val="00C3612E"/>
    <w:rsid w:val="00C3757C"/>
    <w:rsid w:val="00C4410B"/>
    <w:rsid w:val="00C53FE2"/>
    <w:rsid w:val="00C54D79"/>
    <w:rsid w:val="00C65A57"/>
    <w:rsid w:val="00C71884"/>
    <w:rsid w:val="00C77462"/>
    <w:rsid w:val="00CA1031"/>
    <w:rsid w:val="00CA3FF9"/>
    <w:rsid w:val="00CB138E"/>
    <w:rsid w:val="00CB205E"/>
    <w:rsid w:val="00CC3A9C"/>
    <w:rsid w:val="00CC67FB"/>
    <w:rsid w:val="00CC7F10"/>
    <w:rsid w:val="00CD2584"/>
    <w:rsid w:val="00CD748B"/>
    <w:rsid w:val="00CE118B"/>
    <w:rsid w:val="00CF392F"/>
    <w:rsid w:val="00D06CB1"/>
    <w:rsid w:val="00D07731"/>
    <w:rsid w:val="00D21322"/>
    <w:rsid w:val="00D26E19"/>
    <w:rsid w:val="00D36A91"/>
    <w:rsid w:val="00D505EC"/>
    <w:rsid w:val="00D63212"/>
    <w:rsid w:val="00D6709A"/>
    <w:rsid w:val="00D81BD0"/>
    <w:rsid w:val="00D84361"/>
    <w:rsid w:val="00D859F6"/>
    <w:rsid w:val="00D9144F"/>
    <w:rsid w:val="00D922F9"/>
    <w:rsid w:val="00D942E7"/>
    <w:rsid w:val="00DA0583"/>
    <w:rsid w:val="00DA2A22"/>
    <w:rsid w:val="00DA398C"/>
    <w:rsid w:val="00DC3EF8"/>
    <w:rsid w:val="00DD6775"/>
    <w:rsid w:val="00DE7E5D"/>
    <w:rsid w:val="00DE7F92"/>
    <w:rsid w:val="00DF3528"/>
    <w:rsid w:val="00DF412C"/>
    <w:rsid w:val="00E00DBA"/>
    <w:rsid w:val="00E30229"/>
    <w:rsid w:val="00E35FD2"/>
    <w:rsid w:val="00E41986"/>
    <w:rsid w:val="00E42441"/>
    <w:rsid w:val="00E477E7"/>
    <w:rsid w:val="00E57260"/>
    <w:rsid w:val="00E64405"/>
    <w:rsid w:val="00E64715"/>
    <w:rsid w:val="00E74D6A"/>
    <w:rsid w:val="00E77BA3"/>
    <w:rsid w:val="00E77CDC"/>
    <w:rsid w:val="00E811FF"/>
    <w:rsid w:val="00E94F47"/>
    <w:rsid w:val="00EA0136"/>
    <w:rsid w:val="00EA705C"/>
    <w:rsid w:val="00EB3EE5"/>
    <w:rsid w:val="00EB5216"/>
    <w:rsid w:val="00EB7650"/>
    <w:rsid w:val="00EC38CB"/>
    <w:rsid w:val="00ED2CA0"/>
    <w:rsid w:val="00EE1B42"/>
    <w:rsid w:val="00EE3268"/>
    <w:rsid w:val="00EE448C"/>
    <w:rsid w:val="00EE6785"/>
    <w:rsid w:val="00F0576F"/>
    <w:rsid w:val="00F12F39"/>
    <w:rsid w:val="00F169DD"/>
    <w:rsid w:val="00F20375"/>
    <w:rsid w:val="00F2626E"/>
    <w:rsid w:val="00F303C2"/>
    <w:rsid w:val="00F3460D"/>
    <w:rsid w:val="00F434D3"/>
    <w:rsid w:val="00F535CA"/>
    <w:rsid w:val="00F53991"/>
    <w:rsid w:val="00F54A43"/>
    <w:rsid w:val="00F556D5"/>
    <w:rsid w:val="00F626C7"/>
    <w:rsid w:val="00F63B4B"/>
    <w:rsid w:val="00F74420"/>
    <w:rsid w:val="00F75AE1"/>
    <w:rsid w:val="00F75CED"/>
    <w:rsid w:val="00F76C8B"/>
    <w:rsid w:val="00FA29A3"/>
    <w:rsid w:val="00FA40CA"/>
    <w:rsid w:val="00FA42E0"/>
    <w:rsid w:val="00FA6196"/>
    <w:rsid w:val="00FA6341"/>
    <w:rsid w:val="00FA6F16"/>
    <w:rsid w:val="00FB62F8"/>
    <w:rsid w:val="00FB7886"/>
    <w:rsid w:val="00FB7FDA"/>
    <w:rsid w:val="00FC0554"/>
    <w:rsid w:val="00FC359B"/>
    <w:rsid w:val="00FC6D98"/>
    <w:rsid w:val="00FD04FC"/>
    <w:rsid w:val="00FD371C"/>
    <w:rsid w:val="00FD6017"/>
    <w:rsid w:val="00FD655C"/>
    <w:rsid w:val="00FD7619"/>
    <w:rsid w:val="00FD79E4"/>
    <w:rsid w:val="00FD7EAC"/>
    <w:rsid w:val="00FF0B7A"/>
    <w:rsid w:val="00FF3A82"/>
    <w:rsid w:val="00FF65F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32FAEE9E"/>
  <w15:docId w15:val="{39C65CE6-BEE6-4C5F-8AE7-2376870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semiHidden/>
    <w:qFormat/>
    <w:rsid w:val="00A132B5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666EF7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A132B5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Times New Roman" w:hAnsi="Times New Roman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customStyle="1" w:styleId="CtrlshiftF3">
    <w:name w:val="Ctrl_shift_F3"/>
    <w:rsid w:val="00B42292"/>
    <w:pPr>
      <w:tabs>
        <w:tab w:val="num" w:pos="360"/>
      </w:tabs>
      <w:ind w:left="360" w:hanging="360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8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646EE-16C0-4E59-A82A-0B4FFC0C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smlouvav28.dotx</Template>
  <TotalTime>1</TotalTime>
  <Pages>4</Pages>
  <Words>994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Antonín Rája</dc:creator>
  <cp:lastModifiedBy>František Kropáč</cp:lastModifiedBy>
  <cp:revision>2</cp:revision>
  <cp:lastPrinted>2021-11-30T07:10:00Z</cp:lastPrinted>
  <dcterms:created xsi:type="dcterms:W3CDTF">2025-09-05T08:19:00Z</dcterms:created>
  <dcterms:modified xsi:type="dcterms:W3CDTF">2025-09-05T08:19:00Z</dcterms:modified>
</cp:coreProperties>
</file>