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71E5" w14:textId="7A425D03" w:rsidR="00E30B81" w:rsidRPr="00A0166E" w:rsidRDefault="002A6B9F" w:rsidP="00E30B81">
      <w:pPr>
        <w:pStyle w:val="Nzev"/>
        <w:spacing w:before="600" w:after="0"/>
        <w:rPr>
          <w:rFonts w:ascii="Tahoma" w:hAnsi="Tahoma" w:cs="Tahoma"/>
          <w:spacing w:val="20"/>
          <w:sz w:val="36"/>
        </w:rPr>
      </w:pPr>
      <w:r>
        <w:rPr>
          <w:rFonts w:ascii="Tahoma" w:hAnsi="Tahoma" w:cs="Tahoma"/>
          <w:spacing w:val="20"/>
          <w:sz w:val="36"/>
        </w:rPr>
        <w:t>S</w:t>
      </w:r>
      <w:bookmarkStart w:id="0" w:name="_Ref77945695"/>
      <w:bookmarkEnd w:id="0"/>
      <w:r w:rsidR="00795009">
        <w:rPr>
          <w:rFonts w:ascii="Tahoma" w:hAnsi="Tahoma" w:cs="Tahoma"/>
          <w:spacing w:val="20"/>
          <w:sz w:val="36"/>
        </w:rPr>
        <w:t xml:space="preserve">mlouva č. </w:t>
      </w:r>
      <w:r w:rsidR="00137D52">
        <w:rPr>
          <w:rFonts w:ascii="Tahoma" w:hAnsi="Tahoma" w:cs="Tahoma"/>
          <w:spacing w:val="20"/>
          <w:sz w:val="36"/>
        </w:rPr>
        <w:t>202</w:t>
      </w:r>
      <w:r w:rsidR="004D7A5F">
        <w:rPr>
          <w:rFonts w:ascii="Tahoma" w:hAnsi="Tahoma" w:cs="Tahoma"/>
          <w:spacing w:val="20"/>
          <w:sz w:val="36"/>
        </w:rPr>
        <w:t>5</w:t>
      </w:r>
      <w:r w:rsidR="00A86A6C">
        <w:rPr>
          <w:rFonts w:ascii="Tahoma" w:hAnsi="Tahoma" w:cs="Tahoma"/>
          <w:spacing w:val="20"/>
          <w:sz w:val="36"/>
        </w:rPr>
        <w:t>0</w:t>
      </w:r>
      <w:r w:rsidR="005E08F4">
        <w:rPr>
          <w:rFonts w:ascii="Tahoma" w:hAnsi="Tahoma" w:cs="Tahoma"/>
          <w:spacing w:val="20"/>
          <w:sz w:val="36"/>
        </w:rPr>
        <w:t>7</w:t>
      </w:r>
    </w:p>
    <w:p w14:paraId="32B82A52" w14:textId="77777777" w:rsidR="00E30B81" w:rsidRPr="00A0166E" w:rsidRDefault="00E30B81" w:rsidP="00E30B81">
      <w:pPr>
        <w:keepNext/>
        <w:keepLines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400" w:lineRule="exact"/>
        <w:jc w:val="center"/>
        <w:rPr>
          <w:rFonts w:ascii="Tahoma" w:hAnsi="Tahoma" w:cs="Tahoma"/>
          <w:b/>
          <w:sz w:val="36"/>
        </w:rPr>
      </w:pPr>
      <w:r w:rsidRPr="00A0166E">
        <w:rPr>
          <w:rFonts w:ascii="Tahoma" w:hAnsi="Tahoma" w:cs="Tahoma"/>
          <w:b/>
          <w:spacing w:val="20"/>
          <w:sz w:val="36"/>
        </w:rPr>
        <w:t>o poskyt</w:t>
      </w:r>
      <w:r w:rsidR="00461D45">
        <w:rPr>
          <w:rFonts w:ascii="Tahoma" w:hAnsi="Tahoma" w:cs="Tahoma"/>
          <w:b/>
          <w:spacing w:val="20"/>
          <w:sz w:val="36"/>
        </w:rPr>
        <w:t>nutí</w:t>
      </w:r>
      <w:r w:rsidRPr="00A0166E">
        <w:rPr>
          <w:rFonts w:ascii="Tahoma" w:hAnsi="Tahoma" w:cs="Tahoma"/>
          <w:b/>
          <w:spacing w:val="20"/>
          <w:sz w:val="36"/>
        </w:rPr>
        <w:t xml:space="preserve"> daňového poradenství</w:t>
      </w:r>
    </w:p>
    <w:p w14:paraId="5E3C6B3F" w14:textId="77777777" w:rsidR="00E30B81" w:rsidRPr="00A0166E" w:rsidRDefault="00E30B81" w:rsidP="00E30B81">
      <w:pPr>
        <w:pStyle w:val="NADPISSML"/>
        <w:jc w:val="left"/>
        <w:rPr>
          <w:rFonts w:ascii="Tahoma" w:hAnsi="Tahoma" w:cs="Tahoma"/>
        </w:rPr>
        <w:sectPr w:rsidR="00E30B81" w:rsidRPr="00A0166E">
          <w:headerReference w:type="even" r:id="rId8"/>
          <w:footerReference w:type="even" r:id="rId9"/>
          <w:footerReference w:type="default" r:id="rId10"/>
          <w:footerReference w:type="first" r:id="rId11"/>
          <w:footnotePr>
            <w:numRestart w:val="eachSect"/>
          </w:footnotePr>
          <w:pgSz w:w="11907" w:h="16840" w:code="9"/>
          <w:pgMar w:top="1588" w:right="868" w:bottom="1588" w:left="1440" w:header="794" w:footer="851" w:gutter="0"/>
          <w:paperSrc w:first="1" w:other="2"/>
          <w:pgNumType w:chapStyle="1"/>
          <w:cols w:space="708"/>
          <w:titlePg/>
        </w:sectPr>
      </w:pPr>
    </w:p>
    <w:p w14:paraId="4EEB3976" w14:textId="77777777" w:rsidR="00E30B81" w:rsidRPr="00B91C78" w:rsidRDefault="00E30B81" w:rsidP="00E30B81">
      <w:pPr>
        <w:pStyle w:val="NADPISSML"/>
        <w:spacing w:before="360" w:after="360"/>
        <w:rPr>
          <w:rFonts w:ascii="Tahoma" w:hAnsi="Tahoma" w:cs="Tahoma"/>
          <w:sz w:val="20"/>
        </w:rPr>
      </w:pPr>
      <w:r w:rsidRPr="00B91C78">
        <w:rPr>
          <w:rFonts w:ascii="Tahoma" w:hAnsi="Tahoma" w:cs="Tahoma"/>
          <w:sz w:val="20"/>
        </w:rPr>
        <w:t>1. ÚČASTNÍCI</w:t>
      </w:r>
    </w:p>
    <w:p w14:paraId="31083B16" w14:textId="77777777" w:rsidR="00E30B81" w:rsidRPr="00A0166E" w:rsidRDefault="00E30B81" w:rsidP="00E30B81">
      <w:pPr>
        <w:pStyle w:val="NADPISSML"/>
        <w:jc w:val="left"/>
        <w:rPr>
          <w:rFonts w:ascii="Tahoma" w:hAnsi="Tahoma" w:cs="Tahoma"/>
          <w:sz w:val="28"/>
        </w:rPr>
        <w:sectPr w:rsidR="00E30B81" w:rsidRPr="00A0166E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51" w:gutter="0"/>
          <w:paperSrc w:first="32" w:other="1"/>
          <w:pgNumType w:chapStyle="1"/>
          <w:cols w:sep="1" w:space="567"/>
          <w:titlePg/>
        </w:sectPr>
      </w:pPr>
    </w:p>
    <w:p w14:paraId="23CF7EF4" w14:textId="77777777" w:rsidR="00E30B81" w:rsidRPr="00A0166E" w:rsidRDefault="00745AA5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Daňový poradce</w:t>
      </w:r>
      <w:r w:rsidR="00E30B81" w:rsidRPr="00A0166E">
        <w:rPr>
          <w:rFonts w:ascii="Tahoma" w:hAnsi="Tahoma" w:cs="Tahoma"/>
          <w:b/>
          <w:sz w:val="20"/>
        </w:rPr>
        <w:t>:</w:t>
      </w:r>
      <w:r w:rsidR="00E30B81" w:rsidRPr="00A0166E">
        <w:rPr>
          <w:rFonts w:ascii="Tahoma" w:hAnsi="Tahoma" w:cs="Tahoma"/>
          <w:b/>
          <w:sz w:val="20"/>
        </w:rPr>
        <w:tab/>
      </w:r>
      <w:r w:rsidR="00A86499">
        <w:rPr>
          <w:rFonts w:ascii="Tahoma" w:hAnsi="Tahoma" w:cs="Tahoma"/>
          <w:b/>
          <w:sz w:val="20"/>
        </w:rPr>
        <w:t>Jiří Tinka</w:t>
      </w:r>
      <w:r w:rsidR="00E30B81" w:rsidRPr="00A0166E">
        <w:rPr>
          <w:rFonts w:ascii="Tahoma" w:hAnsi="Tahoma" w:cs="Tahoma"/>
          <w:b/>
          <w:sz w:val="20"/>
        </w:rPr>
        <w:tab/>
      </w:r>
    </w:p>
    <w:p w14:paraId="6A4626D0" w14:textId="77777777" w:rsidR="00E30B81" w:rsidRDefault="00E30B81" w:rsidP="00E30B81">
      <w:pPr>
        <w:pStyle w:val="dka"/>
        <w:tabs>
          <w:tab w:val="left" w:pos="1843"/>
        </w:tabs>
        <w:ind w:left="2160" w:hanging="216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04BE10A" w14:textId="77777777" w:rsidR="00E30B81" w:rsidRPr="00A0166E" w:rsidRDefault="00E30B81" w:rsidP="00E30B81">
      <w:pPr>
        <w:pStyle w:val="dka"/>
        <w:tabs>
          <w:tab w:val="left" w:pos="1843"/>
        </w:tabs>
        <w:ind w:left="2160" w:hanging="216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  <w:r w:rsidRPr="00A0166E">
        <w:rPr>
          <w:rFonts w:ascii="Tahoma" w:hAnsi="Tahoma" w:cs="Tahoma"/>
          <w:b/>
          <w:sz w:val="20"/>
        </w:rPr>
        <w:t xml:space="preserve"> </w:t>
      </w:r>
    </w:p>
    <w:p w14:paraId="1A05108E" w14:textId="77777777" w:rsidR="00E30B81" w:rsidRPr="00A0166E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 w:rsidRPr="00A0166E">
        <w:rPr>
          <w:rFonts w:ascii="Tahoma" w:hAnsi="Tahoma" w:cs="Tahoma"/>
          <w:b/>
          <w:sz w:val="20"/>
        </w:rPr>
        <w:t>Sídlo:</w:t>
      </w:r>
      <w:r w:rsidR="00795009">
        <w:rPr>
          <w:rFonts w:ascii="Tahoma" w:hAnsi="Tahoma" w:cs="Tahoma"/>
          <w:b/>
          <w:sz w:val="20"/>
        </w:rPr>
        <w:t xml:space="preserve"> Sokolská 1052</w:t>
      </w:r>
      <w:r w:rsidRPr="00A0166E">
        <w:rPr>
          <w:rFonts w:ascii="Tahoma" w:hAnsi="Tahoma" w:cs="Tahoma"/>
          <w:b/>
          <w:sz w:val="20"/>
        </w:rPr>
        <w:tab/>
      </w:r>
      <w:r w:rsidR="00745AA5">
        <w:rPr>
          <w:rFonts w:ascii="Tahoma" w:hAnsi="Tahoma" w:cs="Tahoma"/>
          <w:b/>
          <w:sz w:val="20"/>
        </w:rPr>
        <w:tab/>
      </w:r>
    </w:p>
    <w:p w14:paraId="4F58DBD8" w14:textId="77777777" w:rsidR="00E30B81" w:rsidRPr="00A0166E" w:rsidRDefault="00795009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374 01 Trhové Sviny</w:t>
      </w:r>
      <w:r w:rsidR="00E30B81">
        <w:rPr>
          <w:rFonts w:ascii="Tahoma" w:hAnsi="Tahoma" w:cs="Tahoma"/>
          <w:b/>
          <w:sz w:val="20"/>
        </w:rPr>
        <w:tab/>
      </w:r>
      <w:r w:rsidR="00745AA5">
        <w:rPr>
          <w:rFonts w:ascii="Tahoma" w:hAnsi="Tahoma" w:cs="Tahoma"/>
          <w:b/>
          <w:sz w:val="20"/>
        </w:rPr>
        <w:tab/>
      </w:r>
    </w:p>
    <w:p w14:paraId="1EF6D985" w14:textId="77777777" w:rsidR="00E30B81" w:rsidRPr="00A0166E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DIČ:</w:t>
      </w:r>
      <w:r w:rsidR="00A86499">
        <w:rPr>
          <w:rFonts w:ascii="Tahoma" w:hAnsi="Tahoma" w:cs="Tahoma"/>
          <w:b/>
          <w:sz w:val="20"/>
        </w:rPr>
        <w:t xml:space="preserve"> CZ6310232291</w:t>
      </w:r>
      <w:r>
        <w:rPr>
          <w:rFonts w:ascii="Tahoma" w:hAnsi="Tahoma" w:cs="Tahoma"/>
          <w:b/>
          <w:sz w:val="20"/>
        </w:rPr>
        <w:tab/>
      </w:r>
      <w:r w:rsidR="00745AA5">
        <w:rPr>
          <w:rFonts w:ascii="Tahoma" w:hAnsi="Tahoma" w:cs="Tahoma"/>
          <w:b/>
          <w:sz w:val="20"/>
        </w:rPr>
        <w:tab/>
      </w:r>
    </w:p>
    <w:p w14:paraId="7F0373F1" w14:textId="77777777" w:rsidR="00E30B81" w:rsidRPr="00A0166E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4283E055" w14:textId="601B0BD2" w:rsidR="00E30B81" w:rsidRPr="00A0166E" w:rsidRDefault="00E30B81" w:rsidP="00E30B81">
      <w:pPr>
        <w:pStyle w:val="dka"/>
        <w:tabs>
          <w:tab w:val="left" w:pos="1843"/>
        </w:tabs>
        <w:ind w:left="2160" w:hanging="2160"/>
        <w:rPr>
          <w:rFonts w:ascii="Tahoma" w:hAnsi="Tahoma" w:cs="Tahoma"/>
          <w:b/>
          <w:sz w:val="20"/>
        </w:rPr>
      </w:pPr>
      <w:r w:rsidRPr="00A0166E">
        <w:rPr>
          <w:rFonts w:ascii="Tahoma" w:hAnsi="Tahoma" w:cs="Tahoma"/>
          <w:b/>
          <w:sz w:val="20"/>
        </w:rPr>
        <w:t>Bankovní spojení:</w:t>
      </w:r>
      <w:r w:rsidRPr="00A0166E">
        <w:rPr>
          <w:rFonts w:ascii="Tahoma" w:hAnsi="Tahoma" w:cs="Tahoma"/>
          <w:b/>
          <w:sz w:val="20"/>
        </w:rPr>
        <w:tab/>
      </w:r>
      <w:r w:rsidR="00745AA5">
        <w:rPr>
          <w:rFonts w:ascii="Tahoma" w:hAnsi="Tahoma" w:cs="Tahoma"/>
          <w:b/>
          <w:sz w:val="20"/>
        </w:rPr>
        <w:tab/>
      </w:r>
    </w:p>
    <w:p w14:paraId="5841F96A" w14:textId="08A17001" w:rsidR="00E30B81" w:rsidRPr="00A0166E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 w:rsidRPr="00A0166E">
        <w:rPr>
          <w:rFonts w:ascii="Tahoma" w:hAnsi="Tahoma" w:cs="Tahoma"/>
          <w:b/>
          <w:sz w:val="20"/>
        </w:rPr>
        <w:t>Číslo účtu:</w:t>
      </w:r>
      <w:r w:rsidRPr="00A0166E">
        <w:rPr>
          <w:rFonts w:ascii="Tahoma" w:hAnsi="Tahoma" w:cs="Tahoma"/>
          <w:b/>
          <w:sz w:val="20"/>
        </w:rPr>
        <w:tab/>
      </w:r>
      <w:r w:rsidR="00A86499">
        <w:rPr>
          <w:rFonts w:ascii="Tahoma" w:hAnsi="Tahoma" w:cs="Tahoma"/>
          <w:b/>
          <w:sz w:val="20"/>
        </w:rPr>
        <w:tab/>
      </w:r>
    </w:p>
    <w:p w14:paraId="760A3DDB" w14:textId="34527B61" w:rsidR="00E30B81" w:rsidRPr="00A0166E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Tel. / </w:t>
      </w:r>
      <w:proofErr w:type="spellStart"/>
      <w:r>
        <w:rPr>
          <w:rFonts w:ascii="Tahoma" w:hAnsi="Tahoma" w:cs="Tahoma"/>
          <w:b/>
          <w:sz w:val="20"/>
        </w:rPr>
        <w:t>zázn</w:t>
      </w:r>
      <w:proofErr w:type="spellEnd"/>
      <w:r>
        <w:rPr>
          <w:rFonts w:ascii="Tahoma" w:hAnsi="Tahoma" w:cs="Tahoma"/>
          <w:b/>
          <w:sz w:val="20"/>
        </w:rPr>
        <w:t xml:space="preserve">.: </w:t>
      </w:r>
      <w:r>
        <w:rPr>
          <w:rFonts w:ascii="Tahoma" w:hAnsi="Tahoma" w:cs="Tahoma"/>
          <w:b/>
          <w:sz w:val="20"/>
        </w:rPr>
        <w:tab/>
      </w:r>
      <w:r w:rsidR="00745AA5">
        <w:rPr>
          <w:rFonts w:ascii="Tahoma" w:hAnsi="Tahoma" w:cs="Tahoma"/>
          <w:b/>
          <w:sz w:val="20"/>
        </w:rPr>
        <w:tab/>
      </w:r>
    </w:p>
    <w:p w14:paraId="01F3FF69" w14:textId="1D09041B" w:rsidR="00E30B81" w:rsidRPr="00A0166E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Fax:</w:t>
      </w:r>
      <w:r>
        <w:rPr>
          <w:rFonts w:ascii="Tahoma" w:hAnsi="Tahoma" w:cs="Tahoma"/>
          <w:b/>
          <w:sz w:val="20"/>
        </w:rPr>
        <w:tab/>
      </w:r>
    </w:p>
    <w:p w14:paraId="089A1492" w14:textId="5B5407BC" w:rsidR="00E30B81" w:rsidRPr="00A0166E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Mobil:</w:t>
      </w:r>
      <w:r>
        <w:rPr>
          <w:rFonts w:ascii="Tahoma" w:hAnsi="Tahoma" w:cs="Tahoma"/>
          <w:b/>
          <w:sz w:val="20"/>
        </w:rPr>
        <w:tab/>
      </w:r>
      <w:r w:rsidR="001B529F">
        <w:rPr>
          <w:rFonts w:ascii="Tahoma" w:hAnsi="Tahoma" w:cs="Tahoma"/>
          <w:b/>
          <w:sz w:val="20"/>
        </w:rPr>
        <w:tab/>
      </w:r>
    </w:p>
    <w:p w14:paraId="1A13EC13" w14:textId="0B266DAB" w:rsidR="00E30B81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 w:rsidRPr="00A0166E">
        <w:rPr>
          <w:rFonts w:ascii="Tahoma" w:hAnsi="Tahoma" w:cs="Tahoma"/>
          <w:b/>
          <w:sz w:val="20"/>
        </w:rPr>
        <w:t>E-mail:</w:t>
      </w:r>
      <w:r w:rsidRPr="00A0166E">
        <w:rPr>
          <w:rFonts w:ascii="Tahoma" w:hAnsi="Tahoma" w:cs="Tahoma"/>
          <w:b/>
          <w:sz w:val="20"/>
        </w:rPr>
        <w:tab/>
      </w:r>
      <w:r w:rsidR="001B529F">
        <w:rPr>
          <w:rFonts w:ascii="Tahoma" w:hAnsi="Tahoma" w:cs="Tahoma"/>
          <w:b/>
          <w:sz w:val="20"/>
        </w:rPr>
        <w:tab/>
      </w:r>
    </w:p>
    <w:p w14:paraId="095466DE" w14:textId="77777777" w:rsidR="00E30B81" w:rsidRPr="00A0166E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</w:p>
    <w:p w14:paraId="05FB124E" w14:textId="7791C8EE" w:rsidR="00E30B81" w:rsidRPr="00A0166E" w:rsidRDefault="00314F9E" w:rsidP="00E30B81">
      <w:pPr>
        <w:pStyle w:val="dka"/>
        <w:ind w:left="2160" w:hanging="2160"/>
        <w:rPr>
          <w:rFonts w:ascii="Tahoma" w:hAnsi="Tahoma" w:cs="Tahoma"/>
          <w:b/>
          <w:sz w:val="20"/>
        </w:rPr>
      </w:pPr>
      <w:r w:rsidRPr="00314F9E">
        <w:rPr>
          <w:rFonts w:ascii="Tahoma" w:hAnsi="Tahoma" w:cs="Tahoma"/>
          <w:b/>
          <w:sz w:val="20"/>
        </w:rPr>
        <w:t>dále jen „poradce“</w:t>
      </w:r>
    </w:p>
    <w:p w14:paraId="0D04333C" w14:textId="77777777" w:rsidR="00E30B81" w:rsidRPr="00A0166E" w:rsidRDefault="00E30B81" w:rsidP="00E30B81">
      <w:pPr>
        <w:pStyle w:val="dka"/>
        <w:rPr>
          <w:rFonts w:ascii="Tahoma" w:hAnsi="Tahoma" w:cs="Tahoma"/>
          <w:b/>
          <w:sz w:val="20"/>
        </w:rPr>
      </w:pPr>
    </w:p>
    <w:p w14:paraId="6B0A7ADC" w14:textId="73AE63CF" w:rsidR="00314F9E" w:rsidRDefault="00980244" w:rsidP="00314F9E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Obchodní jméno: </w:t>
      </w:r>
      <w:r w:rsidR="00314F9E" w:rsidRPr="00314F9E">
        <w:rPr>
          <w:rFonts w:ascii="Tahoma" w:hAnsi="Tahoma" w:cs="Tahoma"/>
          <w:b/>
          <w:sz w:val="20"/>
        </w:rPr>
        <w:tab/>
      </w:r>
      <w:r w:rsidR="005E08F4" w:rsidRPr="005E08F4">
        <w:rPr>
          <w:rFonts w:ascii="Tahoma" w:hAnsi="Tahoma" w:cs="Tahoma"/>
          <w:b/>
          <w:sz w:val="20"/>
        </w:rPr>
        <w:t>Domov pro seniory Jindřichův Hradec, příspěvková organizace</w:t>
      </w:r>
      <w:r w:rsidR="005E08F4" w:rsidRPr="005E08F4">
        <w:rPr>
          <w:rFonts w:ascii="Tahoma" w:hAnsi="Tahoma" w:cs="Tahoma"/>
          <w:b/>
          <w:sz w:val="20"/>
        </w:rPr>
        <w:tab/>
      </w:r>
    </w:p>
    <w:p w14:paraId="16DDCB6D" w14:textId="48938196" w:rsidR="00137D52" w:rsidRDefault="00E30B81" w:rsidP="00E30B81">
      <w:pPr>
        <w:pStyle w:val="dka"/>
        <w:tabs>
          <w:tab w:val="left" w:pos="1843"/>
        </w:tabs>
        <w:ind w:left="2160" w:hanging="2160"/>
        <w:rPr>
          <w:rFonts w:ascii="Tahoma" w:hAnsi="Tahoma" w:cs="Tahoma"/>
          <w:b/>
          <w:sz w:val="20"/>
        </w:rPr>
      </w:pPr>
      <w:r w:rsidRPr="00A0166E">
        <w:rPr>
          <w:rFonts w:ascii="Tahoma" w:hAnsi="Tahoma" w:cs="Tahoma"/>
          <w:b/>
          <w:sz w:val="20"/>
        </w:rPr>
        <w:t xml:space="preserve">Jejímž </w:t>
      </w:r>
      <w:proofErr w:type="spellStart"/>
      <w:proofErr w:type="gramStart"/>
      <w:r w:rsidRPr="00A0166E">
        <w:rPr>
          <w:rFonts w:ascii="Tahoma" w:hAnsi="Tahoma" w:cs="Tahoma"/>
          <w:b/>
          <w:sz w:val="20"/>
        </w:rPr>
        <w:t>jm</w:t>
      </w:r>
      <w:r w:rsidR="00137D52">
        <w:rPr>
          <w:rFonts w:ascii="Tahoma" w:hAnsi="Tahoma" w:cs="Tahoma"/>
          <w:b/>
          <w:sz w:val="20"/>
        </w:rPr>
        <w:t>énem</w:t>
      </w:r>
      <w:r w:rsidR="00980244">
        <w:rPr>
          <w:rFonts w:ascii="Tahoma" w:hAnsi="Tahoma" w:cs="Tahoma"/>
          <w:b/>
          <w:sz w:val="20"/>
        </w:rPr>
        <w:t>.</w:t>
      </w:r>
      <w:r w:rsidRPr="00A0166E">
        <w:rPr>
          <w:rFonts w:ascii="Tahoma" w:hAnsi="Tahoma" w:cs="Tahoma"/>
          <w:b/>
          <w:sz w:val="20"/>
        </w:rPr>
        <w:t>jedná</w:t>
      </w:r>
      <w:proofErr w:type="spellEnd"/>
      <w:proofErr w:type="gramEnd"/>
      <w:r w:rsidRPr="00A0166E">
        <w:rPr>
          <w:rFonts w:ascii="Tahoma" w:hAnsi="Tahoma" w:cs="Tahoma"/>
          <w:b/>
          <w:sz w:val="20"/>
        </w:rPr>
        <w:t>:</w:t>
      </w:r>
      <w:r w:rsidRPr="00A0166E">
        <w:rPr>
          <w:rFonts w:ascii="Tahoma" w:hAnsi="Tahoma" w:cs="Tahoma"/>
          <w:b/>
          <w:sz w:val="20"/>
        </w:rPr>
        <w:tab/>
      </w:r>
    </w:p>
    <w:p w14:paraId="37D8648A" w14:textId="1A82BAE9" w:rsidR="00E30B81" w:rsidRPr="00A0166E" w:rsidRDefault="005E08F4" w:rsidP="00E30B81">
      <w:pPr>
        <w:pStyle w:val="dka"/>
        <w:tabs>
          <w:tab w:val="left" w:pos="1843"/>
        </w:tabs>
        <w:ind w:left="2160" w:hanging="216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Mgr. Bc. Radka Stejskalová,</w:t>
      </w:r>
      <w:r w:rsidR="00314F9E" w:rsidRPr="00314F9E">
        <w:rPr>
          <w:rFonts w:ascii="Tahoma" w:hAnsi="Tahoma" w:cs="Tahoma"/>
          <w:b/>
          <w:sz w:val="20"/>
        </w:rPr>
        <w:t xml:space="preserve"> ředitel</w:t>
      </w:r>
      <w:r w:rsidR="00E30B81" w:rsidRPr="00A0166E">
        <w:rPr>
          <w:rFonts w:ascii="Tahoma" w:hAnsi="Tahoma" w:cs="Tahoma"/>
          <w:b/>
          <w:sz w:val="20"/>
        </w:rPr>
        <w:t xml:space="preserve">                          </w:t>
      </w:r>
      <w:r w:rsidR="00E30B81" w:rsidRPr="00A0166E">
        <w:rPr>
          <w:rFonts w:ascii="Tahoma" w:hAnsi="Tahoma" w:cs="Tahoma"/>
          <w:b/>
          <w:sz w:val="20"/>
        </w:rPr>
        <w:tab/>
        <w:t xml:space="preserve">               </w:t>
      </w:r>
    </w:p>
    <w:p w14:paraId="461D2ED8" w14:textId="52613504" w:rsidR="00314F9E" w:rsidRDefault="00E30B81" w:rsidP="00314F9E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Sídlo:</w:t>
      </w:r>
      <w:r w:rsidR="00A86499" w:rsidRPr="00A86499">
        <w:t xml:space="preserve"> </w:t>
      </w:r>
      <w:r w:rsidR="005E08F4" w:rsidRPr="005E08F4">
        <w:rPr>
          <w:rFonts w:ascii="Tahoma" w:hAnsi="Tahoma" w:cs="Tahoma"/>
          <w:b/>
          <w:bCs/>
        </w:rPr>
        <w:t>Otín 90, 377 01 Jindřichův Hradec</w:t>
      </w:r>
    </w:p>
    <w:p w14:paraId="6CE20302" w14:textId="77777777" w:rsidR="005E08F4" w:rsidRPr="00980244" w:rsidRDefault="005E08F4" w:rsidP="00314F9E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245C724E" w14:textId="49FE0AF3" w:rsidR="00E30B81" w:rsidRPr="00A0166E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DIČ:</w:t>
      </w:r>
      <w:r w:rsidR="00980244">
        <w:rPr>
          <w:rFonts w:ascii="Tahoma" w:hAnsi="Tahoma" w:cs="Tahoma"/>
          <w:b/>
          <w:sz w:val="20"/>
        </w:rPr>
        <w:t xml:space="preserve"> CZ</w:t>
      </w:r>
      <w:r w:rsidR="00314F9E">
        <w:rPr>
          <w:rFonts w:ascii="Tahoma" w:hAnsi="Tahoma" w:cs="Tahoma"/>
          <w:b/>
          <w:sz w:val="20"/>
        </w:rPr>
        <w:t>22032</w:t>
      </w:r>
      <w:r w:rsidR="005E08F4">
        <w:rPr>
          <w:rFonts w:ascii="Tahoma" w:hAnsi="Tahoma" w:cs="Tahoma"/>
          <w:b/>
          <w:sz w:val="20"/>
        </w:rPr>
        <w:t>631</w:t>
      </w:r>
    </w:p>
    <w:p w14:paraId="0999DB27" w14:textId="3A0594CB" w:rsidR="00E30B81" w:rsidRPr="00A0166E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  <w:proofErr w:type="gramStart"/>
      <w:r>
        <w:rPr>
          <w:rFonts w:ascii="Tahoma" w:hAnsi="Tahoma" w:cs="Tahoma"/>
          <w:b/>
          <w:sz w:val="20"/>
        </w:rPr>
        <w:t>IČ:</w:t>
      </w:r>
      <w:r w:rsidR="00980244">
        <w:rPr>
          <w:rFonts w:ascii="Tahoma" w:hAnsi="Tahoma" w:cs="Tahoma"/>
          <w:b/>
          <w:sz w:val="20"/>
        </w:rPr>
        <w:t xml:space="preserve">   </w:t>
      </w:r>
      <w:proofErr w:type="gramEnd"/>
      <w:r w:rsidR="00980244">
        <w:rPr>
          <w:rFonts w:ascii="Tahoma" w:hAnsi="Tahoma" w:cs="Tahoma"/>
          <w:b/>
          <w:sz w:val="20"/>
        </w:rPr>
        <w:t xml:space="preserve"> </w:t>
      </w:r>
      <w:r w:rsidR="00314F9E">
        <w:rPr>
          <w:rFonts w:ascii="Tahoma" w:hAnsi="Tahoma" w:cs="Tahoma"/>
          <w:b/>
          <w:sz w:val="20"/>
        </w:rPr>
        <w:t xml:space="preserve">220 32 </w:t>
      </w:r>
      <w:r w:rsidR="005E08F4">
        <w:rPr>
          <w:rFonts w:ascii="Tahoma" w:hAnsi="Tahoma" w:cs="Tahoma"/>
          <w:b/>
          <w:sz w:val="20"/>
        </w:rPr>
        <w:t>631</w:t>
      </w:r>
    </w:p>
    <w:p w14:paraId="33BABF28" w14:textId="77777777" w:rsidR="00E30B81" w:rsidRPr="00A0166E" w:rsidRDefault="00E30B81" w:rsidP="00E30B81">
      <w:pPr>
        <w:pStyle w:val="dka"/>
        <w:tabs>
          <w:tab w:val="left" w:pos="1843"/>
        </w:tabs>
        <w:rPr>
          <w:rFonts w:ascii="Tahoma" w:hAnsi="Tahoma" w:cs="Tahoma"/>
          <w:b/>
          <w:sz w:val="20"/>
        </w:rPr>
      </w:pPr>
    </w:p>
    <w:p w14:paraId="1E444005" w14:textId="77777777" w:rsidR="00E30B81" w:rsidRPr="00A0166E" w:rsidRDefault="00E30B81" w:rsidP="00E30B81">
      <w:pPr>
        <w:pStyle w:val="dka"/>
        <w:rPr>
          <w:rFonts w:ascii="Tahoma" w:hAnsi="Tahoma" w:cs="Tahoma"/>
          <w:b/>
          <w:sz w:val="20"/>
        </w:rPr>
      </w:pPr>
      <w:r w:rsidRPr="00A0166E">
        <w:rPr>
          <w:rFonts w:ascii="Tahoma" w:hAnsi="Tahoma" w:cs="Tahoma"/>
          <w:sz w:val="20"/>
        </w:rPr>
        <w:t>dále jen</w:t>
      </w:r>
      <w:r w:rsidRPr="00A0166E">
        <w:rPr>
          <w:rFonts w:ascii="Tahoma" w:hAnsi="Tahoma" w:cs="Tahoma"/>
          <w:b/>
          <w:sz w:val="20"/>
        </w:rPr>
        <w:t xml:space="preserve"> „klient</w:t>
      </w:r>
    </w:p>
    <w:p w14:paraId="3B58B52A" w14:textId="77777777" w:rsidR="00E30B81" w:rsidRPr="00A0166E" w:rsidRDefault="00E30B81" w:rsidP="00E30B81">
      <w:pPr>
        <w:pStyle w:val="dka"/>
        <w:rPr>
          <w:rFonts w:ascii="Tahoma" w:hAnsi="Tahoma" w:cs="Tahoma"/>
          <w:b/>
          <w:sz w:val="22"/>
        </w:rPr>
        <w:sectPr w:rsidR="00E30B81" w:rsidRPr="00A0166E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51" w:gutter="0"/>
          <w:paperSrc w:first="32" w:other="1"/>
          <w:pgNumType w:chapStyle="1"/>
          <w:cols w:num="2" w:sep="1" w:space="340"/>
          <w:titlePg/>
        </w:sectPr>
      </w:pPr>
    </w:p>
    <w:p w14:paraId="552AF2AF" w14:textId="77777777" w:rsidR="00E30B81" w:rsidRPr="00A0166E" w:rsidRDefault="00E30B81" w:rsidP="00E30B81">
      <w:pPr>
        <w:pStyle w:val="dka"/>
        <w:rPr>
          <w:rFonts w:ascii="Tahoma" w:hAnsi="Tahoma" w:cs="Tahoma"/>
          <w:b/>
          <w:sz w:val="22"/>
        </w:rPr>
      </w:pPr>
    </w:p>
    <w:p w14:paraId="6BAD0906" w14:textId="77777777" w:rsidR="00E30B81" w:rsidRPr="00711DD0" w:rsidRDefault="00E30B81" w:rsidP="00E30B81">
      <w:pPr>
        <w:pStyle w:val="dka"/>
        <w:jc w:val="both"/>
        <w:rPr>
          <w:rFonts w:ascii="Tahoma" w:hAnsi="Tahoma" w:cs="Tahoma"/>
          <w:sz w:val="18"/>
          <w:szCs w:val="18"/>
        </w:rPr>
      </w:pPr>
      <w:r w:rsidRPr="00711DD0">
        <w:rPr>
          <w:rFonts w:ascii="Tahoma" w:hAnsi="Tahoma" w:cs="Tahoma"/>
          <w:sz w:val="18"/>
          <w:szCs w:val="18"/>
        </w:rPr>
        <w:t>uzavíra</w:t>
      </w:r>
      <w:r w:rsidR="00830B00">
        <w:rPr>
          <w:rFonts w:ascii="Tahoma" w:hAnsi="Tahoma" w:cs="Tahoma"/>
          <w:sz w:val="18"/>
          <w:szCs w:val="18"/>
        </w:rPr>
        <w:t>jí v souladu s ustanovením § 1746, odst. 2 zákona č. 89/2012 Sb., občanské</w:t>
      </w:r>
      <w:r w:rsidRPr="00711DD0">
        <w:rPr>
          <w:rFonts w:ascii="Tahoma" w:hAnsi="Tahoma" w:cs="Tahoma"/>
          <w:sz w:val="18"/>
          <w:szCs w:val="18"/>
        </w:rPr>
        <w:t xml:space="preserve">ho zákoníku a přiměřeně podle zákona č. 523/1992 Sb. o daňovém poradenství a Komoře daňových poradců České republiky níže psaného dne, měsíce a roku tuto </w:t>
      </w:r>
      <w:r w:rsidRPr="00711DD0">
        <w:rPr>
          <w:rFonts w:ascii="Tahoma" w:hAnsi="Tahoma" w:cs="Tahoma"/>
          <w:b/>
          <w:sz w:val="18"/>
          <w:szCs w:val="18"/>
          <w:u w:val="single"/>
        </w:rPr>
        <w:t>smlouvu o poskytování daňového poradenství</w:t>
      </w:r>
      <w:r w:rsidRPr="00711DD0">
        <w:rPr>
          <w:rFonts w:ascii="Tahoma" w:hAnsi="Tahoma" w:cs="Tahoma"/>
          <w:sz w:val="18"/>
          <w:szCs w:val="18"/>
        </w:rPr>
        <w:t xml:space="preserve">, dále jen </w:t>
      </w:r>
      <w:r w:rsidRPr="00711DD0">
        <w:rPr>
          <w:rFonts w:ascii="Tahoma" w:hAnsi="Tahoma" w:cs="Tahoma"/>
          <w:b/>
          <w:sz w:val="18"/>
          <w:szCs w:val="18"/>
        </w:rPr>
        <w:t>„smlouva</w:t>
      </w:r>
      <w:proofErr w:type="gramStart"/>
      <w:r w:rsidRPr="00711DD0">
        <w:rPr>
          <w:rFonts w:ascii="Tahoma" w:hAnsi="Tahoma" w:cs="Tahoma"/>
          <w:b/>
          <w:sz w:val="18"/>
          <w:szCs w:val="18"/>
        </w:rPr>
        <w:t xml:space="preserve">“,  </w:t>
      </w:r>
      <w:r w:rsidRPr="00711DD0">
        <w:rPr>
          <w:rFonts w:ascii="Tahoma" w:hAnsi="Tahoma" w:cs="Tahoma"/>
          <w:sz w:val="18"/>
          <w:szCs w:val="18"/>
        </w:rPr>
        <w:t>ve</w:t>
      </w:r>
      <w:proofErr w:type="gramEnd"/>
      <w:r w:rsidRPr="00711DD0">
        <w:rPr>
          <w:rFonts w:ascii="Tahoma" w:hAnsi="Tahoma" w:cs="Tahoma"/>
          <w:sz w:val="18"/>
          <w:szCs w:val="18"/>
        </w:rPr>
        <w:t xml:space="preserve"> které se dále praví:</w:t>
      </w:r>
    </w:p>
    <w:p w14:paraId="68402922" w14:textId="77777777" w:rsidR="00E30B81" w:rsidRPr="00A0166E" w:rsidRDefault="00E30B81" w:rsidP="00E30B81">
      <w:pPr>
        <w:pStyle w:val="NADPISSML"/>
        <w:rPr>
          <w:rFonts w:ascii="Tahoma" w:hAnsi="Tahoma" w:cs="Tahoma"/>
        </w:rPr>
      </w:pPr>
    </w:p>
    <w:p w14:paraId="0076E43B" w14:textId="77777777" w:rsidR="00E30B81" w:rsidRPr="00A0166E" w:rsidRDefault="00E30B81" w:rsidP="00E30B81">
      <w:pPr>
        <w:pStyle w:val="NADPISSML"/>
        <w:rPr>
          <w:rFonts w:ascii="Tahoma" w:hAnsi="Tahoma" w:cs="Tahoma"/>
        </w:rPr>
        <w:sectPr w:rsidR="00E30B81" w:rsidRPr="00A0166E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51" w:gutter="0"/>
          <w:paperSrc w:first="32" w:other="1"/>
          <w:pgNumType w:chapStyle="1"/>
          <w:cols w:space="708"/>
          <w:titlePg/>
        </w:sectPr>
      </w:pPr>
    </w:p>
    <w:p w14:paraId="6C1E6DF8" w14:textId="77777777" w:rsidR="00E30B81" w:rsidRPr="00A0166E" w:rsidRDefault="00E30B81" w:rsidP="00E30B81">
      <w:pPr>
        <w:numPr>
          <w:ilvl w:val="0"/>
          <w:numId w:val="1"/>
        </w:numPr>
        <w:spacing w:after="160"/>
        <w:ind w:left="357" w:hanging="357"/>
        <w:jc w:val="center"/>
        <w:outlineLvl w:val="0"/>
        <w:rPr>
          <w:rFonts w:ascii="Tahoma" w:hAnsi="Tahoma" w:cs="Tahoma"/>
          <w:b/>
        </w:rPr>
      </w:pPr>
      <w:r w:rsidRPr="00A0166E">
        <w:rPr>
          <w:rFonts w:ascii="Tahoma" w:hAnsi="Tahoma" w:cs="Tahoma"/>
          <w:b/>
        </w:rPr>
        <w:t>PŘEDMĚT A ROZSAH SMLOUVY</w:t>
      </w:r>
    </w:p>
    <w:p w14:paraId="666DA852" w14:textId="77777777" w:rsidR="00E30B81" w:rsidRPr="00E442BC" w:rsidRDefault="00E30B81" w:rsidP="00E30B81">
      <w:pPr>
        <w:pStyle w:val="SML2"/>
      </w:pPr>
      <w:bookmarkStart w:id="1" w:name="_Ref53047075"/>
      <w:r w:rsidRPr="00E442BC">
        <w:t>Předmětem smlouvy je poskyt</w:t>
      </w:r>
      <w:r>
        <w:t>ování</w:t>
      </w:r>
      <w:r w:rsidRPr="00E442BC">
        <w:t xml:space="preserve"> daňového poradenství v souladu s články 1 a </w:t>
      </w:r>
      <w:proofErr w:type="gramStart"/>
      <w:r w:rsidRPr="00E442BC">
        <w:t>2  Obecných</w:t>
      </w:r>
      <w:proofErr w:type="gramEnd"/>
      <w:r w:rsidRPr="00E442BC">
        <w:t xml:space="preserve"> podmínek pro poskytování daňového poradenství (dále jen „</w:t>
      </w:r>
      <w:r w:rsidRPr="006943C5">
        <w:rPr>
          <w:b/>
        </w:rPr>
        <w:t>OPDP</w:t>
      </w:r>
      <w:r w:rsidRPr="00E442BC">
        <w:t>“)</w:t>
      </w:r>
      <w:r>
        <w:t xml:space="preserve"> </w:t>
      </w:r>
      <w:r w:rsidRPr="00E442BC">
        <w:t>– jež jsou nedílnou součástí této smlouvy v dále vymezeném časovém a věcném rozsahu.</w:t>
      </w:r>
      <w:bookmarkEnd w:id="1"/>
    </w:p>
    <w:p w14:paraId="17DF4675" w14:textId="30F77577" w:rsidR="00E30B81" w:rsidRPr="00A86499" w:rsidRDefault="00E30B81" w:rsidP="00913842">
      <w:pPr>
        <w:pStyle w:val="SML2"/>
      </w:pPr>
      <w:bookmarkStart w:id="2" w:name="_Ref54420327"/>
      <w:bookmarkStart w:id="3" w:name="_Ref77563473"/>
      <w:bookmarkStart w:id="4" w:name="_Ref77945776"/>
      <w:r w:rsidRPr="00A86499">
        <w:t xml:space="preserve">Poradce poskytne klientovi </w:t>
      </w:r>
      <w:bookmarkEnd w:id="2"/>
      <w:r w:rsidR="008D1119" w:rsidRPr="00A86499">
        <w:t>právní pomoc v souvislosti s</w:t>
      </w:r>
      <w:r w:rsidR="00B54CC1" w:rsidRPr="00A86499">
        <w:t>e</w:t>
      </w:r>
      <w:r w:rsidR="008D1119" w:rsidRPr="00A86499">
        <w:t> </w:t>
      </w:r>
      <w:r w:rsidR="00B54CC1" w:rsidRPr="00A86499">
        <w:t>zpracováním přiznání</w:t>
      </w:r>
      <w:r w:rsidR="00A52E13">
        <w:t xml:space="preserve"> k dani z příjmů právnických osob </w:t>
      </w:r>
      <w:r w:rsidR="008D1119" w:rsidRPr="00A86499">
        <w:t xml:space="preserve">za </w:t>
      </w:r>
      <w:r w:rsidR="00A52E13">
        <w:t xml:space="preserve">zdaňovací </w:t>
      </w:r>
      <w:r w:rsidR="008D1119" w:rsidRPr="00A86499">
        <w:t>období</w:t>
      </w:r>
      <w:bookmarkEnd w:id="3"/>
      <w:bookmarkEnd w:id="4"/>
      <w:r w:rsidR="00FE5050">
        <w:t xml:space="preserve"> kalendářní rok </w:t>
      </w:r>
      <w:r w:rsidR="00137D52">
        <w:t>202</w:t>
      </w:r>
      <w:r w:rsidR="00314F9E">
        <w:t>5</w:t>
      </w:r>
      <w:r w:rsidR="00FE5050">
        <w:t>.</w:t>
      </w:r>
    </w:p>
    <w:p w14:paraId="6B9EA2DC" w14:textId="4B9F78BC" w:rsidR="00E30B81" w:rsidRPr="00524DC5" w:rsidRDefault="00E30B81" w:rsidP="00E30B81">
      <w:pPr>
        <w:pStyle w:val="SML2"/>
      </w:pPr>
      <w:bookmarkStart w:id="5" w:name="_Ref53048115"/>
      <w:bookmarkStart w:id="6" w:name="_Ref77563475"/>
      <w:r w:rsidRPr="00A86499">
        <w:t xml:space="preserve">Poradce bude poskytovat konzultace a metodickou pomoc </w:t>
      </w:r>
      <w:r w:rsidR="008D1119" w:rsidRPr="00A86499">
        <w:t xml:space="preserve">v jednání před FÚ, bude se zúčastňovat jednání mezi klientem a FÚ </w:t>
      </w:r>
      <w:bookmarkEnd w:id="5"/>
      <w:bookmarkEnd w:id="6"/>
      <w:r w:rsidR="00B438EE">
        <w:t>ve všech záležitostech týkajících se DPPO</w:t>
      </w:r>
      <w:r w:rsidR="00460582">
        <w:t xml:space="preserve"> za rok </w:t>
      </w:r>
      <w:r w:rsidR="00137D52">
        <w:t>202</w:t>
      </w:r>
      <w:r w:rsidR="008515FF">
        <w:t>5</w:t>
      </w:r>
      <w:r w:rsidR="00B438EE">
        <w:t xml:space="preserve">. </w:t>
      </w:r>
      <w:r w:rsidR="008F6657" w:rsidRPr="00524DC5">
        <w:t xml:space="preserve">Poradce je oprávněn se seznamovat se všemi skutečnostmi potřebnými k dosažení </w:t>
      </w:r>
      <w:r w:rsidR="00524DC5" w:rsidRPr="00524DC5">
        <w:t xml:space="preserve">předmětu smlouvy dle bodu </w:t>
      </w:r>
      <w:r w:rsidR="00524DC5" w:rsidRPr="00524DC5">
        <w:fldChar w:fldCharType="begin"/>
      </w:r>
      <w:r w:rsidR="00524DC5" w:rsidRPr="00524DC5">
        <w:instrText xml:space="preserve"> REF _Ref77563473 \r \h </w:instrText>
      </w:r>
      <w:r w:rsidR="00524DC5">
        <w:instrText xml:space="preserve"> \* MERGEFORMAT </w:instrText>
      </w:r>
      <w:r w:rsidR="00524DC5" w:rsidRPr="00524DC5">
        <w:fldChar w:fldCharType="separate"/>
      </w:r>
      <w:r w:rsidR="001A1E98">
        <w:t xml:space="preserve">2.2 </w:t>
      </w:r>
      <w:r w:rsidR="00524DC5" w:rsidRPr="00524DC5">
        <w:fldChar w:fldCharType="end"/>
      </w:r>
      <w:r w:rsidR="00524DC5" w:rsidRPr="00524DC5">
        <w:t xml:space="preserve">a </w:t>
      </w:r>
      <w:r w:rsidR="00524DC5" w:rsidRPr="00524DC5">
        <w:fldChar w:fldCharType="begin"/>
      </w:r>
      <w:r w:rsidR="00524DC5" w:rsidRPr="00524DC5">
        <w:instrText xml:space="preserve"> REF _Ref77563475 \r \h </w:instrText>
      </w:r>
      <w:r w:rsidR="00524DC5">
        <w:instrText xml:space="preserve"> \* MERGEFORMAT </w:instrText>
      </w:r>
      <w:r w:rsidR="00524DC5" w:rsidRPr="00524DC5">
        <w:fldChar w:fldCharType="separate"/>
      </w:r>
      <w:r w:rsidR="001A1E98">
        <w:t xml:space="preserve">2.3 </w:t>
      </w:r>
      <w:r w:rsidR="00524DC5" w:rsidRPr="00524DC5">
        <w:fldChar w:fldCharType="end"/>
      </w:r>
    </w:p>
    <w:p w14:paraId="3FDAC024" w14:textId="77777777" w:rsidR="00E30B81" w:rsidRDefault="00E30B81" w:rsidP="00E30B81">
      <w:pPr>
        <w:pStyle w:val="SML2"/>
      </w:pPr>
      <w:r>
        <w:t>Poradce bude v případě potřeby klienta zastupovat před správcem daně a v dalších jednáních v rozsahu dle dohody o plné moci.</w:t>
      </w:r>
    </w:p>
    <w:p w14:paraId="460A0669" w14:textId="77777777" w:rsidR="00E30B81" w:rsidRDefault="00E30B81" w:rsidP="00913842">
      <w:pPr>
        <w:pStyle w:val="SML2"/>
        <w:spacing w:after="0"/>
      </w:pPr>
      <w:r>
        <w:t xml:space="preserve">Daňové poradenství přesahující časový a věcný rozsah dle článků </w:t>
      </w:r>
      <w:r w:rsidR="005E4455">
        <w:fldChar w:fldCharType="begin"/>
      </w:r>
      <w:r w:rsidR="005E4455">
        <w:instrText xml:space="preserve"> REF _Ref77945776 \r \h </w:instrText>
      </w:r>
      <w:r w:rsidR="005E4455">
        <w:fldChar w:fldCharType="separate"/>
      </w:r>
      <w:r w:rsidR="001A1E98">
        <w:t xml:space="preserve">2.2 </w:t>
      </w:r>
      <w:r w:rsidR="005E4455">
        <w:fldChar w:fldCharType="end"/>
      </w:r>
      <w:r>
        <w:t xml:space="preserve">až </w:t>
      </w:r>
      <w:r w:rsidR="005E4455">
        <w:fldChar w:fldCharType="begin"/>
      </w:r>
      <w:r w:rsidR="005E4455">
        <w:instrText xml:space="preserve"> REF _Ref77563475 \r \h </w:instrText>
      </w:r>
      <w:r w:rsidR="005E4455">
        <w:fldChar w:fldCharType="separate"/>
      </w:r>
      <w:r w:rsidR="001A1E98">
        <w:t xml:space="preserve">2.3 </w:t>
      </w:r>
      <w:r w:rsidR="005E4455">
        <w:fldChar w:fldCharType="end"/>
      </w:r>
      <w:r>
        <w:t>si klient objednává samostatnou</w:t>
      </w:r>
      <w:r w:rsidR="00913842">
        <w:t xml:space="preserve"> objednávkou</w:t>
      </w:r>
      <w:r>
        <w:t xml:space="preserve">. Další podmínky a jiný rozsah předmětu smlouvy je možné dojednat pouze v souladu </w:t>
      </w:r>
      <w:r w:rsidRPr="00F21E79">
        <w:t xml:space="preserve">s čl. </w:t>
      </w:r>
      <w:r w:rsidR="005E4455">
        <w:fldChar w:fldCharType="begin"/>
      </w:r>
      <w:r w:rsidR="005E4455">
        <w:instrText xml:space="preserve"> REF _Ref77945712 \r \h </w:instrText>
      </w:r>
      <w:r w:rsidR="005E4455">
        <w:fldChar w:fldCharType="separate"/>
      </w:r>
      <w:r w:rsidR="001A1E98">
        <w:t xml:space="preserve">11.2 </w:t>
      </w:r>
      <w:r w:rsidR="005E4455">
        <w:fldChar w:fldCharType="end"/>
      </w:r>
      <w:r>
        <w:t>dodatkem k této smlouvě.</w:t>
      </w:r>
    </w:p>
    <w:p w14:paraId="09A4C21D" w14:textId="77777777" w:rsidR="00E30B81" w:rsidRPr="00A0166E" w:rsidRDefault="00E30B81" w:rsidP="00E30B81">
      <w:pPr>
        <w:numPr>
          <w:ilvl w:val="0"/>
          <w:numId w:val="1"/>
        </w:numPr>
        <w:spacing w:before="360" w:after="160"/>
        <w:ind w:left="357" w:hanging="357"/>
        <w:jc w:val="center"/>
        <w:outlineLvl w:val="0"/>
        <w:rPr>
          <w:rFonts w:ascii="Tahoma" w:hAnsi="Tahoma" w:cs="Tahoma"/>
          <w:b/>
        </w:rPr>
      </w:pPr>
      <w:r w:rsidRPr="00A0166E">
        <w:rPr>
          <w:rFonts w:ascii="Tahoma" w:hAnsi="Tahoma" w:cs="Tahoma"/>
          <w:b/>
        </w:rPr>
        <w:t>FORMA, MÍSTO PLNĚNÍ SMLOUVY</w:t>
      </w:r>
    </w:p>
    <w:p w14:paraId="10B78F74" w14:textId="77777777" w:rsidR="00E30B81" w:rsidRPr="00F21E79" w:rsidRDefault="00E30B81" w:rsidP="00913842">
      <w:pPr>
        <w:pStyle w:val="SML3"/>
      </w:pPr>
      <w:r w:rsidRPr="00A0166E">
        <w:t>Daňové poradenství bude probíhat formou konzultací, porad a jednání poradce, jeho pověřených zástupců, či odborných zaměstnanců, dále jen „</w:t>
      </w:r>
      <w:r w:rsidRPr="006943C5">
        <w:rPr>
          <w:b/>
        </w:rPr>
        <w:t>poradce</w:t>
      </w:r>
      <w:r w:rsidRPr="00A0166E">
        <w:t>“, s klientem, pověřenými zástupci klienta, či jeho příslušnými zaměstnanci</w:t>
      </w:r>
      <w:r w:rsidRPr="00F21E79">
        <w:t>, dále jen „</w:t>
      </w:r>
      <w:r w:rsidRPr="00F21E79">
        <w:rPr>
          <w:b/>
        </w:rPr>
        <w:t>klient</w:t>
      </w:r>
      <w:r w:rsidRPr="00F21E79">
        <w:t>“.</w:t>
      </w:r>
    </w:p>
    <w:p w14:paraId="6D072277" w14:textId="77777777" w:rsidR="00E30B81" w:rsidRPr="00A0166E" w:rsidRDefault="00E30B81" w:rsidP="00E30B81">
      <w:pPr>
        <w:pStyle w:val="SML3"/>
        <w:rPr>
          <w:rFonts w:cs="Tahoma"/>
        </w:rPr>
      </w:pPr>
      <w:r w:rsidRPr="00A0166E">
        <w:rPr>
          <w:rFonts w:cs="Tahoma"/>
        </w:rPr>
        <w:t>Součástí daňového poradenství bude též jednání poradce s třetími osobami, zejména se správci daně.</w:t>
      </w:r>
    </w:p>
    <w:p w14:paraId="45C21A74" w14:textId="77777777" w:rsidR="00E30B81" w:rsidRPr="00A0166E" w:rsidRDefault="00E30B81" w:rsidP="00E30B81">
      <w:pPr>
        <w:pStyle w:val="SML3"/>
      </w:pPr>
      <w:bookmarkStart w:id="7" w:name="_Ref53048164"/>
      <w:r w:rsidRPr="00A0166E">
        <w:t>Klient umožní poradci přístup k veškerým dokladům, které se váží k jeho činnost</w:t>
      </w:r>
      <w:r w:rsidR="0011748B">
        <w:t>em</w:t>
      </w:r>
      <w:r w:rsidRPr="00A0166E">
        <w:t xml:space="preserve"> a mají, nebo dle názoru poradce mohou mít, vliv na plnění předmětu této smlouvy.</w:t>
      </w:r>
      <w:bookmarkEnd w:id="7"/>
    </w:p>
    <w:p w14:paraId="427DAB48" w14:textId="77777777" w:rsidR="00E30B81" w:rsidRDefault="00E30B81" w:rsidP="00E30B81">
      <w:pPr>
        <w:pStyle w:val="SML3"/>
      </w:pPr>
      <w:r w:rsidRPr="00A0166E">
        <w:t>Daňové poradenství bude probíhat v sídle poradce</w:t>
      </w:r>
      <w:r>
        <w:t xml:space="preserve"> nebo klienta</w:t>
      </w:r>
      <w:r w:rsidRPr="00A0166E">
        <w:t xml:space="preserve">. V případě potřeby </w:t>
      </w:r>
      <w:r>
        <w:t xml:space="preserve">a po dohodě </w:t>
      </w:r>
      <w:r w:rsidRPr="00A0166E">
        <w:t xml:space="preserve">proběhne </w:t>
      </w:r>
      <w:r>
        <w:t>i v jiných místech.</w:t>
      </w:r>
    </w:p>
    <w:p w14:paraId="6A20CC82" w14:textId="77777777" w:rsidR="00E03A6A" w:rsidRPr="00A0166E" w:rsidRDefault="00E03A6A" w:rsidP="00E03A6A">
      <w:pPr>
        <w:pStyle w:val="SML3"/>
        <w:numPr>
          <w:ilvl w:val="0"/>
          <w:numId w:val="0"/>
        </w:numPr>
      </w:pPr>
    </w:p>
    <w:p w14:paraId="075291E3" w14:textId="77777777" w:rsidR="00E30B81" w:rsidRPr="00A0166E" w:rsidRDefault="00E30B81" w:rsidP="00E30B81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 w:rsidRPr="00A0166E">
        <w:rPr>
          <w:rFonts w:ascii="Tahoma" w:hAnsi="Tahoma" w:cs="Tahoma"/>
          <w:b/>
        </w:rPr>
        <w:t>PRÁVA A POVINNOSTI PORADCE</w:t>
      </w:r>
    </w:p>
    <w:p w14:paraId="05B37235" w14:textId="77777777" w:rsidR="00E30B81" w:rsidRPr="00A0166E" w:rsidRDefault="00E30B81" w:rsidP="00E30B81">
      <w:pPr>
        <w:pStyle w:val="SML4"/>
      </w:pPr>
      <w:r w:rsidRPr="00A0166E">
        <w:t xml:space="preserve">Poradce při poskytování daňového poradenství upozorní klienta na zřejmou nevhodnost jeho příkazu, </w:t>
      </w:r>
      <w:r w:rsidR="0011748B">
        <w:t xml:space="preserve">o </w:t>
      </w:r>
      <w:r w:rsidRPr="00A0166E">
        <w:t>kter</w:t>
      </w:r>
      <w:r w:rsidR="0011748B">
        <w:t xml:space="preserve">ém se prokazatelně dozví a který </w:t>
      </w:r>
      <w:r w:rsidRPr="00A0166E">
        <w:t>by mohl mít za následek vznik škody. V případě, že klient i přes upozornění poradce na splnění příkaz</w:t>
      </w:r>
      <w:r w:rsidR="00B712E9">
        <w:t>u</w:t>
      </w:r>
      <w:r w:rsidRPr="00A0166E">
        <w:t xml:space="preserve"> trvá, neodpovídá poradce za škodu takto vzniklou.</w:t>
      </w:r>
    </w:p>
    <w:p w14:paraId="50310C55" w14:textId="77777777" w:rsidR="00E30B81" w:rsidRPr="00A0166E" w:rsidRDefault="00E30B81" w:rsidP="00E30B81">
      <w:pPr>
        <w:pStyle w:val="SML4"/>
      </w:pPr>
      <w:r w:rsidRPr="00A0166E">
        <w:t>Poradce má právo odmítnout poskytnutí takových služeb, které by způsobem poskytování nebo svými důsledky vedly k porušení právních předpisů, případně by vybočovaly z mezí dobrých mravů.</w:t>
      </w:r>
    </w:p>
    <w:p w14:paraId="04B2F1BF" w14:textId="77777777" w:rsidR="00E30B81" w:rsidRPr="00A0166E" w:rsidRDefault="0011748B" w:rsidP="00E30B81">
      <w:pPr>
        <w:pStyle w:val="SML4"/>
      </w:pPr>
      <w:bookmarkStart w:id="8" w:name="_Ref54419524"/>
      <w:r>
        <w:lastRenderedPageBreak/>
        <w:t>P</w:t>
      </w:r>
      <w:r w:rsidR="00E30B81" w:rsidRPr="00A0166E">
        <w:t>oradce má právo ponechat si kopi</w:t>
      </w:r>
      <w:r w:rsidR="007153D2">
        <w:t>e</w:t>
      </w:r>
      <w:r w:rsidR="00E30B81" w:rsidRPr="00A0166E">
        <w:t xml:space="preserve"> </w:t>
      </w:r>
      <w:r w:rsidR="00255A22">
        <w:t>použitých</w:t>
      </w:r>
      <w:r w:rsidR="00E30B81" w:rsidRPr="00A0166E">
        <w:t xml:space="preserve"> materiálů klienta pro </w:t>
      </w:r>
      <w:r w:rsidR="00B712E9">
        <w:t xml:space="preserve">účely vyplývající z postavení daňového poradce </w:t>
      </w:r>
      <w:r w:rsidR="007153D2">
        <w:t>podle právních předpisů a této smlouvy</w:t>
      </w:r>
      <w:r w:rsidR="00E30B81" w:rsidRPr="00A0166E">
        <w:t>.</w:t>
      </w:r>
      <w:bookmarkEnd w:id="8"/>
    </w:p>
    <w:p w14:paraId="5FF0F032" w14:textId="77777777" w:rsidR="00E30B81" w:rsidRPr="00A0166E" w:rsidRDefault="00E30B81" w:rsidP="00E30B81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 w:rsidRPr="00A0166E">
        <w:rPr>
          <w:rFonts w:ascii="Tahoma" w:hAnsi="Tahoma" w:cs="Tahoma"/>
          <w:b/>
        </w:rPr>
        <w:t>PRÁVA A POVINNOSTI KLIENTA</w:t>
      </w:r>
    </w:p>
    <w:p w14:paraId="393B96C4" w14:textId="77777777" w:rsidR="00D11D6D" w:rsidRDefault="00E30B81" w:rsidP="00D11D6D">
      <w:pPr>
        <w:pStyle w:val="SML5"/>
      </w:pPr>
      <w:r w:rsidRPr="00A0166E">
        <w:t xml:space="preserve">Klient </w:t>
      </w:r>
      <w:r w:rsidR="007153D2">
        <w:t>na vyžádání</w:t>
      </w:r>
      <w:r w:rsidRPr="00A0166E">
        <w:t xml:space="preserve"> </w:t>
      </w:r>
      <w:r w:rsidR="007153D2">
        <w:t>obdrží</w:t>
      </w:r>
      <w:r w:rsidRPr="00A0166E">
        <w:t xml:space="preserve"> kopii zpracova</w:t>
      </w:r>
      <w:r>
        <w:t>ných</w:t>
      </w:r>
      <w:r w:rsidRPr="00A0166E">
        <w:t xml:space="preserve"> </w:t>
      </w:r>
      <w:r w:rsidR="00255A22">
        <w:t>podání.</w:t>
      </w:r>
    </w:p>
    <w:p w14:paraId="3E13A68F" w14:textId="77777777" w:rsidR="00E30B81" w:rsidRPr="00A0166E" w:rsidRDefault="00E30B81" w:rsidP="00D11D6D">
      <w:pPr>
        <w:pStyle w:val="SML5"/>
      </w:pPr>
      <w:r>
        <w:t>Klient je povinen</w:t>
      </w:r>
      <w:r w:rsidR="00D11D6D">
        <w:t xml:space="preserve"> podrobit se identifikaci podle zvláštních předpisů, </w:t>
      </w:r>
      <w:r>
        <w:t>předložit</w:t>
      </w:r>
      <w:r w:rsidR="00D11D6D">
        <w:t xml:space="preserve"> za tím účelem</w:t>
      </w:r>
      <w:r w:rsidR="00553A0A">
        <w:t xml:space="preserve"> poradci</w:t>
      </w:r>
      <w:r w:rsidR="00D11D6D">
        <w:t xml:space="preserve"> příslušné doklady</w:t>
      </w:r>
      <w:r w:rsidRPr="00A0166E">
        <w:t xml:space="preserve"> </w:t>
      </w:r>
      <w:r w:rsidR="00D11D6D">
        <w:t>a předat</w:t>
      </w:r>
      <w:r w:rsidR="001F6961">
        <w:t xml:space="preserve"> kopie</w:t>
      </w:r>
      <w:r w:rsidR="00D11D6D">
        <w:t xml:space="preserve"> nebo umožnit</w:t>
      </w:r>
      <w:r w:rsidR="001F6961">
        <w:t xml:space="preserve"> jejich pořízení</w:t>
      </w:r>
      <w:r w:rsidR="00D11D6D">
        <w:t>.</w:t>
      </w:r>
      <w:r w:rsidR="00112CF3">
        <w:t xml:space="preserve"> </w:t>
      </w:r>
    </w:p>
    <w:p w14:paraId="12E98F1F" w14:textId="77777777" w:rsidR="00E30B81" w:rsidRPr="00A86499" w:rsidRDefault="00E30B81" w:rsidP="00E30B81">
      <w:pPr>
        <w:pStyle w:val="SML5"/>
      </w:pPr>
      <w:bookmarkStart w:id="9" w:name="_Ref53049631"/>
      <w:r w:rsidRPr="00A86499">
        <w:t xml:space="preserve">Klient je povinen předat poradci, či zpřístupnit poradci dle jeho požadavků nejpozději do 7 dnů             od podpisu smlouvy nebo od požádání poradce veškeré doklady, písemnosti a informace, jež mají, měly, budou mít, mohly mít, nebo mohou mít nějaký vztah k předmětu této smlouvy. V případě, že v podkladech budou zjištěny nesrovnalosti či budou neúplné, je klient povinen neprodleně odstranit tyto </w:t>
      </w:r>
      <w:r w:rsidR="00A7214A" w:rsidRPr="00A86499">
        <w:t>nedostatky</w:t>
      </w:r>
      <w:r w:rsidRPr="00A86499">
        <w:t xml:space="preserve">, nebude-li dohodnuto jinak. </w:t>
      </w:r>
      <w:r w:rsidR="0011748B" w:rsidRPr="00A86499">
        <w:t>P</w:t>
      </w:r>
      <w:r w:rsidRPr="00A86499">
        <w:t xml:space="preserve">oradce může v případě výraznějších nedostatků vypracovat „Zprávu o kontrole dokladů“ (dále jen </w:t>
      </w:r>
      <w:r w:rsidRPr="00A86499">
        <w:rPr>
          <w:b/>
        </w:rPr>
        <w:t>„zpráva</w:t>
      </w:r>
      <w:r w:rsidRPr="00A86499">
        <w:t>“), ve které uvede zjištěné nedostatky, návrhy na jejich řešení a případně též podklady</w:t>
      </w:r>
      <w:r w:rsidR="00A7214A" w:rsidRPr="00A86499">
        <w:t xml:space="preserve"> a příkazy klienta, které jsou</w:t>
      </w:r>
      <w:r w:rsidRPr="00A86499">
        <w:t xml:space="preserve"> nevhodné</w:t>
      </w:r>
      <w:r w:rsidR="00A7214A" w:rsidRPr="00A86499">
        <w:t>,</w:t>
      </w:r>
      <w:r w:rsidRPr="00A86499">
        <w:t xml:space="preserve"> či v rozporu s</w:t>
      </w:r>
      <w:r w:rsidR="00A7214A" w:rsidRPr="00A86499">
        <w:t> platným právem,</w:t>
      </w:r>
      <w:r w:rsidRPr="00A86499">
        <w:t xml:space="preserve"> a na jejichž </w:t>
      </w:r>
      <w:r w:rsidR="00A7214A" w:rsidRPr="00A86499">
        <w:t>uplatnění</w:t>
      </w:r>
      <w:r w:rsidRPr="00A86499">
        <w:t xml:space="preserve"> klient trval. Klient se zavazuje potvrdit</w:t>
      </w:r>
      <w:r w:rsidR="00A7214A" w:rsidRPr="00A86499">
        <w:t xml:space="preserve"> přijetí</w:t>
      </w:r>
      <w:r w:rsidRPr="00A86499">
        <w:t xml:space="preserve"> zprávy</w:t>
      </w:r>
      <w:r w:rsidR="00A7214A" w:rsidRPr="00A86499">
        <w:t xml:space="preserve"> na její kopii určené daňovému poradci</w:t>
      </w:r>
      <w:r w:rsidRPr="00A86499">
        <w:t>.</w:t>
      </w:r>
      <w:bookmarkEnd w:id="9"/>
    </w:p>
    <w:p w14:paraId="25246391" w14:textId="77777777" w:rsidR="00E30B81" w:rsidRDefault="00E30B81" w:rsidP="00E30B81">
      <w:pPr>
        <w:pStyle w:val="SML5"/>
        <w:spacing w:after="0"/>
      </w:pPr>
      <w:bookmarkStart w:id="10" w:name="_Ref77946620"/>
      <w:bookmarkStart w:id="11" w:name="_Ref53049649"/>
      <w:r w:rsidRPr="00A0166E">
        <w:t xml:space="preserve">Doklady dle článku </w:t>
      </w:r>
      <w:r w:rsidRPr="00A0166E">
        <w:fldChar w:fldCharType="begin"/>
      </w:r>
      <w:r w:rsidRPr="00A0166E">
        <w:instrText xml:space="preserve"> REF _Ref53048164 \r \h  \* MERGEFORMAT </w:instrText>
      </w:r>
      <w:r w:rsidRPr="00A0166E">
        <w:fldChar w:fldCharType="separate"/>
      </w:r>
      <w:r w:rsidR="001A1E98">
        <w:t xml:space="preserve">3.3 </w:t>
      </w:r>
      <w:r w:rsidRPr="00A0166E">
        <w:fldChar w:fldCharType="end"/>
      </w:r>
      <w:r w:rsidRPr="00A0166E">
        <w:t xml:space="preserve"> se rozumí </w:t>
      </w:r>
      <w:r w:rsidRPr="00F669A3">
        <w:t>zejména:</w:t>
      </w:r>
      <w:bookmarkEnd w:id="10"/>
      <w:r w:rsidRPr="00F669A3">
        <w:t xml:space="preserve"> </w:t>
      </w:r>
    </w:p>
    <w:bookmarkEnd w:id="11"/>
    <w:p w14:paraId="000C7A36" w14:textId="77777777" w:rsidR="00E30B81" w:rsidRDefault="00E30B81" w:rsidP="00E30B81">
      <w:pPr>
        <w:pStyle w:val="SML5"/>
        <w:numPr>
          <w:ilvl w:val="0"/>
          <w:numId w:val="7"/>
        </w:numPr>
        <w:spacing w:after="0"/>
      </w:pPr>
      <w:r>
        <w:t>prvotní účetní doklady;</w:t>
      </w:r>
    </w:p>
    <w:p w14:paraId="79B9167F" w14:textId="77777777" w:rsidR="00E30B81" w:rsidRDefault="00E30B81" w:rsidP="00E30B81">
      <w:pPr>
        <w:pStyle w:val="SML5"/>
        <w:numPr>
          <w:ilvl w:val="0"/>
          <w:numId w:val="7"/>
        </w:numPr>
        <w:spacing w:after="0"/>
      </w:pPr>
      <w:r>
        <w:t>uzavřené smlouvy, objednávky a další podklady k obchodním operacím;</w:t>
      </w:r>
    </w:p>
    <w:p w14:paraId="4CA0FEC6" w14:textId="77777777" w:rsidR="00E30B81" w:rsidRDefault="00E30B81" w:rsidP="00E30B81">
      <w:pPr>
        <w:pStyle w:val="SML5"/>
        <w:numPr>
          <w:ilvl w:val="0"/>
          <w:numId w:val="7"/>
        </w:numPr>
        <w:spacing w:after="0"/>
      </w:pPr>
      <w:r>
        <w:t>účetní knihy a evidence, zejména o majetku;</w:t>
      </w:r>
    </w:p>
    <w:p w14:paraId="575AC420" w14:textId="77777777" w:rsidR="00E30B81" w:rsidRDefault="00E30B81" w:rsidP="00E30B81">
      <w:pPr>
        <w:pStyle w:val="SML5"/>
        <w:numPr>
          <w:ilvl w:val="0"/>
          <w:numId w:val="7"/>
        </w:numPr>
        <w:spacing w:after="0"/>
      </w:pPr>
      <w:r>
        <w:t>provozní dokumentaci ke strojům a zařízením – zejm. OTP u vozidel;</w:t>
      </w:r>
    </w:p>
    <w:p w14:paraId="5022E36E" w14:textId="77777777" w:rsidR="00E30B81" w:rsidRDefault="00E30B81" w:rsidP="00E30B81">
      <w:pPr>
        <w:pStyle w:val="SML5"/>
        <w:numPr>
          <w:ilvl w:val="0"/>
          <w:numId w:val="7"/>
        </w:numPr>
        <w:spacing w:after="0"/>
      </w:pPr>
      <w:r>
        <w:t>evidence vyplývající ze zákona o DPH (záznamní povinnost);</w:t>
      </w:r>
    </w:p>
    <w:p w14:paraId="657BCAB3" w14:textId="77777777" w:rsidR="00E30B81" w:rsidRPr="00F669A3" w:rsidRDefault="00E30B81" w:rsidP="00E30B81">
      <w:pPr>
        <w:pStyle w:val="SML5"/>
        <w:numPr>
          <w:ilvl w:val="0"/>
          <w:numId w:val="7"/>
        </w:numPr>
      </w:pPr>
      <w:r>
        <w:t>rozhodnutí orgánů společnosti.</w:t>
      </w:r>
    </w:p>
    <w:p w14:paraId="591C29C4" w14:textId="77777777" w:rsidR="00E30B81" w:rsidRPr="00A0166E" w:rsidRDefault="00E30B81" w:rsidP="00E30B81">
      <w:pPr>
        <w:pStyle w:val="SML5"/>
      </w:pPr>
      <w:r w:rsidRPr="00A0166E">
        <w:t xml:space="preserve">Klient je povinen veškeré podklady dle čl. </w:t>
      </w:r>
      <w:r w:rsidRPr="00A0166E">
        <w:fldChar w:fldCharType="begin"/>
      </w:r>
      <w:r w:rsidRPr="00A0166E">
        <w:instrText xml:space="preserve"> REF _Ref53048164 \r \h  \* MERGEFORMAT </w:instrText>
      </w:r>
      <w:r w:rsidRPr="00A0166E">
        <w:fldChar w:fldCharType="separate"/>
      </w:r>
      <w:r w:rsidR="001A1E98">
        <w:t xml:space="preserve">3.3 </w:t>
      </w:r>
      <w:r w:rsidRPr="00A0166E">
        <w:fldChar w:fldCharType="end"/>
      </w:r>
      <w:r w:rsidRPr="00A0166E">
        <w:t xml:space="preserve"> předávat či zpřístupňovat poradci po celou dobu platnosti této smlouvy, a to bez prodlení.</w:t>
      </w:r>
    </w:p>
    <w:p w14:paraId="287B1DE5" w14:textId="77777777" w:rsidR="00E30B81" w:rsidRPr="00A86499" w:rsidRDefault="00E30B81" w:rsidP="00E30B81">
      <w:pPr>
        <w:pStyle w:val="SML5"/>
      </w:pPr>
      <w:r w:rsidRPr="00A86499">
        <w:t xml:space="preserve">Požaduje-li klient od poradce </w:t>
      </w:r>
      <w:proofErr w:type="gramStart"/>
      <w:r w:rsidRPr="00A86499">
        <w:t xml:space="preserve">vyjádření,   </w:t>
      </w:r>
      <w:proofErr w:type="gramEnd"/>
      <w:r w:rsidRPr="00A86499">
        <w:t xml:space="preserve">           či stanovisko k problematice dle této smlouvy zpracovat písemně </w:t>
      </w:r>
      <w:r w:rsidR="00E63E01" w:rsidRPr="00A86499">
        <w:t>(</w:t>
      </w:r>
      <w:r w:rsidRPr="00A86499">
        <w:t>viz čl. 2.</w:t>
      </w:r>
      <w:r w:rsidR="00E63E01" w:rsidRPr="00A86499">
        <w:t>11 OPDP)</w:t>
      </w:r>
      <w:r w:rsidRPr="00A86499">
        <w:t>, poradce je</w:t>
      </w:r>
      <w:r w:rsidR="00641269" w:rsidRPr="00A86499">
        <w:t xml:space="preserve"> povinen takové stanovisko</w:t>
      </w:r>
      <w:r w:rsidRPr="00A86499">
        <w:t xml:space="preserve"> zprac</w:t>
      </w:r>
      <w:r w:rsidR="00641269" w:rsidRPr="00A86499">
        <w:t>ovat</w:t>
      </w:r>
      <w:r w:rsidRPr="00A86499">
        <w:t xml:space="preserve"> pouze za předpokladu, že dotaz bude formulován též písemně s přiložením potřebných příloh pro potřeby poradce (kopií ověřených klientem - dále viz čl. </w:t>
      </w:r>
      <w:r w:rsidR="00641269" w:rsidRPr="00A86499">
        <w:t>4.5 OPDP</w:t>
      </w:r>
      <w:r w:rsidRPr="00A86499">
        <w:t>), a to nejméně tři týdny před</w:t>
      </w:r>
      <w:r w:rsidR="009777E6" w:rsidRPr="00A86499">
        <w:t xml:space="preserve"> požadovaným termínem zpracování stanoviska</w:t>
      </w:r>
      <w:r w:rsidRPr="00A86499">
        <w:t xml:space="preserve">. </w:t>
      </w:r>
    </w:p>
    <w:p w14:paraId="16369DEE" w14:textId="77777777" w:rsidR="00E30B81" w:rsidRPr="00A0166E" w:rsidRDefault="00E30B81" w:rsidP="00E30B81">
      <w:pPr>
        <w:pStyle w:val="SML5"/>
      </w:pPr>
      <w:r w:rsidRPr="00A0166E">
        <w:t>Klient je povinen poskytovat poradci veškerou možnou součinnost, zejména poskytovat úplné, přehledné, jednoznačné, pravdivé a včasné informace.</w:t>
      </w:r>
      <w:r>
        <w:t xml:space="preserve"> </w:t>
      </w:r>
      <w:r w:rsidR="001E1BE5">
        <w:t>Takovéto informace, které mají nebo mohou mít význam pro plnění dle této smlouvy, klient poskytuje i bez vyžádání daňovým poradcem; to platí zejména o nově nastalých nebo nově zjištěných skutečnostech, které je klient povinen sdělit daňovému poradci bez zbytečného</w:t>
      </w:r>
      <w:r w:rsidR="001A0470">
        <w:t xml:space="preserve"> prodlení.</w:t>
      </w:r>
    </w:p>
    <w:p w14:paraId="48556EBB" w14:textId="77777777" w:rsidR="00E30B81" w:rsidRPr="00A0166E" w:rsidRDefault="00E30B81" w:rsidP="00E30B81">
      <w:pPr>
        <w:pStyle w:val="SML5"/>
      </w:pPr>
      <w:bookmarkStart w:id="12" w:name="_Ref77947195"/>
      <w:bookmarkStart w:id="13" w:name="_Ref53050004"/>
      <w:r w:rsidRPr="00A0166E">
        <w:t xml:space="preserve">Klient je povinen zachovávat mlčenlivost o všech skutečnostech, informacích, radách, pokynech a </w:t>
      </w:r>
      <w:r w:rsidRPr="00A0166E">
        <w:t xml:space="preserve">doporučeních, o nichž se v souvislosti s plněním této smlouvy a službou daňového poradenství </w:t>
      </w:r>
      <w:proofErr w:type="gramStart"/>
      <w:r w:rsidRPr="00A0166E">
        <w:t>dozvěděl</w:t>
      </w:r>
      <w:proofErr w:type="gramEnd"/>
      <w:r w:rsidRPr="00A0166E">
        <w:t xml:space="preserve"> a to i po skončení této smlouvy. Zejména klient nesmí </w:t>
      </w:r>
      <w:r w:rsidR="001A0470">
        <w:t xml:space="preserve">ani po skončení platnosti této smlouvy sdělovat třetím osobám </w:t>
      </w:r>
      <w:r w:rsidRPr="00A0166E">
        <w:t xml:space="preserve">bez předchozího souhlasu poradce </w:t>
      </w:r>
      <w:proofErr w:type="gramStart"/>
      <w:r w:rsidRPr="00A0166E">
        <w:t xml:space="preserve">údaje </w:t>
      </w:r>
      <w:r>
        <w:t xml:space="preserve"> </w:t>
      </w:r>
      <w:r w:rsidRPr="00A0166E">
        <w:t>o</w:t>
      </w:r>
      <w:proofErr w:type="gramEnd"/>
      <w:r w:rsidRPr="00A0166E">
        <w:t xml:space="preserve"> obsahu rad, které mu jsou poradcem poskytovány.</w:t>
      </w:r>
      <w:bookmarkEnd w:id="12"/>
      <w:r w:rsidRPr="00A0166E">
        <w:t xml:space="preserve"> </w:t>
      </w:r>
      <w:bookmarkEnd w:id="13"/>
    </w:p>
    <w:p w14:paraId="1085C96A" w14:textId="77777777" w:rsidR="00E30B81" w:rsidRPr="00A0166E" w:rsidRDefault="00E30B81" w:rsidP="00E30B81">
      <w:pPr>
        <w:pStyle w:val="SML5"/>
      </w:pPr>
      <w:r w:rsidRPr="00A0166E">
        <w:t xml:space="preserve">Klient je povinen uhradit poradci škodu, která </w:t>
      </w:r>
      <w:r>
        <w:t xml:space="preserve">     </w:t>
      </w:r>
      <w:r w:rsidRPr="00A0166E">
        <w:t>v důsledku porušení povinnosti klienta dle ustanovení předchozího bodu této smlouvy poradci vznikla.</w:t>
      </w:r>
    </w:p>
    <w:p w14:paraId="778C93F0" w14:textId="77777777" w:rsidR="00E30B81" w:rsidRDefault="00E30B81" w:rsidP="00E30B81">
      <w:pPr>
        <w:pStyle w:val="SML5"/>
      </w:pPr>
      <w:bookmarkStart w:id="14" w:name="_Ref53048609"/>
      <w:r w:rsidRPr="00A0166E">
        <w:t>Klient je povinen vystavit včas daňovému poradci písemně potřebnou plnou moc.</w:t>
      </w:r>
      <w:bookmarkEnd w:id="14"/>
    </w:p>
    <w:p w14:paraId="67145360" w14:textId="77777777" w:rsidR="00E30B81" w:rsidRPr="00A0166E" w:rsidRDefault="00E30B81" w:rsidP="00E30B81">
      <w:pPr>
        <w:pStyle w:val="SML5"/>
      </w:pPr>
      <w:bookmarkStart w:id="15" w:name="_Ref53048562"/>
      <w:r w:rsidRPr="00A0166E">
        <w:t>Klient je povinen ve stanovenýc</w:t>
      </w:r>
      <w:r>
        <w:t xml:space="preserve">h lhůtách odstranit nedostatky, </w:t>
      </w:r>
      <w:r w:rsidRPr="00A0166E">
        <w:t>omyly a nesprávnosti v předložených podkladech, na které byl poradcem upozorněn, a předat je včas poradci ke kontrole.</w:t>
      </w:r>
      <w:bookmarkEnd w:id="15"/>
    </w:p>
    <w:p w14:paraId="11CF6704" w14:textId="77777777" w:rsidR="00E30B81" w:rsidRPr="00A86499" w:rsidRDefault="00E30B81" w:rsidP="00E30B81">
      <w:pPr>
        <w:pStyle w:val="SML5"/>
      </w:pPr>
      <w:r w:rsidRPr="00A86499">
        <w:t xml:space="preserve">Klient je povinen plnit další dohodnuté činnosti, dodávat podklady a informace a dostavovat se na schůzky v dohodnutých termínech a včas. Dohodnutou schůzku lze odvolat 48 hodin předem, jinak </w:t>
      </w:r>
      <w:r w:rsidR="006807D1" w:rsidRPr="00A86499">
        <w:t>je klient povinen zaplatit daňovému poradci odměnu a náhradu nákladů ve stejné výši</w:t>
      </w:r>
      <w:r w:rsidRPr="00A86499">
        <w:t>,</w:t>
      </w:r>
      <w:r w:rsidR="006807D1" w:rsidRPr="00A86499">
        <w:t xml:space="preserve"> jako kdyby </w:t>
      </w:r>
      <w:r w:rsidRPr="00A86499">
        <w:t>schůzka proběhla.</w:t>
      </w:r>
    </w:p>
    <w:p w14:paraId="5CAFAF76" w14:textId="77777777" w:rsidR="00E30B81" w:rsidRPr="00A86499" w:rsidRDefault="00E30B81" w:rsidP="00913842">
      <w:pPr>
        <w:pStyle w:val="SML5"/>
      </w:pPr>
      <w:bookmarkStart w:id="16" w:name="_Ref53049225"/>
      <w:r w:rsidRPr="00A86499">
        <w:t>Klient je povinen potvrdit údaje ve vypracovaném přiznání</w:t>
      </w:r>
      <w:r w:rsidR="0011748B" w:rsidRPr="00A86499">
        <w:t xml:space="preserve"> či podání</w:t>
      </w:r>
      <w:r w:rsidRPr="00A86499">
        <w:t xml:space="preserve"> svým podpisem</w:t>
      </w:r>
      <w:r w:rsidR="0011748B" w:rsidRPr="00A86499">
        <w:t xml:space="preserve"> nebo podpisem pověřeného pracovníka</w:t>
      </w:r>
      <w:r w:rsidR="00913842">
        <w:t xml:space="preserve">. </w:t>
      </w:r>
      <w:r w:rsidRPr="00A86499">
        <w:t>Tímto podpisem klient potvrzuje, že se s celým obsahem přiznání</w:t>
      </w:r>
      <w:r w:rsidR="0011748B" w:rsidRPr="00A86499">
        <w:t xml:space="preserve"> nebo podání</w:t>
      </w:r>
      <w:r w:rsidRPr="00A86499">
        <w:t xml:space="preserve"> seznámil</w:t>
      </w:r>
      <w:r w:rsidR="00B70F9E" w:rsidRPr="00A86499">
        <w:t xml:space="preserve"> a souhlasí s ním</w:t>
      </w:r>
      <w:r w:rsidRPr="00A86499">
        <w:t>.</w:t>
      </w:r>
      <w:bookmarkEnd w:id="16"/>
      <w:r w:rsidR="00B70F9E" w:rsidRPr="00A86499">
        <w:t xml:space="preserve"> </w:t>
      </w:r>
      <w:r w:rsidR="00F54751" w:rsidRPr="00A86499">
        <w:t>P</w:t>
      </w:r>
      <w:r w:rsidR="00B70F9E" w:rsidRPr="00A86499">
        <w:t>oradce není povinen jako zmocněnec toto přiznání sám podat dříve, než dojde k tomuto jeho podpisu klientem, a to ani tehdy, kdyby v důsledku nedostatku podpisu klienta hrozilo zmeškání lhůty pro podání přiznání.</w:t>
      </w:r>
    </w:p>
    <w:p w14:paraId="5AEB25BF" w14:textId="77777777" w:rsidR="00E30B81" w:rsidRDefault="00E30B81" w:rsidP="00E30B81">
      <w:pPr>
        <w:pStyle w:val="SML5"/>
      </w:pPr>
      <w:r w:rsidRPr="00A0166E">
        <w:t>Klient se zavazuje informovat poradce o zahájení, průběhu a výsledku daňové kontroly související</w:t>
      </w:r>
      <w:r>
        <w:t xml:space="preserve">                </w:t>
      </w:r>
      <w:r w:rsidRPr="00A0166E">
        <w:t xml:space="preserve"> s přiznáním podaným na základě této smlouvy a předat poradci kopie kontrolních protokolů a rozhodnutí správce daně ve věci uvedeného daňového přiznání.</w:t>
      </w:r>
    </w:p>
    <w:p w14:paraId="0A13EF1A" w14:textId="77777777" w:rsidR="00E30B81" w:rsidRPr="00A0166E" w:rsidRDefault="00E30B81" w:rsidP="00E30B81">
      <w:pPr>
        <w:pStyle w:val="SML5"/>
        <w:spacing w:after="0"/>
      </w:pPr>
      <w:bookmarkStart w:id="17" w:name="_Ref77947399"/>
      <w:r w:rsidRPr="00BF3508">
        <w:t>Klient je povinen platit poradci včas ve smlouvě sjednanou odměnu, zálohy na tuto odměnu, případně další plnění, pokud se k němu zaváza</w:t>
      </w:r>
      <w:r>
        <w:t>l,</w:t>
      </w:r>
      <w:r w:rsidRPr="00BF3508">
        <w:t xml:space="preserve"> a to včetně DPH dle platné sazby.</w:t>
      </w:r>
      <w:bookmarkEnd w:id="17"/>
    </w:p>
    <w:p w14:paraId="39C85C56" w14:textId="77777777" w:rsidR="00E30B81" w:rsidRPr="00A0166E" w:rsidRDefault="00E30B81" w:rsidP="00E30B81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bookmarkStart w:id="18" w:name="_Ref77947412"/>
      <w:r w:rsidRPr="00A0166E">
        <w:rPr>
          <w:rFonts w:ascii="Tahoma" w:hAnsi="Tahoma" w:cs="Tahoma"/>
          <w:b/>
        </w:rPr>
        <w:t>VYMEZENÍ ODPOVĚDNOSTI</w:t>
      </w:r>
      <w:bookmarkEnd w:id="18"/>
    </w:p>
    <w:p w14:paraId="568B294E" w14:textId="77777777" w:rsidR="00E30B81" w:rsidRPr="00A0166E" w:rsidRDefault="00E30B81" w:rsidP="00E30B81">
      <w:pPr>
        <w:pStyle w:val="SML6"/>
      </w:pPr>
      <w:r w:rsidRPr="00A0166E">
        <w:t>Pokud klient neumožnil poradci vést daňové řízení (zejména spolupracovat při daňové kontrole a místním šetření), učinil v daňovém řízení úkony samostatně bez konzultace s poradcem, vzdal se možnosti použití opravných prostředků, odmítl</w:t>
      </w:r>
      <w:r w:rsidR="00A70EEA">
        <w:t xml:space="preserve"> a nebo nečinností znemožnil</w:t>
      </w:r>
      <w:r w:rsidRPr="00A0166E">
        <w:t xml:space="preserve"> soudní přezkoumání rozhodnutí správce daně, vypověděl poradci plnou moc (čl. </w:t>
      </w:r>
      <w:r w:rsidRPr="00A0166E">
        <w:fldChar w:fldCharType="begin"/>
      </w:r>
      <w:r w:rsidRPr="00A0166E">
        <w:instrText xml:space="preserve"> REF _Ref53048609 \r \h  \* MERGEFORMAT </w:instrText>
      </w:r>
      <w:r w:rsidRPr="00A0166E">
        <w:fldChar w:fldCharType="separate"/>
      </w:r>
      <w:r w:rsidR="001A1E98">
        <w:t xml:space="preserve">5.10 </w:t>
      </w:r>
      <w:r w:rsidRPr="00A0166E">
        <w:fldChar w:fldCharType="end"/>
      </w:r>
      <w:r w:rsidRPr="00A0166E">
        <w:t>), či učinil jiný úkon, který poradci ztíží, omezí nebo vyloučí možnost dosažení příznivějšího závěru daňového řízení</w:t>
      </w:r>
      <w:r w:rsidR="00A70EEA">
        <w:t xml:space="preserve">, je poradce zproštěn </w:t>
      </w:r>
      <w:r w:rsidRPr="00A0166E">
        <w:t>odpovědnosti, neboť škodě nemohl zaviněním klienta zabránit. V případě prodlení klienta se toto ustanovení použije přiměřeně.</w:t>
      </w:r>
    </w:p>
    <w:p w14:paraId="33BC7BEA" w14:textId="77777777" w:rsidR="00E30B81" w:rsidRDefault="00E30B81" w:rsidP="00E30B81">
      <w:pPr>
        <w:pStyle w:val="SML6"/>
      </w:pPr>
      <w:r w:rsidRPr="00A0166E">
        <w:t>Klient</w:t>
      </w:r>
      <w:r w:rsidR="00915CB1">
        <w:t xml:space="preserve"> sám</w:t>
      </w:r>
      <w:r w:rsidRPr="00A0166E">
        <w:t xml:space="preserve"> odpovídá za věcnost, správnost, pravdivost, včasnost a úplnost veškerých dokladů a písemností, které poradci předá, či se kterými ho seznámí. </w:t>
      </w:r>
      <w:r w:rsidR="00915CB1" w:rsidRPr="00A0166E">
        <w:t>Poradce neodpovídá ani neručí za doklad</w:t>
      </w:r>
      <w:r w:rsidR="00915CB1">
        <w:t>y</w:t>
      </w:r>
      <w:r w:rsidR="00915CB1" w:rsidRPr="00A0166E">
        <w:t xml:space="preserve">, které mu poskytl klient. </w:t>
      </w:r>
      <w:r w:rsidRPr="00A0166E">
        <w:t>Klient</w:t>
      </w:r>
      <w:r w:rsidR="00915CB1">
        <w:t xml:space="preserve"> sám</w:t>
      </w:r>
      <w:r w:rsidRPr="00A0166E">
        <w:t xml:space="preserve"> odpovídá za věcnost, správnost, </w:t>
      </w:r>
      <w:r w:rsidRPr="00A0166E">
        <w:lastRenderedPageBreak/>
        <w:t xml:space="preserve">pravdivost, včasnost a úplnost veškerých informací, které poradci sdělí. Klient </w:t>
      </w:r>
      <w:r w:rsidR="00915CB1">
        <w:t>sám nese</w:t>
      </w:r>
      <w:r w:rsidRPr="00A0166E">
        <w:t xml:space="preserve"> škodu, která mu vznikne vinou zatajení, nespr</w:t>
      </w:r>
      <w:r w:rsidR="00F54751">
        <w:t xml:space="preserve">ávnosti či neúplnosti dokladů a </w:t>
      </w:r>
      <w:r w:rsidRPr="00A0166E">
        <w:t>písemností, které poradci předal</w:t>
      </w:r>
      <w:r w:rsidR="00F54751">
        <w:t>, a informací, které sdělil</w:t>
      </w:r>
      <w:r w:rsidRPr="00A0166E">
        <w:t xml:space="preserve">. Klient </w:t>
      </w:r>
      <w:r w:rsidR="00915CB1">
        <w:t>sám nese</w:t>
      </w:r>
      <w:r w:rsidRPr="00A0166E">
        <w:t xml:space="preserve"> škodu i v tom případě, kdy sice doklad poradci předal, ale opožděně.</w:t>
      </w:r>
    </w:p>
    <w:p w14:paraId="60EA8D08" w14:textId="77777777" w:rsidR="00E30B81" w:rsidRPr="00A86499" w:rsidRDefault="00E30B81" w:rsidP="00E30B81">
      <w:pPr>
        <w:pStyle w:val="SML6"/>
      </w:pPr>
      <w:r w:rsidRPr="00A86499">
        <w:t xml:space="preserve">Klient bere na vědomí, že </w:t>
      </w:r>
      <w:r w:rsidRPr="00A86499">
        <w:rPr>
          <w:b/>
        </w:rPr>
        <w:t xml:space="preserve">limit výše škody        v pojistné smlouvě poradce činí </w:t>
      </w:r>
      <w:proofErr w:type="gramStart"/>
      <w:r w:rsidR="00701B2F">
        <w:rPr>
          <w:b/>
        </w:rPr>
        <w:t>1.00</w:t>
      </w:r>
      <w:r w:rsidR="00A86499" w:rsidRPr="00A86499">
        <w:rPr>
          <w:b/>
        </w:rPr>
        <w:t>0</w:t>
      </w:r>
      <w:r w:rsidR="00701B2F">
        <w:rPr>
          <w:b/>
        </w:rPr>
        <w:t>.</w:t>
      </w:r>
      <w:r w:rsidR="00A86499" w:rsidRPr="00A86499">
        <w:rPr>
          <w:b/>
        </w:rPr>
        <w:t>000</w:t>
      </w:r>
      <w:r w:rsidRPr="00A86499">
        <w:rPr>
          <w:b/>
        </w:rPr>
        <w:t>,-</w:t>
      </w:r>
      <w:proofErr w:type="gramEnd"/>
      <w:r w:rsidRPr="00A86499">
        <w:rPr>
          <w:b/>
        </w:rPr>
        <w:t xml:space="preserve"> Kč.</w:t>
      </w:r>
      <w:r w:rsidRPr="00A86499">
        <w:t xml:space="preserve"> </w:t>
      </w:r>
    </w:p>
    <w:p w14:paraId="2131619F" w14:textId="77777777" w:rsidR="00E30B81" w:rsidRPr="00A0166E" w:rsidRDefault="00E30B81" w:rsidP="00E30B81">
      <w:pPr>
        <w:pStyle w:val="SML6"/>
      </w:pPr>
      <w:r w:rsidRPr="00A86499">
        <w:t>Poradce neodpovídá ani neručí za zákonnost postupů</w:t>
      </w:r>
      <w:r w:rsidRPr="00A0166E">
        <w:t xml:space="preserve"> a obchodních aktivit klienta.</w:t>
      </w:r>
    </w:p>
    <w:p w14:paraId="7E7AD1F2" w14:textId="77777777" w:rsidR="00E30B81" w:rsidRPr="00A0166E" w:rsidRDefault="00E30B81" w:rsidP="00E30B81">
      <w:pPr>
        <w:pStyle w:val="SML6"/>
      </w:pPr>
      <w:r w:rsidRPr="00A0166E">
        <w:t>Poradce neodpovídá ani neručí za včasnost a správnost placení daní a pojistného klientem.</w:t>
      </w:r>
    </w:p>
    <w:p w14:paraId="48D5322A" w14:textId="77777777" w:rsidR="00E30B81" w:rsidRPr="00A0166E" w:rsidRDefault="00E30B81" w:rsidP="00E30B81">
      <w:pPr>
        <w:pStyle w:val="SML6"/>
        <w:spacing w:after="0"/>
      </w:pPr>
      <w:r w:rsidRPr="00A0166E">
        <w:t xml:space="preserve">Poradce neodpovídá za škodu z důvodu opožděného podání </w:t>
      </w:r>
      <w:proofErr w:type="gramStart"/>
      <w:r w:rsidRPr="00A0166E">
        <w:t>přiznání</w:t>
      </w:r>
      <w:proofErr w:type="gramEnd"/>
      <w:r w:rsidRPr="00A0166E">
        <w:t xml:space="preserve"> pokud klient včas nepodepsal přiznání (čl. </w:t>
      </w:r>
      <w:r w:rsidRPr="00A0166E">
        <w:fldChar w:fldCharType="begin"/>
      </w:r>
      <w:r w:rsidRPr="00A0166E">
        <w:instrText xml:space="preserve"> REF _Ref53049225 \r \h  \* MERGEFORMAT </w:instrText>
      </w:r>
      <w:r w:rsidRPr="00A0166E">
        <w:fldChar w:fldCharType="separate"/>
      </w:r>
      <w:r w:rsidR="001A1E98">
        <w:t xml:space="preserve">5.13 </w:t>
      </w:r>
      <w:r w:rsidRPr="00A0166E">
        <w:fldChar w:fldCharType="end"/>
      </w:r>
      <w:r w:rsidRPr="00A0166E">
        <w:t>).</w:t>
      </w:r>
    </w:p>
    <w:p w14:paraId="35F25BD6" w14:textId="77777777" w:rsidR="00E30B81" w:rsidRPr="00B438EE" w:rsidRDefault="00E30B81" w:rsidP="00B438EE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 w:rsidRPr="000A2CF0">
        <w:t>TECHNICKO ORGANIZAČNÍ UJEDNÁN</w:t>
      </w:r>
      <w:r w:rsidR="00B438EE">
        <w:t>Í</w:t>
      </w:r>
    </w:p>
    <w:p w14:paraId="2DB9EDC5" w14:textId="77777777" w:rsidR="00E30B81" w:rsidRDefault="00E30B81" w:rsidP="00E30B81">
      <w:pPr>
        <w:pStyle w:val="SML7"/>
      </w:pPr>
      <w:bookmarkStart w:id="19" w:name="_Ref77946223"/>
      <w:r w:rsidRPr="00A0166E">
        <w:t>Za doručenou písemnost se považuje také faxová zpráva,</w:t>
      </w:r>
      <w:r w:rsidR="00BF3E9E">
        <w:t xml:space="preserve"> jakož i</w:t>
      </w:r>
      <w:r w:rsidRPr="00A0166E">
        <w:t xml:space="preserve"> zpráva předaná elektronickou poštou (</w:t>
      </w:r>
      <w:r>
        <w:t>e</w:t>
      </w:r>
      <w:r w:rsidRPr="00A0166E">
        <w:noBreakHyphen/>
      </w:r>
      <w:r>
        <w:t>mail</w:t>
      </w:r>
      <w:r w:rsidRPr="00A0166E">
        <w:t>)</w:t>
      </w:r>
      <w:r>
        <w:t>.</w:t>
      </w:r>
      <w:bookmarkEnd w:id="19"/>
    </w:p>
    <w:p w14:paraId="50E36DEA" w14:textId="77777777" w:rsidR="00E30B81" w:rsidRPr="00A0166E" w:rsidRDefault="00A52E13" w:rsidP="00E30B81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bookmarkStart w:id="20" w:name="_Ref77947432"/>
      <w:r>
        <w:rPr>
          <w:rFonts w:ascii="Tahoma" w:hAnsi="Tahoma" w:cs="Tahoma"/>
          <w:b/>
        </w:rPr>
        <w:t>O</w:t>
      </w:r>
      <w:r w:rsidR="00E30B81" w:rsidRPr="00A0166E">
        <w:rPr>
          <w:rFonts w:ascii="Tahoma" w:hAnsi="Tahoma" w:cs="Tahoma"/>
          <w:b/>
        </w:rPr>
        <w:t>DMĚNA, PLACENÍ, POKUTY</w:t>
      </w:r>
      <w:bookmarkEnd w:id="20"/>
    </w:p>
    <w:p w14:paraId="3FFC918F" w14:textId="491A1F82" w:rsidR="00E30B81" w:rsidRPr="00DF2F2F" w:rsidRDefault="00E30B81" w:rsidP="00B64213">
      <w:pPr>
        <w:pStyle w:val="SML8"/>
        <w:rPr>
          <w:rFonts w:cs="Tahoma"/>
        </w:rPr>
      </w:pPr>
      <w:bookmarkStart w:id="21" w:name="_Ref53049444"/>
      <w:r w:rsidRPr="00DF2F2F">
        <w:t xml:space="preserve">Klient se zavazuje zaplatit za předmět daňového poradenství poskytovaného v rozsahu dle čl. </w:t>
      </w:r>
      <w:r w:rsidR="005E4455" w:rsidRPr="00DF2F2F">
        <w:fldChar w:fldCharType="begin"/>
      </w:r>
      <w:r w:rsidR="005E4455" w:rsidRPr="00DF2F2F">
        <w:instrText xml:space="preserve"> REF _Ref77945776 \r \h </w:instrText>
      </w:r>
      <w:r w:rsidR="00DF2F2F">
        <w:instrText xml:space="preserve"> \* MERGEFORMAT </w:instrText>
      </w:r>
      <w:r w:rsidR="005E4455" w:rsidRPr="00DF2F2F">
        <w:fldChar w:fldCharType="separate"/>
      </w:r>
      <w:r w:rsidR="001A1E98">
        <w:t xml:space="preserve">2.2 </w:t>
      </w:r>
      <w:r w:rsidR="005E4455" w:rsidRPr="00DF2F2F">
        <w:fldChar w:fldCharType="end"/>
      </w:r>
      <w:r w:rsidR="00A86499" w:rsidRPr="00DF2F2F">
        <w:t xml:space="preserve"> </w:t>
      </w:r>
      <w:r w:rsidRPr="00DF2F2F">
        <w:t xml:space="preserve"> odměnu ve výši</w:t>
      </w:r>
      <w:r w:rsidR="00255A22" w:rsidRPr="00DF2F2F">
        <w:t xml:space="preserve"> </w:t>
      </w:r>
      <w:r w:rsidR="00B64213">
        <w:t>celkové</w:t>
      </w:r>
      <w:r w:rsidR="00255A22" w:rsidRPr="00DF2F2F">
        <w:t xml:space="preserve"> odměny</w:t>
      </w:r>
      <w:r w:rsidRPr="00DF2F2F">
        <w:t xml:space="preserve"> </w:t>
      </w:r>
      <w:proofErr w:type="gramStart"/>
      <w:r w:rsidR="00314F9E">
        <w:t>12</w:t>
      </w:r>
      <w:r w:rsidR="00A86499" w:rsidRPr="00DF2F2F">
        <w:t>000</w:t>
      </w:r>
      <w:r w:rsidR="002D5371" w:rsidRPr="00DF2F2F">
        <w:t xml:space="preserve"> ,</w:t>
      </w:r>
      <w:proofErr w:type="gramEnd"/>
      <w:r w:rsidR="00255A22" w:rsidRPr="00DF2F2F">
        <w:t xml:space="preserve">- Kč </w:t>
      </w:r>
      <w:r w:rsidR="00E96C32">
        <w:t>(cena je uvedena jako cena celková a konečná).</w:t>
      </w:r>
      <w:bookmarkEnd w:id="21"/>
    </w:p>
    <w:p w14:paraId="5768F5D6" w14:textId="77777777" w:rsidR="00E30B81" w:rsidRPr="00A0166E" w:rsidRDefault="00E30B81" w:rsidP="00830B00">
      <w:pPr>
        <w:pStyle w:val="SML8"/>
        <w:rPr>
          <w:rFonts w:cs="Tahoma"/>
        </w:rPr>
      </w:pPr>
      <w:r w:rsidRPr="00DF2F2F">
        <w:rPr>
          <w:rFonts w:cs="Tahoma"/>
        </w:rPr>
        <w:t>Všechny platby dle této smlouvy lze</w:t>
      </w:r>
      <w:r w:rsidRPr="00A0166E">
        <w:rPr>
          <w:rFonts w:cs="Tahoma"/>
        </w:rPr>
        <w:t xml:space="preserve"> zaplatit hotově nebo zaplacením na účet. Zaplacením na účet se pro účely této smlouvy rozumí připsání příslušné částky </w:t>
      </w:r>
      <w:r>
        <w:rPr>
          <w:rFonts w:cs="Tahoma"/>
        </w:rPr>
        <w:t xml:space="preserve">   </w:t>
      </w:r>
      <w:r w:rsidRPr="00A0166E">
        <w:rPr>
          <w:rFonts w:cs="Tahoma"/>
        </w:rPr>
        <w:t xml:space="preserve">ve prospěch účtu příjemce uvedeného v čl. I, a to pod </w:t>
      </w:r>
      <w:r w:rsidR="00A86499">
        <w:rPr>
          <w:rFonts w:cs="Tahoma"/>
        </w:rPr>
        <w:t xml:space="preserve"> </w:t>
      </w:r>
      <w:r w:rsidRPr="00A0166E">
        <w:rPr>
          <w:rFonts w:cs="Tahoma"/>
        </w:rPr>
        <w:t xml:space="preserve"> a variabilním symbolem, kterým je číslo daňového </w:t>
      </w:r>
      <w:r w:rsidR="00830B00">
        <w:rPr>
          <w:rFonts w:cs="Tahoma"/>
        </w:rPr>
        <w:t>dokladu. N</w:t>
      </w:r>
      <w:r>
        <w:rPr>
          <w:rFonts w:cs="Tahoma"/>
        </w:rPr>
        <w:t>ení-li dokladu</w:t>
      </w:r>
      <w:r w:rsidR="00D80464">
        <w:rPr>
          <w:rFonts w:cs="Tahoma"/>
        </w:rPr>
        <w:t>,</w:t>
      </w:r>
      <w:r>
        <w:rPr>
          <w:rFonts w:cs="Tahoma"/>
        </w:rPr>
        <w:t xml:space="preserve"> pak je variabilním symbolem </w:t>
      </w:r>
      <w:r w:rsidRPr="00A0166E">
        <w:rPr>
          <w:rFonts w:cs="Tahoma"/>
        </w:rPr>
        <w:t>číslo této smlouvy. Za den zaplacení se považuje den uvedený bankou na výpise z tohoto účtu.</w:t>
      </w:r>
    </w:p>
    <w:p w14:paraId="70ABF93E" w14:textId="77777777" w:rsidR="00E30B81" w:rsidRPr="00A0166E" w:rsidRDefault="00E30B81" w:rsidP="00A86499">
      <w:pPr>
        <w:pStyle w:val="SML8"/>
        <w:numPr>
          <w:ilvl w:val="0"/>
          <w:numId w:val="0"/>
        </w:numPr>
        <w:spacing w:after="0"/>
        <w:ind w:left="680"/>
        <w:rPr>
          <w:rFonts w:cs="Tahoma"/>
        </w:rPr>
      </w:pPr>
    </w:p>
    <w:p w14:paraId="1085ABF3" w14:textId="77777777" w:rsidR="00E30B81" w:rsidRPr="00A0166E" w:rsidRDefault="00E30B81" w:rsidP="00E30B81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 w:rsidRPr="00A0166E">
        <w:rPr>
          <w:rFonts w:ascii="Tahoma" w:hAnsi="Tahoma" w:cs="Tahoma"/>
          <w:b/>
        </w:rPr>
        <w:t>DOBA TRVÁNÍ SMLOUVY</w:t>
      </w:r>
    </w:p>
    <w:p w14:paraId="73223675" w14:textId="77777777" w:rsidR="00E30B81" w:rsidRPr="00A0166E" w:rsidRDefault="00E30B81" w:rsidP="00E30B81">
      <w:pPr>
        <w:pStyle w:val="SML9"/>
      </w:pPr>
      <w:r w:rsidRPr="00A0166E">
        <w:t xml:space="preserve">Smlouva se uzavírá na dobu </w:t>
      </w:r>
      <w:r>
        <w:t>neurčito</w:t>
      </w:r>
      <w:r w:rsidRPr="00A0166E">
        <w:t>u.</w:t>
      </w:r>
    </w:p>
    <w:p w14:paraId="029014A7" w14:textId="77777777" w:rsidR="00E30B81" w:rsidRDefault="00E30B81" w:rsidP="00E30B81">
      <w:pPr>
        <w:pStyle w:val="SML9"/>
      </w:pPr>
      <w:r w:rsidRPr="00A0166E">
        <w:t>Smlouva je platná dnem podpisu této smlouvy účastníky a účinná okamžikem uhrazení zálohy.</w:t>
      </w:r>
      <w:bookmarkStart w:id="22" w:name="_Ref53050125"/>
    </w:p>
    <w:p w14:paraId="6C74FEBE" w14:textId="77777777" w:rsidR="00E30B81" w:rsidRPr="00A0166E" w:rsidRDefault="00E30B81" w:rsidP="00830B00">
      <w:pPr>
        <w:pStyle w:val="SML9"/>
      </w:pPr>
      <w:r w:rsidRPr="00A0166E">
        <w:t>Poradce je oprávněn odstoupit od této smlouvy, dojde-li k narušení důvěry mezi ním a klientem, poruší-li klient své povinnosti podle této smlouvy. Odstoupení je účinné dnem, kdy je doručeno klientovi.</w:t>
      </w:r>
      <w:bookmarkEnd w:id="22"/>
    </w:p>
    <w:p w14:paraId="5F5DA214" w14:textId="77777777" w:rsidR="00E30B81" w:rsidRPr="00A0166E" w:rsidRDefault="00E30B81" w:rsidP="00E30B81">
      <w:pPr>
        <w:pStyle w:val="SML9"/>
      </w:pPr>
      <w:bookmarkStart w:id="23" w:name="_Ref53050159"/>
      <w:r w:rsidRPr="00A0166E">
        <w:t>Poradce nebo klient j</w:t>
      </w:r>
      <w:r w:rsidR="00CB3E04">
        <w:t>sou</w:t>
      </w:r>
      <w:r w:rsidRPr="00A0166E">
        <w:t xml:space="preserve"> oprávněn</w:t>
      </w:r>
      <w:r w:rsidR="00CB3E04">
        <w:t>i</w:t>
      </w:r>
      <w:r w:rsidRPr="00A0166E">
        <w:t xml:space="preserve"> smlouvu vypovědět bez udání důvodu s účinností ke konci kalendářního týdne následujícího po týdnu, v němž byla výpověď </w:t>
      </w:r>
      <w:r w:rsidR="00CB3E04">
        <w:t>doručena druhé straně, není</w:t>
      </w:r>
      <w:r w:rsidRPr="00A0166E">
        <w:t>-li</w:t>
      </w:r>
      <w:r w:rsidR="00CB3E04">
        <w:t xml:space="preserve"> ve výpovědi uvedena </w:t>
      </w:r>
      <w:r w:rsidRPr="00A0166E">
        <w:t>doba pozdější. Po dobu běhu výpovědní doby se vzájemná práva a povinnosti řídí plně touto smlouvou.</w:t>
      </w:r>
      <w:bookmarkEnd w:id="23"/>
    </w:p>
    <w:p w14:paraId="261FCF21" w14:textId="77777777" w:rsidR="00E30B81" w:rsidRPr="0063503F" w:rsidRDefault="00E30B81" w:rsidP="00E30B81">
      <w:pPr>
        <w:pStyle w:val="SML9"/>
        <w:spacing w:after="0"/>
      </w:pPr>
      <w:r>
        <w:t>P</w:t>
      </w:r>
      <w:r w:rsidRPr="0063503F">
        <w:t xml:space="preserve">o ukončení platnosti této smlouvy zůstávají platná </w:t>
      </w:r>
      <w:r>
        <w:t xml:space="preserve">zejména </w:t>
      </w:r>
      <w:r w:rsidRPr="0063503F">
        <w:t>ustanovení čl.</w:t>
      </w:r>
      <w:r>
        <w:t xml:space="preserve"> </w:t>
      </w:r>
      <w:r w:rsidR="005E4455">
        <w:fldChar w:fldCharType="begin"/>
      </w:r>
      <w:r w:rsidR="005E4455">
        <w:instrText xml:space="preserve"> REF _Ref77947195 \r \h </w:instrText>
      </w:r>
      <w:r w:rsidR="005E4455">
        <w:fldChar w:fldCharType="separate"/>
      </w:r>
      <w:r w:rsidR="001A1E98">
        <w:t xml:space="preserve">5.8 </w:t>
      </w:r>
      <w:r w:rsidR="005E4455">
        <w:fldChar w:fldCharType="end"/>
      </w:r>
      <w:r>
        <w:t xml:space="preserve">, čl. </w:t>
      </w:r>
      <w:r w:rsidR="005E4455">
        <w:fldChar w:fldCharType="begin"/>
      </w:r>
      <w:r w:rsidR="005E4455">
        <w:instrText xml:space="preserve"> REF _Ref53048562 \r \h </w:instrText>
      </w:r>
      <w:r w:rsidR="005E4455">
        <w:fldChar w:fldCharType="separate"/>
      </w:r>
      <w:r w:rsidR="001A1E98">
        <w:t xml:space="preserve">5.11 </w:t>
      </w:r>
      <w:r w:rsidR="005E4455">
        <w:fldChar w:fldCharType="end"/>
      </w:r>
      <w:r>
        <w:t xml:space="preserve">, čl. </w:t>
      </w:r>
      <w:r w:rsidR="005E4455">
        <w:fldChar w:fldCharType="begin"/>
      </w:r>
      <w:r w:rsidR="005E4455">
        <w:instrText xml:space="preserve"> REF _Ref77947399 \r \h </w:instrText>
      </w:r>
      <w:r w:rsidR="005E4455">
        <w:fldChar w:fldCharType="separate"/>
      </w:r>
      <w:r w:rsidR="001A1E98">
        <w:t xml:space="preserve">5.15 </w:t>
      </w:r>
      <w:r w:rsidR="005E4455">
        <w:fldChar w:fldCharType="end"/>
      </w:r>
      <w:r>
        <w:t>, čl.</w:t>
      </w:r>
      <w:r w:rsidRPr="0063503F">
        <w:t xml:space="preserve"> </w:t>
      </w:r>
      <w:r w:rsidR="005E4455">
        <w:fldChar w:fldCharType="begin"/>
      </w:r>
      <w:r w:rsidR="005E4455">
        <w:instrText xml:space="preserve"> REF _Ref77947412 \r \h </w:instrText>
      </w:r>
      <w:r w:rsidR="005E4455">
        <w:fldChar w:fldCharType="separate"/>
      </w:r>
      <w:r w:rsidR="001A1E98">
        <w:t>6</w:t>
      </w:r>
      <w:r w:rsidR="005E4455">
        <w:fldChar w:fldCharType="end"/>
      </w:r>
      <w:r w:rsidRPr="0063503F">
        <w:t xml:space="preserve">, čl. </w:t>
      </w:r>
      <w:r w:rsidR="005E4455">
        <w:fldChar w:fldCharType="begin"/>
      </w:r>
      <w:r w:rsidR="005E4455">
        <w:instrText xml:space="preserve"> REF _Ref77947432 \r \h </w:instrText>
      </w:r>
      <w:r w:rsidR="005E4455">
        <w:fldChar w:fldCharType="separate"/>
      </w:r>
      <w:r w:rsidR="001A1E98">
        <w:t>8</w:t>
      </w:r>
      <w:r w:rsidR="005E4455">
        <w:fldChar w:fldCharType="end"/>
      </w:r>
      <w:r w:rsidRPr="0063503F">
        <w:t xml:space="preserve">, čl. </w:t>
      </w:r>
      <w:r w:rsidR="005E4455">
        <w:fldChar w:fldCharType="begin"/>
      </w:r>
      <w:r w:rsidR="005E4455">
        <w:instrText xml:space="preserve"> REF _Ref77947449 \r \h </w:instrText>
      </w:r>
      <w:r w:rsidR="005E4455">
        <w:fldChar w:fldCharType="separate"/>
      </w:r>
      <w:r w:rsidR="001A1E98">
        <w:t>10</w:t>
      </w:r>
      <w:r w:rsidR="005E4455">
        <w:fldChar w:fldCharType="end"/>
      </w:r>
      <w:r w:rsidRPr="0063503F">
        <w:t>.</w:t>
      </w:r>
    </w:p>
    <w:p w14:paraId="2D59F41D" w14:textId="77777777" w:rsidR="00E30B81" w:rsidRPr="00A0166E" w:rsidRDefault="00E30B81" w:rsidP="007D2DB0">
      <w:pPr>
        <w:numPr>
          <w:ilvl w:val="0"/>
          <w:numId w:val="1"/>
        </w:numPr>
        <w:spacing w:before="360" w:after="160"/>
        <w:jc w:val="both"/>
        <w:outlineLvl w:val="0"/>
        <w:rPr>
          <w:rFonts w:ascii="Tahoma" w:hAnsi="Tahoma" w:cs="Tahoma"/>
          <w:b/>
        </w:rPr>
      </w:pPr>
      <w:bookmarkStart w:id="24" w:name="_Ref77947449"/>
      <w:r>
        <w:rPr>
          <w:rFonts w:ascii="Tahoma" w:hAnsi="Tahoma" w:cs="Tahoma"/>
          <w:b/>
        </w:rPr>
        <w:t>ZÁVĚREČNÁ UJEDNÁNÍ</w:t>
      </w:r>
      <w:bookmarkEnd w:id="24"/>
    </w:p>
    <w:p w14:paraId="6EF6CF2E" w14:textId="1CF46C5C" w:rsidR="00E30B81" w:rsidRDefault="008515FF" w:rsidP="008515FF">
      <w:pPr>
        <w:pStyle w:val="SML10"/>
        <w:numPr>
          <w:ilvl w:val="1"/>
          <w:numId w:val="20"/>
        </w:numPr>
      </w:pPr>
      <w:r>
        <w:t xml:space="preserve"> </w:t>
      </w:r>
      <w:r w:rsidR="00E30B81" w:rsidRPr="00137A32">
        <w:t>Práva a povinnosti neupravená touto smlouvou se řídí příslušnými právními předpisy.</w:t>
      </w:r>
    </w:p>
    <w:p w14:paraId="0D76FEF7" w14:textId="05743D27" w:rsidR="00E30B81" w:rsidRPr="00137A32" w:rsidRDefault="00E30B81" w:rsidP="008515FF">
      <w:pPr>
        <w:pStyle w:val="SML10"/>
        <w:numPr>
          <w:ilvl w:val="1"/>
          <w:numId w:val="20"/>
        </w:numPr>
      </w:pPr>
      <w:bookmarkStart w:id="25" w:name="_Ref77945712"/>
      <w:proofErr w:type="gramStart"/>
      <w:r w:rsidRPr="00137A32">
        <w:t>Změna  této</w:t>
      </w:r>
      <w:proofErr w:type="gramEnd"/>
      <w:r w:rsidRPr="00137A32">
        <w:t xml:space="preserve"> smlouvy je možná písemnou formou  v podobě číslovaného, oběma stranami podepsaného dodatku.</w:t>
      </w:r>
      <w:bookmarkEnd w:id="25"/>
    </w:p>
    <w:p w14:paraId="292008E6" w14:textId="40A6349C" w:rsidR="00E30B81" w:rsidRPr="00137A32" w:rsidRDefault="00E30B81" w:rsidP="008515FF">
      <w:pPr>
        <w:pStyle w:val="SML10"/>
        <w:numPr>
          <w:ilvl w:val="1"/>
          <w:numId w:val="20"/>
        </w:numPr>
      </w:pPr>
      <w:r w:rsidRPr="00137A32">
        <w:t>Klient podpisem této smlouvy stvrzuje, že se seznámil s ustanoveními OPDP jako nedílnou součástí této smlouvy.</w:t>
      </w:r>
    </w:p>
    <w:p w14:paraId="4D0217C0" w14:textId="105CD223" w:rsidR="00E30B81" w:rsidRDefault="00E30B81" w:rsidP="008515FF">
      <w:pPr>
        <w:pStyle w:val="SML10"/>
        <w:numPr>
          <w:ilvl w:val="1"/>
          <w:numId w:val="20"/>
        </w:numPr>
      </w:pPr>
      <w:r>
        <w:t>Tato smlouva je sepsána ve dvou vyhotoveních    o čtyřech tištěných stranách. Každý z účastníků po podpisu obdrží jedno vyhotovení.</w:t>
      </w:r>
    </w:p>
    <w:p w14:paraId="6456036E" w14:textId="5A35FEE6" w:rsidR="00E30B81" w:rsidRDefault="00E30B81" w:rsidP="008515FF">
      <w:pPr>
        <w:pStyle w:val="SML10"/>
        <w:numPr>
          <w:ilvl w:val="1"/>
          <w:numId w:val="20"/>
        </w:numPr>
        <w:spacing w:after="0"/>
      </w:pPr>
      <w:r>
        <w:t>Účastníci prohlašují, že si smlouvu řádně přečetli, prohlašují, že smlouva vyjadřuje jejich pravou a svobodnou vůli, že nebyla sepsána v tísni ani za jinak nevýhodných podmínek a na důkaz toho připojují dobrovolně své podpisy.</w:t>
      </w:r>
    </w:p>
    <w:p w14:paraId="52CE7544" w14:textId="77777777" w:rsidR="00E30B81" w:rsidRPr="00AF7390" w:rsidRDefault="00E30B81" w:rsidP="008515FF">
      <w:pPr>
        <w:pStyle w:val="SML10"/>
        <w:numPr>
          <w:ilvl w:val="0"/>
          <w:numId w:val="20"/>
        </w:numPr>
        <w:spacing w:after="0"/>
        <w:sectPr w:rsidR="00E30B81" w:rsidRPr="00AF7390" w:rsidSect="00E30B81">
          <w:footnotePr>
            <w:numRestart w:val="eachSect"/>
          </w:footnotePr>
          <w:type w:val="continuous"/>
          <w:pgSz w:w="11907" w:h="16840" w:code="9"/>
          <w:pgMar w:top="1531" w:right="868" w:bottom="1418" w:left="1418" w:header="794" w:footer="851" w:gutter="0"/>
          <w:paperSrc w:first="1" w:other="2"/>
          <w:pgNumType w:chapStyle="1"/>
          <w:cols w:num="2" w:sep="1" w:space="284"/>
          <w:titlePg/>
        </w:sectPr>
      </w:pPr>
    </w:p>
    <w:p w14:paraId="55759788" w14:textId="77777777" w:rsidR="00E30B81" w:rsidRDefault="00E30B81" w:rsidP="00E30B81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2E69AF">
        <w:rPr>
          <w:rFonts w:ascii="Tahoma" w:hAnsi="Tahoma" w:cs="Tahoma"/>
          <w:sz w:val="18"/>
          <w:szCs w:val="18"/>
        </w:rPr>
        <w:t>~~~~~~~~~~~~~~~~~~~~~~~~~~~~~~~~~~~~~~~~~~~~~~~~~~~~~~~~~~~~~~~~~~~~~~~~</w:t>
      </w:r>
    </w:p>
    <w:p w14:paraId="1B43107A" w14:textId="77777777" w:rsidR="009D2270" w:rsidRDefault="009D2270" w:rsidP="00E30B81">
      <w:pPr>
        <w:pStyle w:val="SML10"/>
        <w:numPr>
          <w:ilvl w:val="0"/>
          <w:numId w:val="0"/>
        </w:numPr>
        <w:spacing w:before="240" w:after="0"/>
        <w:rPr>
          <w:b/>
          <w:sz w:val="20"/>
          <w:szCs w:val="20"/>
        </w:rPr>
      </w:pPr>
    </w:p>
    <w:p w14:paraId="76DBEA83" w14:textId="60F311FA" w:rsidR="00E30B81" w:rsidRPr="00801FDB" w:rsidRDefault="00E30B81" w:rsidP="00E30B81">
      <w:pPr>
        <w:pStyle w:val="SML10"/>
        <w:numPr>
          <w:ilvl w:val="0"/>
          <w:numId w:val="0"/>
        </w:numPr>
        <w:spacing w:before="240" w:after="0"/>
        <w:rPr>
          <w:b/>
          <w:sz w:val="20"/>
          <w:szCs w:val="20"/>
        </w:rPr>
      </w:pPr>
      <w:r w:rsidRPr="00801FDB">
        <w:rPr>
          <w:b/>
          <w:sz w:val="20"/>
          <w:szCs w:val="20"/>
        </w:rPr>
        <w:t>V</w:t>
      </w:r>
      <w:r w:rsidR="005E08F4">
        <w:rPr>
          <w:b/>
          <w:sz w:val="20"/>
          <w:szCs w:val="20"/>
        </w:rPr>
        <w:t> Jindřichově Hradci</w:t>
      </w:r>
      <w:r w:rsidR="008D45FB">
        <w:rPr>
          <w:b/>
          <w:sz w:val="20"/>
          <w:szCs w:val="20"/>
        </w:rPr>
        <w:t xml:space="preserve"> </w:t>
      </w:r>
      <w:r w:rsidRPr="00801FDB">
        <w:rPr>
          <w:b/>
          <w:sz w:val="20"/>
          <w:szCs w:val="20"/>
        </w:rPr>
        <w:t xml:space="preserve">dne: </w:t>
      </w:r>
      <w:r w:rsidR="008D45FB">
        <w:rPr>
          <w:b/>
          <w:sz w:val="20"/>
          <w:szCs w:val="20"/>
        </w:rPr>
        <w:t xml:space="preserve"> </w:t>
      </w:r>
      <w:r w:rsidRPr="00801FDB">
        <w:rPr>
          <w:b/>
          <w:sz w:val="20"/>
          <w:szCs w:val="20"/>
        </w:rPr>
        <w:t>…………………………………..</w:t>
      </w:r>
    </w:p>
    <w:p w14:paraId="6DC0ADC1" w14:textId="77777777" w:rsidR="00E30B81" w:rsidRDefault="00E30B81" w:rsidP="00E30B81">
      <w:pPr>
        <w:pStyle w:val="SML10"/>
        <w:numPr>
          <w:ilvl w:val="0"/>
          <w:numId w:val="0"/>
        </w:numPr>
        <w:sectPr w:rsidR="00E30B81" w:rsidSect="00E30B81">
          <w:footnotePr>
            <w:numRestart w:val="eachSect"/>
          </w:footnotePr>
          <w:type w:val="continuous"/>
          <w:pgSz w:w="11907" w:h="16840" w:code="9"/>
          <w:pgMar w:top="1531" w:right="868" w:bottom="1418" w:left="1418" w:header="794" w:footer="851" w:gutter="0"/>
          <w:paperSrc w:first="1" w:other="2"/>
          <w:pgNumType w:chapStyle="1"/>
          <w:cols w:sep="1" w:space="284"/>
          <w:titlePg/>
        </w:sectPr>
      </w:pPr>
    </w:p>
    <w:p w14:paraId="13D6C338" w14:textId="77777777" w:rsidR="00E30B81" w:rsidRPr="00A0166E" w:rsidRDefault="00E30B81" w:rsidP="00E30B81">
      <w:pPr>
        <w:pStyle w:val="SML10"/>
        <w:numPr>
          <w:ilvl w:val="0"/>
          <w:numId w:val="0"/>
        </w:numPr>
      </w:pPr>
    </w:p>
    <w:p w14:paraId="310C09CB" w14:textId="77777777" w:rsidR="00E30B81" w:rsidRPr="00A0166E" w:rsidRDefault="00E30B81" w:rsidP="00E30B81">
      <w:pPr>
        <w:pStyle w:val="Bodsmlouvy"/>
        <w:ind w:left="0" w:firstLine="0"/>
        <w:rPr>
          <w:rFonts w:ascii="Tahoma" w:hAnsi="Tahoma" w:cs="Tahoma"/>
        </w:rPr>
        <w:sectPr w:rsidR="00E30B81" w:rsidRPr="00A0166E">
          <w:footnotePr>
            <w:numRestart w:val="eachSect"/>
          </w:footnotePr>
          <w:type w:val="continuous"/>
          <w:pgSz w:w="11907" w:h="16840" w:code="9"/>
          <w:pgMar w:top="1531" w:right="868" w:bottom="1418" w:left="1418" w:header="794" w:footer="851" w:gutter="0"/>
          <w:paperSrc w:first="1" w:other="2"/>
          <w:pgNumType w:chapStyle="1"/>
          <w:cols w:num="2" w:sep="1" w:space="284"/>
          <w:titlePg/>
        </w:sectPr>
      </w:pPr>
    </w:p>
    <w:p w14:paraId="35E09168" w14:textId="77777777" w:rsidR="00E30B81" w:rsidRPr="00A0166E" w:rsidRDefault="00E30B81" w:rsidP="00E30B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center"/>
      </w:pPr>
    </w:p>
    <w:p w14:paraId="03370266" w14:textId="77777777" w:rsidR="00A91FCF" w:rsidRDefault="00A91FCF"/>
    <w:sectPr w:rsidR="00A91FCF" w:rsidSect="00E30B81">
      <w:footnotePr>
        <w:numRestart w:val="eachSect"/>
      </w:footnotePr>
      <w:type w:val="continuous"/>
      <w:pgSz w:w="11907" w:h="16840" w:code="9"/>
      <w:pgMar w:top="1588" w:right="868" w:bottom="1588" w:left="1440" w:header="794" w:footer="851" w:gutter="0"/>
      <w:paperSrc w:first="32" w:other="1"/>
      <w:pgNumType w:chapStyle="1"/>
      <w:cols w:num="2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5B41" w14:textId="77777777" w:rsidR="001A205E" w:rsidRDefault="001A205E">
      <w:r>
        <w:separator/>
      </w:r>
    </w:p>
  </w:endnote>
  <w:endnote w:type="continuationSeparator" w:id="0">
    <w:p w14:paraId="498967E4" w14:textId="77777777" w:rsidR="001A205E" w:rsidRDefault="001A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BA39" w14:textId="77777777" w:rsidR="008F36A7" w:rsidRDefault="008F36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0E84E28B" w14:textId="77777777" w:rsidR="008F36A7" w:rsidRDefault="008F36A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0BFE" w14:textId="77777777" w:rsidR="008F36A7" w:rsidRPr="00A86499" w:rsidRDefault="008F36A7" w:rsidP="00A86499">
    <w:pPr>
      <w:pStyle w:val="Zpat"/>
      <w:pBdr>
        <w:top w:val="thinThickSmallGap" w:sz="24" w:space="1" w:color="622423"/>
      </w:pBdr>
      <w:tabs>
        <w:tab w:val="right" w:pos="9599"/>
      </w:tabs>
      <w:rPr>
        <w:rFonts w:ascii="Cambria" w:hAnsi="Cambria"/>
      </w:rPr>
    </w:pPr>
    <w:r w:rsidRPr="00A86499">
      <w:rPr>
        <w:rFonts w:ascii="Cambria" w:hAnsi="Cambria"/>
      </w:rPr>
      <w:tab/>
      <w:t xml:space="preserve">Stránka </w:t>
    </w:r>
    <w:r w:rsidRPr="00A86499">
      <w:rPr>
        <w:rFonts w:ascii="Calibri" w:hAnsi="Calibri"/>
      </w:rPr>
      <w:fldChar w:fldCharType="begin"/>
    </w:r>
    <w:r>
      <w:instrText>PAGE   \* MERGEFORMAT</w:instrText>
    </w:r>
    <w:r w:rsidRPr="00A86499">
      <w:rPr>
        <w:rFonts w:ascii="Calibri" w:hAnsi="Calibri"/>
      </w:rPr>
      <w:fldChar w:fldCharType="separate"/>
    </w:r>
    <w:r w:rsidR="00795009" w:rsidRPr="00795009">
      <w:rPr>
        <w:rFonts w:ascii="Cambria" w:hAnsi="Cambria"/>
        <w:noProof/>
      </w:rPr>
      <w:t>3</w:t>
    </w:r>
    <w:r w:rsidRPr="00A86499">
      <w:rPr>
        <w:rFonts w:ascii="Cambria" w:hAnsi="Cambria"/>
      </w:rPr>
      <w:fldChar w:fldCharType="end"/>
    </w:r>
  </w:p>
  <w:p w14:paraId="542FC632" w14:textId="77777777" w:rsidR="008F36A7" w:rsidRPr="000C3504" w:rsidRDefault="008F36A7" w:rsidP="00E30B81">
    <w:pPr>
      <w:pStyle w:val="Zpat"/>
      <w:pBdr>
        <w:top w:val="single" w:sz="4" w:space="1" w:color="auto"/>
        <w:bottom w:val="single" w:sz="4" w:space="1" w:color="auto"/>
      </w:pBdr>
      <w:shd w:val="clear" w:color="auto" w:fill="F3F3F3"/>
      <w:tabs>
        <w:tab w:val="clear" w:pos="4536"/>
        <w:tab w:val="clear" w:pos="9072"/>
        <w:tab w:val="center" w:pos="4820"/>
        <w:tab w:val="right" w:pos="9639"/>
      </w:tabs>
      <w:rPr>
        <w:rFonts w:ascii="Tahoma" w:hAnsi="Tahoma" w:cs="Tahoma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3C99" w14:textId="77777777" w:rsidR="008F36A7" w:rsidRPr="002F01A7" w:rsidRDefault="008F36A7" w:rsidP="00E30B81">
    <w:pPr>
      <w:pStyle w:val="Zpat"/>
      <w:pBdr>
        <w:top w:val="single" w:sz="4" w:space="1" w:color="auto"/>
        <w:bottom w:val="single" w:sz="4" w:space="1" w:color="auto"/>
      </w:pBdr>
      <w:shd w:val="clear" w:color="auto" w:fill="F3F3F3"/>
      <w:tabs>
        <w:tab w:val="clear" w:pos="4536"/>
        <w:tab w:val="clear" w:pos="9072"/>
        <w:tab w:val="center" w:pos="4820"/>
        <w:tab w:val="right" w:pos="9639"/>
      </w:tabs>
      <w:rPr>
        <w:rFonts w:ascii="Tahoma" w:hAnsi="Tahoma" w:cs="Tahoma"/>
        <w:sz w:val="12"/>
      </w:rPr>
    </w:pPr>
    <w:r w:rsidRPr="004D33EC">
      <w:rPr>
        <w:rFonts w:ascii="Tahoma" w:hAnsi="Tahoma" w:cs="Tahoma"/>
        <w:b/>
        <w:sz w:val="12"/>
      </w:rPr>
      <w:t>Smlouva o poskytnutí daňového poradenství</w:t>
    </w:r>
    <w:r>
      <w:rPr>
        <w:rFonts w:ascii="Tahoma" w:hAnsi="Tahoma" w:cs="Tahoma"/>
        <w:b/>
        <w:sz w:val="12"/>
      </w:rPr>
      <w:t xml:space="preserve"> </w:t>
    </w:r>
    <w:r>
      <w:rPr>
        <w:rFonts w:ascii="Tahoma" w:hAnsi="Tahoma" w:cs="Tahoma"/>
        <w:b/>
        <w:sz w:val="12"/>
      </w:rPr>
      <w:tab/>
    </w:r>
    <w:r>
      <w:rPr>
        <w:b/>
        <w:i/>
        <w:sz w:val="12"/>
      </w:rPr>
      <w:tab/>
    </w:r>
    <w:r w:rsidRPr="000C3504">
      <w:rPr>
        <w:rFonts w:ascii="Tahoma" w:hAnsi="Tahoma" w:cs="Tahoma"/>
        <w:b/>
        <w:sz w:val="12"/>
      </w:rPr>
      <w:t xml:space="preserve">Strana </w:t>
    </w:r>
    <w:r w:rsidRPr="000C3504">
      <w:rPr>
        <w:rFonts w:ascii="Tahoma" w:hAnsi="Tahoma" w:cs="Tahoma"/>
        <w:b/>
        <w:sz w:val="12"/>
      </w:rPr>
      <w:fldChar w:fldCharType="begin"/>
    </w:r>
    <w:r w:rsidRPr="000C3504">
      <w:rPr>
        <w:rFonts w:ascii="Tahoma" w:hAnsi="Tahoma" w:cs="Tahoma"/>
        <w:b/>
        <w:sz w:val="12"/>
      </w:rPr>
      <w:instrText xml:space="preserve"> PAGE  \* MERGEFORMAT </w:instrText>
    </w:r>
    <w:r w:rsidRPr="000C3504">
      <w:rPr>
        <w:rFonts w:ascii="Tahoma" w:hAnsi="Tahoma" w:cs="Tahoma"/>
        <w:b/>
        <w:sz w:val="12"/>
      </w:rPr>
      <w:fldChar w:fldCharType="separate"/>
    </w:r>
    <w:r w:rsidR="00795009">
      <w:rPr>
        <w:rFonts w:ascii="Tahoma" w:hAnsi="Tahoma" w:cs="Tahoma"/>
        <w:b/>
        <w:noProof/>
        <w:sz w:val="12"/>
      </w:rPr>
      <w:t>1</w:t>
    </w:r>
    <w:r w:rsidRPr="000C3504">
      <w:rPr>
        <w:rFonts w:ascii="Tahoma" w:hAnsi="Tahoma" w:cs="Tahoma"/>
        <w:b/>
        <w:sz w:val="12"/>
      </w:rPr>
      <w:fldChar w:fldCharType="end"/>
    </w:r>
    <w:r>
      <w:rPr>
        <w:rFonts w:ascii="Tahoma" w:hAnsi="Tahoma" w:cs="Tahoma"/>
        <w:b/>
        <w:sz w:val="12"/>
      </w:rPr>
      <w:t xml:space="preserve"> </w:t>
    </w:r>
    <w:r w:rsidRPr="000C3504">
      <w:rPr>
        <w:rFonts w:ascii="Tahoma" w:hAnsi="Tahoma" w:cs="Tahoma"/>
        <w:b/>
        <w:sz w:val="12"/>
      </w:rPr>
      <w:t xml:space="preserve">z </w:t>
    </w:r>
    <w:r w:rsidRPr="000C3504">
      <w:rPr>
        <w:rFonts w:ascii="Tahoma" w:hAnsi="Tahoma" w:cs="Tahoma"/>
        <w:b/>
        <w:sz w:val="12"/>
      </w:rPr>
      <w:fldChar w:fldCharType="begin"/>
    </w:r>
    <w:r w:rsidRPr="000C3504">
      <w:rPr>
        <w:rFonts w:ascii="Tahoma" w:hAnsi="Tahoma" w:cs="Tahoma"/>
        <w:b/>
        <w:sz w:val="12"/>
      </w:rPr>
      <w:instrText xml:space="preserve"> NUMPAGES  \* MERGEFORMAT </w:instrText>
    </w:r>
    <w:r w:rsidRPr="000C3504">
      <w:rPr>
        <w:rFonts w:ascii="Tahoma" w:hAnsi="Tahoma" w:cs="Tahoma"/>
        <w:b/>
        <w:sz w:val="12"/>
      </w:rPr>
      <w:fldChar w:fldCharType="separate"/>
    </w:r>
    <w:r w:rsidR="00795009">
      <w:rPr>
        <w:rFonts w:ascii="Tahoma" w:hAnsi="Tahoma" w:cs="Tahoma"/>
        <w:b/>
        <w:noProof/>
        <w:sz w:val="12"/>
      </w:rPr>
      <w:t>3</w:t>
    </w:r>
    <w:r w:rsidRPr="000C3504">
      <w:rPr>
        <w:rFonts w:ascii="Tahoma" w:hAnsi="Tahoma" w:cs="Tahoma"/>
        <w:b/>
        <w:sz w:val="12"/>
      </w:rPr>
      <w:fldChar w:fldCharType="end"/>
    </w:r>
    <w:r>
      <w:rPr>
        <w:b/>
        <w:i/>
        <w:sz w:val="12"/>
      </w:rPr>
      <w:fldChar w:fldCharType="begin"/>
    </w:r>
    <w:r>
      <w:rPr>
        <w:b/>
        <w:i/>
        <w:sz w:val="12"/>
      </w:rPr>
      <w:fldChar w:fldCharType="separate"/>
    </w:r>
    <w:r>
      <w:rPr>
        <w:b/>
        <w:i/>
        <w:sz w:val="12"/>
      </w:rPr>
      <w:t>S M L O U V A</w:t>
    </w:r>
    <w:r>
      <w:rPr>
        <w:b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192D" w14:textId="77777777" w:rsidR="001A205E" w:rsidRDefault="001A205E">
      <w:r>
        <w:separator/>
      </w:r>
    </w:p>
  </w:footnote>
  <w:footnote w:type="continuationSeparator" w:id="0">
    <w:p w14:paraId="7FF2B4CA" w14:textId="77777777" w:rsidR="001A205E" w:rsidRDefault="001A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9757" w14:textId="77777777" w:rsidR="008F36A7" w:rsidRDefault="008F36A7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6EB1"/>
    <w:multiLevelType w:val="hybridMultilevel"/>
    <w:tmpl w:val="A3AEDA76"/>
    <w:lvl w:ilvl="0" w:tplc="688AD8A4">
      <w:start w:val="1"/>
      <w:numFmt w:val="decimal"/>
      <w:pStyle w:val="SML10"/>
      <w:lvlText w:val="11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9103B"/>
    <w:multiLevelType w:val="multilevel"/>
    <w:tmpl w:val="6CB4AC8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2C3E2F"/>
    <w:multiLevelType w:val="hybridMultilevel"/>
    <w:tmpl w:val="4FDADF6C"/>
    <w:lvl w:ilvl="0" w:tplc="086A48E8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7329F6"/>
    <w:multiLevelType w:val="hybridMultilevel"/>
    <w:tmpl w:val="D8222448"/>
    <w:lvl w:ilvl="0" w:tplc="A23A1FDA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F67140"/>
    <w:multiLevelType w:val="hybridMultilevel"/>
    <w:tmpl w:val="732A90A8"/>
    <w:lvl w:ilvl="0" w:tplc="E5A0F064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8A647E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93A2E4D"/>
    <w:multiLevelType w:val="hybridMultilevel"/>
    <w:tmpl w:val="DE4803EC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B0763"/>
    <w:multiLevelType w:val="hybridMultilevel"/>
    <w:tmpl w:val="40F8FEEC"/>
    <w:lvl w:ilvl="0" w:tplc="67B88324">
      <w:start w:val="1"/>
      <w:numFmt w:val="decimal"/>
      <w:pStyle w:val="SML2"/>
      <w:lvlText w:val="2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832E99"/>
    <w:multiLevelType w:val="multilevel"/>
    <w:tmpl w:val="3AF421B4"/>
    <w:lvl w:ilvl="0">
      <w:start w:val="1"/>
      <w:numFmt w:val="decimal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F86F54"/>
    <w:multiLevelType w:val="hybridMultilevel"/>
    <w:tmpl w:val="8C82F1E2"/>
    <w:lvl w:ilvl="0" w:tplc="BE0E929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F379EE"/>
    <w:multiLevelType w:val="hybridMultilevel"/>
    <w:tmpl w:val="06A0A3D4"/>
    <w:lvl w:ilvl="0" w:tplc="6BCE4452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1063B"/>
    <w:multiLevelType w:val="hybridMultilevel"/>
    <w:tmpl w:val="6DD023DC"/>
    <w:lvl w:ilvl="0" w:tplc="E0E42E96">
      <w:start w:val="1"/>
      <w:numFmt w:val="decimal"/>
      <w:pStyle w:val="SML8"/>
      <w:lvlText w:val="8.%1 "/>
      <w:lvlJc w:val="left"/>
      <w:pPr>
        <w:tabs>
          <w:tab w:val="num" w:pos="860"/>
        </w:tabs>
        <w:ind w:left="18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6651CE"/>
    <w:multiLevelType w:val="hybridMultilevel"/>
    <w:tmpl w:val="30300F58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866B6"/>
    <w:multiLevelType w:val="hybridMultilevel"/>
    <w:tmpl w:val="35508D26"/>
    <w:lvl w:ilvl="0" w:tplc="BE0E929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102DE8"/>
    <w:multiLevelType w:val="hybridMultilevel"/>
    <w:tmpl w:val="5E8EC11A"/>
    <w:lvl w:ilvl="0" w:tplc="873C9C84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67FB4E6B"/>
    <w:multiLevelType w:val="hybridMultilevel"/>
    <w:tmpl w:val="38F800A0"/>
    <w:lvl w:ilvl="0" w:tplc="7A64D084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43113A"/>
    <w:multiLevelType w:val="hybridMultilevel"/>
    <w:tmpl w:val="07A6C76E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945A20"/>
    <w:multiLevelType w:val="hybridMultilevel"/>
    <w:tmpl w:val="5BB808A6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3"/>
  </w:num>
  <w:num w:numId="5">
    <w:abstractNumId w:val="16"/>
  </w:num>
  <w:num w:numId="6">
    <w:abstractNumId w:val="13"/>
  </w:num>
  <w:num w:numId="7">
    <w:abstractNumId w:val="9"/>
  </w:num>
  <w:num w:numId="8">
    <w:abstractNumId w:val="10"/>
  </w:num>
  <w:num w:numId="9">
    <w:abstractNumId w:val="18"/>
  </w:num>
  <w:num w:numId="10">
    <w:abstractNumId w:val="2"/>
  </w:num>
  <w:num w:numId="11">
    <w:abstractNumId w:val="7"/>
  </w:num>
  <w:num w:numId="12">
    <w:abstractNumId w:val="17"/>
  </w:num>
  <w:num w:numId="13">
    <w:abstractNumId w:val="6"/>
  </w:num>
  <w:num w:numId="14">
    <w:abstractNumId w:val="12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72"/>
    <w:rsid w:val="00051BA1"/>
    <w:rsid w:val="0006077C"/>
    <w:rsid w:val="00101D98"/>
    <w:rsid w:val="00112CF3"/>
    <w:rsid w:val="0011748B"/>
    <w:rsid w:val="0012167F"/>
    <w:rsid w:val="00121E1B"/>
    <w:rsid w:val="00137D52"/>
    <w:rsid w:val="001571AF"/>
    <w:rsid w:val="001811ED"/>
    <w:rsid w:val="001A0470"/>
    <w:rsid w:val="001A1E98"/>
    <w:rsid w:val="001A205E"/>
    <w:rsid w:val="001B529F"/>
    <w:rsid w:val="001B5695"/>
    <w:rsid w:val="001E1BE5"/>
    <w:rsid w:val="001F6961"/>
    <w:rsid w:val="002070BE"/>
    <w:rsid w:val="00224936"/>
    <w:rsid w:val="002330A4"/>
    <w:rsid w:val="00255A22"/>
    <w:rsid w:val="00261C7A"/>
    <w:rsid w:val="0027547B"/>
    <w:rsid w:val="00290DF3"/>
    <w:rsid w:val="002A6B9F"/>
    <w:rsid w:val="002D5371"/>
    <w:rsid w:val="00314F9E"/>
    <w:rsid w:val="00332D72"/>
    <w:rsid w:val="00371C5D"/>
    <w:rsid w:val="00376F8B"/>
    <w:rsid w:val="0039004E"/>
    <w:rsid w:val="003E3B58"/>
    <w:rsid w:val="00406CBE"/>
    <w:rsid w:val="004509D3"/>
    <w:rsid w:val="00460582"/>
    <w:rsid w:val="00461D45"/>
    <w:rsid w:val="0047528F"/>
    <w:rsid w:val="004C3050"/>
    <w:rsid w:val="004C6ECE"/>
    <w:rsid w:val="004D7A5F"/>
    <w:rsid w:val="004E48F3"/>
    <w:rsid w:val="00524DC5"/>
    <w:rsid w:val="00553A0A"/>
    <w:rsid w:val="00587F72"/>
    <w:rsid w:val="005931DF"/>
    <w:rsid w:val="005D3ACD"/>
    <w:rsid w:val="005E08F4"/>
    <w:rsid w:val="005E4455"/>
    <w:rsid w:val="00612208"/>
    <w:rsid w:val="00641269"/>
    <w:rsid w:val="00677E1A"/>
    <w:rsid w:val="006807D1"/>
    <w:rsid w:val="006B3F18"/>
    <w:rsid w:val="006C26C0"/>
    <w:rsid w:val="006F306B"/>
    <w:rsid w:val="006F33DF"/>
    <w:rsid w:val="00701B2F"/>
    <w:rsid w:val="007153D2"/>
    <w:rsid w:val="00716F20"/>
    <w:rsid w:val="00745AA5"/>
    <w:rsid w:val="00771A04"/>
    <w:rsid w:val="00795009"/>
    <w:rsid w:val="00796DF7"/>
    <w:rsid w:val="007B2321"/>
    <w:rsid w:val="007D2DB0"/>
    <w:rsid w:val="00800381"/>
    <w:rsid w:val="008243B4"/>
    <w:rsid w:val="00830B00"/>
    <w:rsid w:val="00846E8F"/>
    <w:rsid w:val="008515FF"/>
    <w:rsid w:val="00855265"/>
    <w:rsid w:val="00863052"/>
    <w:rsid w:val="008752EF"/>
    <w:rsid w:val="00895228"/>
    <w:rsid w:val="008D1119"/>
    <w:rsid w:val="008D45FB"/>
    <w:rsid w:val="008F36A7"/>
    <w:rsid w:val="008F6657"/>
    <w:rsid w:val="00913842"/>
    <w:rsid w:val="00915CB1"/>
    <w:rsid w:val="00916DDC"/>
    <w:rsid w:val="009725AA"/>
    <w:rsid w:val="009777E6"/>
    <w:rsid w:val="00980244"/>
    <w:rsid w:val="00987432"/>
    <w:rsid w:val="009878F3"/>
    <w:rsid w:val="009C34B0"/>
    <w:rsid w:val="009C4DC8"/>
    <w:rsid w:val="009D00FF"/>
    <w:rsid w:val="009D2270"/>
    <w:rsid w:val="00A2502E"/>
    <w:rsid w:val="00A52E13"/>
    <w:rsid w:val="00A667C8"/>
    <w:rsid w:val="00A70EEA"/>
    <w:rsid w:val="00A7214A"/>
    <w:rsid w:val="00A75AD5"/>
    <w:rsid w:val="00A86499"/>
    <w:rsid w:val="00A86A6C"/>
    <w:rsid w:val="00A91FCF"/>
    <w:rsid w:val="00AA2F02"/>
    <w:rsid w:val="00AA7ED9"/>
    <w:rsid w:val="00B142B1"/>
    <w:rsid w:val="00B26226"/>
    <w:rsid w:val="00B438EE"/>
    <w:rsid w:val="00B54CC1"/>
    <w:rsid w:val="00B64213"/>
    <w:rsid w:val="00B70F9E"/>
    <w:rsid w:val="00B712E9"/>
    <w:rsid w:val="00B714F8"/>
    <w:rsid w:val="00B86010"/>
    <w:rsid w:val="00B866CE"/>
    <w:rsid w:val="00B93CCF"/>
    <w:rsid w:val="00B95587"/>
    <w:rsid w:val="00BF170E"/>
    <w:rsid w:val="00BF3E9E"/>
    <w:rsid w:val="00CB2528"/>
    <w:rsid w:val="00CB3E04"/>
    <w:rsid w:val="00CB7912"/>
    <w:rsid w:val="00CC4DBB"/>
    <w:rsid w:val="00D11D6D"/>
    <w:rsid w:val="00D219D6"/>
    <w:rsid w:val="00D25C09"/>
    <w:rsid w:val="00D65D17"/>
    <w:rsid w:val="00D80464"/>
    <w:rsid w:val="00DB4A83"/>
    <w:rsid w:val="00DB6994"/>
    <w:rsid w:val="00DF2F2F"/>
    <w:rsid w:val="00E03A6A"/>
    <w:rsid w:val="00E30B81"/>
    <w:rsid w:val="00E52FAD"/>
    <w:rsid w:val="00E616FE"/>
    <w:rsid w:val="00E63E01"/>
    <w:rsid w:val="00E96C32"/>
    <w:rsid w:val="00ED13A7"/>
    <w:rsid w:val="00F54751"/>
    <w:rsid w:val="00F66157"/>
    <w:rsid w:val="00FA3B31"/>
    <w:rsid w:val="00FA45BE"/>
    <w:rsid w:val="00FC1AD2"/>
    <w:rsid w:val="00FE5050"/>
    <w:rsid w:val="00FE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39419"/>
  <w15:chartTrackingRefBased/>
  <w15:docId w15:val="{17A7742A-E8BA-4E65-AEEF-D935D9C5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0B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E30B81"/>
    <w:rPr>
      <w:rFonts w:ascii="Courier" w:hAnsi="Courier"/>
      <w:sz w:val="24"/>
    </w:rPr>
  </w:style>
  <w:style w:type="paragraph" w:styleId="Zhlav">
    <w:name w:val="header"/>
    <w:basedOn w:val="Normln"/>
    <w:rsid w:val="00E30B81"/>
    <w:rPr>
      <w:rFonts w:ascii="Courier" w:hAnsi="Courier"/>
      <w:sz w:val="24"/>
    </w:rPr>
  </w:style>
  <w:style w:type="paragraph" w:styleId="Zpat">
    <w:name w:val="footer"/>
    <w:basedOn w:val="Normln"/>
    <w:link w:val="ZpatChar"/>
    <w:uiPriority w:val="99"/>
    <w:rsid w:val="00E30B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30B81"/>
  </w:style>
  <w:style w:type="paragraph" w:customStyle="1" w:styleId="Bodsmlouvy">
    <w:name w:val="Bod smlouvy"/>
    <w:basedOn w:val="Normln"/>
    <w:rsid w:val="00E30B81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E30B81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E30B81"/>
    <w:pPr>
      <w:numPr>
        <w:numId w:val="11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E30B81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E30B81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E30B81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E30B81"/>
    <w:pPr>
      <w:numPr>
        <w:numId w:val="2"/>
      </w:numPr>
    </w:pPr>
  </w:style>
  <w:style w:type="paragraph" w:customStyle="1" w:styleId="SML6">
    <w:name w:val="SML6"/>
    <w:basedOn w:val="SML2"/>
    <w:rsid w:val="00E30B81"/>
    <w:pPr>
      <w:numPr>
        <w:numId w:val="5"/>
      </w:numPr>
    </w:pPr>
  </w:style>
  <w:style w:type="paragraph" w:customStyle="1" w:styleId="SML7">
    <w:name w:val="SML7"/>
    <w:basedOn w:val="SML2"/>
    <w:rsid w:val="00E30B81"/>
    <w:pPr>
      <w:numPr>
        <w:numId w:val="8"/>
      </w:numPr>
    </w:pPr>
  </w:style>
  <w:style w:type="paragraph" w:customStyle="1" w:styleId="SML8">
    <w:name w:val="SML8"/>
    <w:basedOn w:val="SML2"/>
    <w:rsid w:val="00E30B81"/>
    <w:pPr>
      <w:numPr>
        <w:numId w:val="16"/>
      </w:numPr>
    </w:pPr>
  </w:style>
  <w:style w:type="paragraph" w:customStyle="1" w:styleId="SML9">
    <w:name w:val="SML9"/>
    <w:basedOn w:val="SML8"/>
    <w:rsid w:val="00E30B81"/>
    <w:pPr>
      <w:numPr>
        <w:numId w:val="10"/>
      </w:numPr>
    </w:pPr>
  </w:style>
  <w:style w:type="paragraph" w:customStyle="1" w:styleId="SML10">
    <w:name w:val="SML10"/>
    <w:basedOn w:val="SML8"/>
    <w:rsid w:val="00E30B81"/>
    <w:pPr>
      <w:numPr>
        <w:numId w:val="15"/>
      </w:numPr>
    </w:pPr>
  </w:style>
  <w:style w:type="paragraph" w:styleId="Textbubliny">
    <w:name w:val="Balloon Text"/>
    <w:basedOn w:val="Normln"/>
    <w:semiHidden/>
    <w:rsid w:val="008243B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2167F"/>
    <w:rPr>
      <w:sz w:val="16"/>
      <w:szCs w:val="16"/>
    </w:rPr>
  </w:style>
  <w:style w:type="paragraph" w:styleId="Textkomente">
    <w:name w:val="annotation text"/>
    <w:basedOn w:val="Normln"/>
    <w:semiHidden/>
    <w:rsid w:val="0012167F"/>
  </w:style>
  <w:style w:type="paragraph" w:styleId="Pedmtkomente">
    <w:name w:val="annotation subject"/>
    <w:basedOn w:val="Textkomente"/>
    <w:next w:val="Textkomente"/>
    <w:semiHidden/>
    <w:rsid w:val="0012167F"/>
    <w:rPr>
      <w:b/>
      <w:bCs/>
    </w:rPr>
  </w:style>
  <w:style w:type="character" w:customStyle="1" w:styleId="ZpatChar">
    <w:name w:val="Zápatí Char"/>
    <w:link w:val="Zpat"/>
    <w:uiPriority w:val="99"/>
    <w:rsid w:val="00A8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6A16-8267-4AD3-B340-25B9C9B2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1757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Microsoft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Ing. Marek Piech</dc:creator>
  <cp:keywords/>
  <cp:lastModifiedBy>Aneta Šubrová</cp:lastModifiedBy>
  <cp:revision>4</cp:revision>
  <cp:lastPrinted>2020-09-30T09:19:00Z</cp:lastPrinted>
  <dcterms:created xsi:type="dcterms:W3CDTF">2025-09-05T07:26:00Z</dcterms:created>
  <dcterms:modified xsi:type="dcterms:W3CDTF">2025-09-05T07:57:00Z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-236040115</vt:i4>
  </property>
  <property fmtid="{D5CDD505-2E9C-101B-9397-08002B2CF9AE}" pid="3" name="_EmailSubject">
    <vt:lpwstr>Web_OPDP</vt:lpwstr>
  </property>
  <property fmtid="{D5CDD505-2E9C-101B-9397-08002B2CF9AE}" pid="4" name="_AuthorEmail">
    <vt:lpwstr>Sefl@kdpcr.cz</vt:lpwstr>
  </property>
  <property fmtid="{D5CDD505-2E9C-101B-9397-08002B2CF9AE}" pid="5" name="_AuthorEmailDisplayName">
    <vt:lpwstr>Sefl Vladimir</vt:lpwstr>
  </property>
  <property fmtid="{D5CDD505-2E9C-101B-9397-08002B2CF9AE}" pid="6" name="_PreviousAdHocReviewCycleID">
    <vt:i4>286868278</vt:i4>
  </property>
  <property fmtid="{D5CDD505-2E9C-101B-9397-08002B2CF9AE}" pid="7" name="_ReviewingToolsShownOnce">
    <vt:lpwstr/>
  </property>
</Properties>
</file>