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9557AF" w:rsidRDefault="00AF66CE" w:rsidP="00847943">
      <w:pPr>
        <w:tabs>
          <w:tab w:val="right" w:pos="9057"/>
        </w:tabs>
        <w:spacing w:before="240" w:after="240"/>
        <w:rPr>
          <w:rFonts w:cs="Arial"/>
          <w:b/>
          <w:sz w:val="24"/>
        </w:rPr>
      </w:pPr>
      <w:r w:rsidRPr="009557AF">
        <w:rPr>
          <w:rFonts w:cs="Arial"/>
          <w:b/>
          <w:sz w:val="24"/>
        </w:rPr>
        <w:t>D</w:t>
      </w:r>
      <w:r w:rsidR="0076066F" w:rsidRPr="009557AF">
        <w:rPr>
          <w:rFonts w:cs="Arial"/>
          <w:b/>
          <w:sz w:val="24"/>
        </w:rPr>
        <w:t>OHODA</w:t>
      </w:r>
      <w:r w:rsidR="00746CA4" w:rsidRPr="009557AF">
        <w:rPr>
          <w:rFonts w:cs="Arial"/>
          <w:b/>
          <w:sz w:val="24"/>
        </w:rPr>
        <w:t xml:space="preserve"> o </w:t>
      </w:r>
      <w:r w:rsidR="0076066F" w:rsidRPr="009557AF">
        <w:rPr>
          <w:rFonts w:cs="Arial"/>
          <w:b/>
          <w:sz w:val="24"/>
        </w:rPr>
        <w:t>provedení rekvalifikace</w:t>
      </w:r>
      <w:r w:rsidR="0064343F" w:rsidRPr="009557AF">
        <w:rPr>
          <w:rFonts w:cs="Arial"/>
          <w:b/>
          <w:sz w:val="24"/>
        </w:rPr>
        <w:t xml:space="preserve"> v rámci </w:t>
      </w:r>
      <w:r w:rsidR="00E01299" w:rsidRPr="009557AF">
        <w:rPr>
          <w:rFonts w:cs="Arial"/>
          <w:b/>
          <w:sz w:val="24"/>
        </w:rPr>
        <w:t>OPZ</w:t>
      </w:r>
      <w:r w:rsidR="0076066F" w:rsidRPr="009557AF">
        <w:rPr>
          <w:rFonts w:cs="Arial"/>
          <w:b/>
          <w:sz w:val="24"/>
        </w:rPr>
        <w:tab/>
      </w:r>
      <w:r w:rsidR="00CB4B0D" w:rsidRPr="009557AF">
        <w:rPr>
          <w:rFonts w:cs="Arial"/>
          <w:b/>
          <w:sz w:val="24"/>
        </w:rPr>
        <w:t xml:space="preserve"> </w:t>
      </w:r>
      <w:r w:rsidRPr="009557AF">
        <w:rPr>
          <w:rFonts w:cs="Arial"/>
          <w:b/>
          <w:sz w:val="24"/>
        </w:rPr>
        <w:t>č.</w:t>
      </w:r>
      <w:r w:rsidR="0064343F" w:rsidRPr="009557AF">
        <w:rPr>
          <w:rFonts w:cs="Arial"/>
          <w:b/>
          <w:sz w:val="24"/>
        </w:rPr>
        <w:t> </w:t>
      </w:r>
      <w:r w:rsidR="009557AF" w:rsidRPr="009557AF">
        <w:rPr>
          <w:rFonts w:cs="Arial"/>
          <w:b/>
          <w:sz w:val="24"/>
        </w:rPr>
        <w:t>OTA-BN-202/2017</w:t>
      </w:r>
    </w:p>
    <w:p w:rsidR="00683BE4" w:rsidRPr="009557AF" w:rsidRDefault="00683BE4" w:rsidP="00683BE4">
      <w:pPr>
        <w:tabs>
          <w:tab w:val="left" w:pos="1985"/>
          <w:tab w:val="right" w:pos="9057"/>
        </w:tabs>
        <w:spacing w:before="240" w:after="120"/>
        <w:jc w:val="left"/>
        <w:rPr>
          <w:rFonts w:cs="Arial"/>
          <w:b/>
          <w:sz w:val="24"/>
        </w:rPr>
      </w:pPr>
      <w:r w:rsidRPr="009557AF">
        <w:rPr>
          <w:rFonts w:cs="Arial"/>
          <w:b/>
          <w:sz w:val="24"/>
        </w:rPr>
        <w:t>č. projektu:</w:t>
      </w:r>
      <w:r w:rsidRPr="009557AF">
        <w:rPr>
          <w:rFonts w:cs="Arial"/>
          <w:b/>
          <w:sz w:val="24"/>
        </w:rPr>
        <w:tab/>
      </w:r>
      <w:r w:rsidRPr="009557AF">
        <w:rPr>
          <w:b/>
          <w:sz w:val="24"/>
        </w:rPr>
        <w:t> </w:t>
      </w:r>
      <w:r w:rsidR="009557AF" w:rsidRPr="009557AF">
        <w:rPr>
          <w:b/>
          <w:bCs/>
          <w:sz w:val="24"/>
        </w:rPr>
        <w:t>CZ.03</w:t>
      </w:r>
      <w:r w:rsidR="009557AF" w:rsidRPr="009557AF">
        <w:rPr>
          <w:b/>
          <w:sz w:val="24"/>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557AF" w:rsidRPr="009557AF">
        <w:t>Dobrovského 1278</w:t>
      </w:r>
      <w:r w:rsidR="009557AF">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9557AF" w:rsidRPr="009557AF">
        <w:t xml:space="preserve">Ing. </w:t>
      </w:r>
      <w:r w:rsidR="009557AF">
        <w:rPr>
          <w:szCs w:val="20"/>
        </w:rPr>
        <w:t>Petr Prokop</w:t>
      </w:r>
      <w:r w:rsidRPr="00237097">
        <w:rPr>
          <w:rFonts w:cs="Arial"/>
          <w:szCs w:val="20"/>
        </w:rPr>
        <w:t xml:space="preserve">, </w:t>
      </w:r>
      <w:r w:rsidR="009557AF" w:rsidRPr="009557AF">
        <w:t>ředitel Krajské</w:t>
      </w:r>
      <w:r w:rsidR="009557AF">
        <w:rPr>
          <w:szCs w:val="20"/>
        </w:rPr>
        <w:t xml:space="preserve"> pobočky ÚP ČR v Ostravě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557AF" w:rsidRPr="009557AF">
        <w:t>Úřad práce</w:t>
      </w:r>
      <w:r w:rsidR="009557AF">
        <w:rPr>
          <w:szCs w:val="20"/>
        </w:rPr>
        <w:t xml:space="preserve"> České republiky - krajská pobočka v Ostravě, Zahradní </w:t>
      </w:r>
      <w:proofErr w:type="gramStart"/>
      <w:r w:rsidR="009557AF">
        <w:rPr>
          <w:szCs w:val="20"/>
        </w:rPr>
        <w:t>č.p.</w:t>
      </w:r>
      <w:proofErr w:type="gramEnd"/>
      <w:r w:rsidR="009557AF">
        <w:rPr>
          <w:szCs w:val="20"/>
        </w:rPr>
        <w:t> 368/12, Moravská Ostrava, 702 00 Ostrava 2</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557AF" w:rsidRPr="009557AF">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9557A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557AF" w:rsidRPr="009557AF">
        <w:t>POE EDUCO</w:t>
      </w:r>
      <w:r w:rsidR="009557AF">
        <w:rPr>
          <w:szCs w:val="20"/>
        </w:rPr>
        <w:t>, spol. s r. o.</w:t>
      </w:r>
    </w:p>
    <w:p w:rsidR="009D748C" w:rsidRPr="00237097" w:rsidRDefault="009557A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9557AF">
        <w:rPr>
          <w:noProof/>
        </w:rPr>
        <w:t xml:space="preserve">Ing. </w:t>
      </w:r>
      <w:r>
        <w:rPr>
          <w:noProof/>
          <w:szCs w:val="20"/>
        </w:rPr>
        <w:t>Pavla Čmuchová, jednatel</w:t>
      </w:r>
    </w:p>
    <w:p w:rsidR="009D748C" w:rsidRPr="00237097" w:rsidRDefault="009557A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557AF">
        <w:t xml:space="preserve">Divadelní </w:t>
      </w:r>
      <w:proofErr w:type="gramStart"/>
      <w:r w:rsidRPr="009557AF">
        <w:t>č</w:t>
      </w:r>
      <w:r>
        <w:rPr>
          <w:szCs w:val="20"/>
        </w:rPr>
        <w:t>.p.</w:t>
      </w:r>
      <w:proofErr w:type="gramEnd"/>
      <w:r>
        <w:rPr>
          <w:szCs w:val="20"/>
        </w:rPr>
        <w:t> 946/9, 741 01 Nový Jičín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557AF" w:rsidRPr="009557AF">
        <w:t>64089398</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9557AF" w:rsidRPr="009557AF">
        <w:t>CZ.03</w:t>
      </w:r>
      <w:r w:rsidR="009557AF">
        <w:rPr>
          <w:szCs w:val="20"/>
        </w:rPr>
        <w:t>.1.48/0.0/0.0/15_121/0000597</w:t>
      </w:r>
      <w:r w:rsidR="007C22D0">
        <w:t xml:space="preserve"> -</w:t>
      </w:r>
      <w:r w:rsidR="0064343F">
        <w:rPr>
          <w:i/>
          <w:iCs/>
        </w:rPr>
        <w:t xml:space="preserve"> </w:t>
      </w:r>
      <w:r w:rsidR="009557AF" w:rsidRPr="009557AF">
        <w:t>Vzdělávání a</w:t>
      </w:r>
      <w:r w:rsidR="009557AF">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557AF" w:rsidRPr="009557AF">
        <w:t xml:space="preserve">"Základy </w:t>
      </w:r>
      <w:r w:rsidR="009557AF">
        <w:rPr>
          <w:szCs w:val="20"/>
        </w:rPr>
        <w:t>podnikání (v rozsahu 150 hodin teoretické výuky)"</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9557AF" w:rsidRPr="009557AF">
        <w:rPr>
          <w:b/>
        </w:rPr>
        <w:t>Základy podnikání</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557AF" w:rsidRPr="009557AF">
        <w:t>Základní +</w:t>
      </w:r>
      <w:r w:rsidR="009557AF">
        <w:rPr>
          <w:szCs w:val="20"/>
        </w:rPr>
        <w:t xml:space="preserve"> praktická škola</w:t>
      </w:r>
    </w:p>
    <w:p w:rsidR="00577EED" w:rsidRDefault="00FE0A22" w:rsidP="00D07FEC">
      <w:pPr>
        <w:pStyle w:val="BoddohodyII"/>
        <w:tabs>
          <w:tab w:val="left" w:pos="1440"/>
          <w:tab w:val="right" w:pos="7740"/>
          <w:tab w:val="left" w:pos="7853"/>
        </w:tabs>
      </w:pPr>
      <w:r w:rsidRPr="00FE0A22">
        <w:t>Celkový rozsah rekvalifikace:</w:t>
      </w:r>
      <w:r>
        <w:tab/>
      </w:r>
      <w:r w:rsidR="009557AF" w:rsidRPr="009557AF">
        <w:rPr>
          <w:b/>
        </w:rPr>
        <w:t>155,00</w:t>
      </w:r>
      <w:r w:rsidRPr="00FE0A22">
        <w:rPr>
          <w:b/>
        </w:rPr>
        <w:t xml:space="preserve"> </w:t>
      </w:r>
      <w:r w:rsidRPr="00FE0A22">
        <w:rPr>
          <w:b/>
        </w:rPr>
        <w:tab/>
        <w:t>hodin</w:t>
      </w:r>
      <w:r w:rsidRPr="00FE0A22">
        <w:br/>
        <w:t>z toho:</w:t>
      </w:r>
      <w:r>
        <w:tab/>
        <w:t>- teoretická příprava:</w:t>
      </w:r>
      <w:r>
        <w:tab/>
      </w:r>
      <w:r w:rsidR="009557AF" w:rsidRPr="009557AF">
        <w:t>150,00</w:t>
      </w:r>
      <w:r>
        <w:tab/>
        <w:t>hodin</w:t>
      </w:r>
      <w:r>
        <w:br/>
      </w:r>
      <w:r>
        <w:tab/>
        <w:t>- praktická příprava:</w:t>
      </w:r>
      <w:r>
        <w:tab/>
      </w:r>
      <w:r w:rsidR="009557AF" w:rsidRPr="009557AF">
        <w:t>0,00</w:t>
      </w:r>
      <w:r>
        <w:tab/>
        <w:t>hodin</w:t>
      </w:r>
      <w:r>
        <w:br/>
      </w:r>
      <w:r>
        <w:tab/>
        <w:t xml:space="preserve">- </w:t>
      </w:r>
      <w:r w:rsidRPr="00FE0A22">
        <w:t>ověření získaných znalostí</w:t>
      </w:r>
      <w:r w:rsidR="00746CA4">
        <w:t xml:space="preserve"> a </w:t>
      </w:r>
      <w:r w:rsidRPr="00FE0A22">
        <w:t>dovedností:</w:t>
      </w:r>
      <w:r>
        <w:tab/>
      </w:r>
      <w:r w:rsidR="009557AF" w:rsidRPr="009557AF">
        <w:t>5,00</w:t>
      </w:r>
      <w:r>
        <w:tab/>
        <w:t>hodin</w:t>
      </w:r>
      <w:r>
        <w:br/>
      </w:r>
      <w:r w:rsidRPr="00FE0A22">
        <w:t>Forma konání přípravy:</w:t>
      </w:r>
      <w:r>
        <w:t xml:space="preserve"> </w:t>
      </w:r>
      <w:r w:rsidR="009557AF" w:rsidRPr="009557AF">
        <w:t>Denní výuka</w:t>
      </w:r>
    </w:p>
    <w:p w:rsidR="00FE0A22" w:rsidRDefault="007E14A1" w:rsidP="00D07FEC">
      <w:pPr>
        <w:pStyle w:val="BoddohodyII"/>
      </w:pPr>
      <w:r w:rsidRPr="007E14A1">
        <w:t>Místo konání</w:t>
      </w:r>
      <w:r w:rsidR="004D610B">
        <w:t xml:space="preserve"> rekvalifikace</w:t>
      </w:r>
      <w:r w:rsidRPr="007E14A1">
        <w:t>:</w:t>
      </w:r>
      <w:r>
        <w:t xml:space="preserve"> </w:t>
      </w:r>
      <w:r>
        <w:tab/>
      </w:r>
      <w:r>
        <w:br/>
      </w:r>
      <w:r w:rsidR="009557AF" w:rsidRPr="009557AF">
        <w:t>POE EDUCO</w:t>
      </w:r>
      <w:r w:rsidR="009557AF">
        <w:rPr>
          <w:szCs w:val="20"/>
        </w:rPr>
        <w:t xml:space="preserve">, spol. s r. o., pobočka Ostrava;, Varenská </w:t>
      </w:r>
      <w:proofErr w:type="gramStart"/>
      <w:r w:rsidR="009557AF">
        <w:rPr>
          <w:szCs w:val="20"/>
        </w:rPr>
        <w:t>č.p.</w:t>
      </w:r>
      <w:proofErr w:type="gramEnd"/>
      <w:r w:rsidR="009557AF">
        <w:rPr>
          <w:szCs w:val="20"/>
        </w:rPr>
        <w:t> 3101/49, Moravská Ostrava, 702 00 Ostrava 2</w:t>
      </w:r>
      <w:r>
        <w:t xml:space="preserve">, </w:t>
      </w:r>
      <w:r w:rsidRPr="007E14A1">
        <w:t>případně další místa určená rekvalifikačním zařízením.</w:t>
      </w:r>
    </w:p>
    <w:p w:rsidR="007E14A1" w:rsidRPr="009557AF" w:rsidRDefault="007E14A1" w:rsidP="009557AF">
      <w:pPr>
        <w:pStyle w:val="BoddohodyII"/>
        <w:tabs>
          <w:tab w:val="left" w:pos="2880"/>
          <w:tab w:val="right" w:pos="6120"/>
          <w:tab w:val="left" w:pos="6660"/>
        </w:tabs>
        <w:jc w:val="left"/>
        <w:rPr>
          <w:b/>
        </w:rPr>
      </w:pPr>
      <w:r w:rsidRPr="007E14A1">
        <w:lastRenderedPageBreak/>
        <w:t>Doba rekvalifikace:</w:t>
      </w:r>
      <w:r>
        <w:tab/>
        <w:t>zahájení</w:t>
      </w:r>
      <w:r>
        <w:tab/>
      </w:r>
      <w:proofErr w:type="gramStart"/>
      <w:r w:rsidR="009557AF" w:rsidRPr="009557AF">
        <w:rPr>
          <w:b/>
        </w:rPr>
        <w:t>21.8</w:t>
      </w:r>
      <w:r w:rsidR="009557AF" w:rsidRPr="009557AF">
        <w:rPr>
          <w:b/>
          <w:szCs w:val="20"/>
        </w:rPr>
        <w:t>.2017</w:t>
      </w:r>
      <w:proofErr w:type="gramEnd"/>
      <w:r w:rsidR="00812B7A" w:rsidRPr="009557AF">
        <w:rPr>
          <w:b/>
        </w:rPr>
        <w:tab/>
      </w:r>
      <w:r w:rsidR="009557AF">
        <w:rPr>
          <w:b/>
          <w:noProof/>
        </w:rPr>
        <w:t xml:space="preserve">v </w:t>
      </w:r>
      <w:r w:rsidR="009557AF" w:rsidRPr="009557AF">
        <w:rPr>
          <w:b/>
          <w:noProof/>
        </w:rPr>
        <w:t>8</w:t>
      </w:r>
      <w:r w:rsidR="009557AF" w:rsidRPr="009557AF">
        <w:rPr>
          <w:b/>
          <w:noProof/>
          <w:szCs w:val="20"/>
        </w:rPr>
        <w:t>:00 hod</w:t>
      </w:r>
      <w:r w:rsidR="009557AF">
        <w:rPr>
          <w:noProof/>
          <w:szCs w:val="20"/>
        </w:rPr>
        <w:t>.</w:t>
      </w:r>
      <w:r w:rsidR="006B6EA5">
        <w:t xml:space="preserve"> </w:t>
      </w:r>
      <w:r>
        <w:br/>
      </w:r>
      <w:r>
        <w:tab/>
        <w:t>ukončení</w:t>
      </w:r>
      <w:r>
        <w:tab/>
      </w:r>
      <w:r w:rsidR="009557AF" w:rsidRPr="009557AF">
        <w:rPr>
          <w:b/>
        </w:rPr>
        <w:t>25.9</w:t>
      </w:r>
      <w:r w:rsidR="009557AF" w:rsidRPr="009557AF">
        <w:rPr>
          <w:b/>
          <w:szCs w:val="20"/>
        </w:rPr>
        <w:t>.2017</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557AF" w:rsidRPr="009557AF">
        <w:t>Obhajoba závěrečné</w:t>
      </w:r>
      <w:r w:rsidR="009557AF">
        <w:rPr>
          <w:szCs w:val="20"/>
        </w:rPr>
        <w:t xml:space="preserve"> práce</w:t>
      </w:r>
      <w:r w:rsidR="00BD514D">
        <w:tab/>
      </w:r>
      <w:r w:rsidR="00BD514D">
        <w:br/>
      </w:r>
      <w:r w:rsidR="009F5009">
        <w:t>Výstupní doklad:</w:t>
      </w:r>
      <w:r w:rsidR="009F5009">
        <w:tab/>
      </w:r>
      <w:r w:rsidR="009F5009">
        <w:br/>
      </w:r>
      <w:r w:rsidR="009557AF" w:rsidRPr="009557AF">
        <w:t>Osvědčení s celostátní</w:t>
      </w:r>
      <w:r w:rsidR="009557AF">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9557AF" w:rsidRPr="009557AF">
        <w:rPr>
          <w:b/>
        </w:rPr>
        <w:t>1</w:t>
      </w:r>
      <w:r w:rsidR="009557AF">
        <w:rPr>
          <w:b/>
        </w:rPr>
        <w:t>0</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557AF" w:rsidRPr="009557AF">
        <w:t>5 284</w:t>
      </w:r>
      <w:r w:rsidR="00F14D32">
        <w:tab/>
        <w:t>Kč</w:t>
      </w:r>
      <w:r w:rsidR="00F14D32">
        <w:tab/>
        <w:t xml:space="preserve">(slovy </w:t>
      </w:r>
      <w:proofErr w:type="spellStart"/>
      <w:r w:rsidR="009557AF" w:rsidRPr="009557AF">
        <w:t>Pěttisícdvěstěosmdesátčtyři</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9557AF">
        <w:rPr>
          <w:b/>
        </w:rPr>
        <w:t>52</w:t>
      </w:r>
      <w:r w:rsidR="009557AF" w:rsidRPr="009557AF">
        <w:rPr>
          <w:b/>
        </w:rPr>
        <w:t> </w:t>
      </w:r>
      <w:r w:rsidR="009557AF">
        <w:rPr>
          <w:b/>
        </w:rPr>
        <w:t>840</w:t>
      </w:r>
      <w:r w:rsidR="00607BE0">
        <w:tab/>
        <w:t>Kč</w:t>
      </w:r>
      <w:r w:rsidR="00607BE0">
        <w:tab/>
        <w:t xml:space="preserve">(slovy </w:t>
      </w:r>
      <w:proofErr w:type="spellStart"/>
      <w:r w:rsidR="009557AF">
        <w:t>Padesátdvatisícosmset</w:t>
      </w:r>
      <w:r w:rsidR="009557AF" w:rsidRPr="009557AF">
        <w:t>čtyři</w:t>
      </w:r>
      <w:r w:rsidR="009557AF">
        <w:t>cet</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proofErr w:type="gramStart"/>
      <w:r>
        <w:t>se účastník</w:t>
      </w:r>
      <w:proofErr w:type="gramEnd"/>
      <w:r>
        <w:t xml:space="preserve">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proofErr w:type="gramStart"/>
      <w:r w:rsidRPr="00F27380">
        <w:t>II.9 dohody</w:t>
      </w:r>
      <w:proofErr w:type="gramEnd"/>
      <w:r w:rsidRPr="00F27380">
        <w:t xml:space="preserve">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9557AF" w:rsidRPr="009557AF">
        <w:t>provést do 14 dnů</w:t>
      </w:r>
      <w:r w:rsidR="009557AF">
        <w:rPr>
          <w:szCs w:val="20"/>
        </w:rPr>
        <w:t xml:space="preserve"> po ukončení rekvalifikace.</w:t>
      </w:r>
      <w:r>
        <w:t xml:space="preserve"> </w:t>
      </w:r>
      <w:r>
        <w:tab/>
      </w:r>
      <w:r>
        <w:br/>
      </w:r>
      <w:r w:rsidRPr="00F27380">
        <w:t>Lhůta splatnosti fa</w:t>
      </w:r>
      <w:r w:rsidR="009557AF">
        <w:t>ktur bude stanovena minimálně 21</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 xml:space="preserve">a to nejméně po dobu 10 let od ukončení projektu, přičemž lhůta </w:t>
      </w:r>
      <w:proofErr w:type="gramStart"/>
      <w:r w:rsidRPr="00CC1F6F">
        <w:t>10ti</w:t>
      </w:r>
      <w:proofErr w:type="gramEnd"/>
      <w:r w:rsidRPr="00CC1F6F">
        <w:t xml:space="preserve">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proofErr w:type="gramStart"/>
      <w:r w:rsidR="00D96184">
        <w:t>III.</w:t>
      </w:r>
      <w:r w:rsidR="003B0328">
        <w:t>9</w:t>
      </w:r>
      <w:r w:rsidRPr="0057298F">
        <w:t xml:space="preserve"> dohody</w:t>
      </w:r>
      <w:proofErr w:type="gramEnd"/>
      <w:r w:rsidRPr="0057298F">
        <w:t>. Konečnou fakturu uhradit</w:t>
      </w:r>
      <w:r w:rsidR="00746CA4">
        <w:t xml:space="preserve"> po </w:t>
      </w:r>
      <w:r w:rsidRPr="0057298F">
        <w:t>předložení závěrečného protokolu podle</w:t>
      </w:r>
      <w:r w:rsidR="00746CA4">
        <w:t xml:space="preserve"> bodu </w:t>
      </w:r>
      <w:proofErr w:type="gramStart"/>
      <w:r w:rsidR="00D96184">
        <w:t>III.</w:t>
      </w:r>
      <w:r w:rsidR="003B0328">
        <w:t>8</w:t>
      </w:r>
      <w:r w:rsidRPr="0057298F">
        <w:t xml:space="preserve"> dohody</w:t>
      </w:r>
      <w:proofErr w:type="gramEnd"/>
      <w:r w:rsidRPr="0057298F">
        <w:t>.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9557AF" w:rsidP="00602438">
      <w:r w:rsidRPr="009557AF">
        <w:t>Úřad práce</w:t>
      </w:r>
      <w:r>
        <w:rPr>
          <w:szCs w:val="20"/>
        </w:rPr>
        <w:t xml:space="preserve"> České republiky - kontaktní pracoviště Ostrava</w:t>
      </w:r>
      <w:r w:rsidR="00A60BC9">
        <w:t xml:space="preserve"> dne </w:t>
      </w:r>
      <w:proofErr w:type="gramStart"/>
      <w:r w:rsidRPr="009557AF">
        <w:t>17.8</w:t>
      </w:r>
      <w:r>
        <w:rPr>
          <w:szCs w:val="20"/>
        </w:rPr>
        <w:t>.2017</w:t>
      </w:r>
      <w:proofErr w:type="gramEnd"/>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9557AF" w:rsidP="00F35093">
      <w:pPr>
        <w:keepNext/>
        <w:keepLines/>
        <w:jc w:val="center"/>
        <w:rPr>
          <w:rFonts w:cs="Arial"/>
          <w:szCs w:val="20"/>
        </w:rPr>
      </w:pPr>
      <w:r w:rsidRPr="009557AF">
        <w:t xml:space="preserve">Ing. </w:t>
      </w:r>
      <w:r>
        <w:rPr>
          <w:szCs w:val="20"/>
        </w:rPr>
        <w:t xml:space="preserve">Pavla </w:t>
      </w:r>
      <w:proofErr w:type="spellStart"/>
      <w:r>
        <w:rPr>
          <w:szCs w:val="20"/>
        </w:rPr>
        <w:t>Čmuchová</w:t>
      </w:r>
      <w:proofErr w:type="spellEnd"/>
      <w:r>
        <w:rPr>
          <w:szCs w:val="20"/>
        </w:rPr>
        <w:tab/>
      </w:r>
      <w:r>
        <w:rPr>
          <w:szCs w:val="20"/>
        </w:rPr>
        <w:br/>
        <w:t>jednatel</w:t>
      </w:r>
      <w:r>
        <w:rPr>
          <w:szCs w:val="20"/>
        </w:rPr>
        <w:tab/>
      </w:r>
      <w:r>
        <w:rPr>
          <w:szCs w:val="20"/>
        </w:rPr>
        <w:br/>
        <w:t>POE EDUCO, spol. s r. 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9557AF" w:rsidP="00135D74">
      <w:pPr>
        <w:tabs>
          <w:tab w:val="center" w:pos="1800"/>
          <w:tab w:val="center" w:pos="7200"/>
        </w:tabs>
        <w:jc w:val="center"/>
      </w:pPr>
      <w:r w:rsidRPr="009557AF">
        <w:t xml:space="preserve">Ing. </w:t>
      </w:r>
      <w:r>
        <w:rPr>
          <w:szCs w:val="20"/>
        </w:rPr>
        <w:t>Petr Prokop</w:t>
      </w:r>
    </w:p>
    <w:p w:rsidR="002E41FC" w:rsidRDefault="009557AF" w:rsidP="002E41FC">
      <w:pPr>
        <w:tabs>
          <w:tab w:val="center" w:pos="1800"/>
          <w:tab w:val="center" w:pos="7200"/>
        </w:tabs>
        <w:jc w:val="center"/>
      </w:pPr>
      <w:r w:rsidRPr="009557AF">
        <w:t>ředitel Krajské</w:t>
      </w:r>
      <w:r>
        <w:rPr>
          <w:szCs w:val="20"/>
        </w:rPr>
        <w:t xml:space="preserve"> pobočky ÚP ČR v Ostravě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9557AF" w:rsidRPr="009557AF">
        <w:t>Hana Humeňanská</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38" w:rsidRDefault="003E6F38">
      <w:r>
        <w:separator/>
      </w:r>
    </w:p>
  </w:endnote>
  <w:endnote w:type="continuationSeparator" w:id="0">
    <w:p w:rsidR="003E6F38" w:rsidRDefault="003E6F38">
      <w:r>
        <w:continuationSeparator/>
      </w:r>
    </w:p>
  </w:endnote>
  <w:endnote w:type="continuationNotice" w:id="1">
    <w:p w:rsidR="003E6F38" w:rsidRDefault="003E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557AF" w:rsidRPr="009557AF">
      <w:rPr>
        <w:i/>
      </w:rPr>
      <w:t>OTA-BN-202/2017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BB66C8">
      <w:rPr>
        <w:rStyle w:val="slostrnky"/>
        <w:noProof/>
      </w:rPr>
      <w:t>4</w:t>
    </w:r>
    <w:r w:rsidR="00FB2EC3">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557AF" w:rsidRPr="009557AF">
      <w:rPr>
        <w:i/>
      </w:rPr>
      <w:t>OTA-BN-202/2017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BB66C8">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38" w:rsidRDefault="003E6F38">
      <w:r>
        <w:separator/>
      </w:r>
    </w:p>
  </w:footnote>
  <w:footnote w:type="continuationSeparator" w:id="0">
    <w:p w:rsidR="003E6F38" w:rsidRDefault="003E6F38">
      <w:r>
        <w:continuationSeparator/>
      </w:r>
    </w:p>
  </w:footnote>
  <w:footnote w:type="continuationNotice" w:id="1">
    <w:p w:rsidR="003E6F38" w:rsidRDefault="003E6F38"/>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D65209"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1E45B76"/>
    <w:lvl w:ilvl="0" w:tplc="3B36174E">
      <w:start w:val="1"/>
      <w:numFmt w:val="decimal"/>
      <w:pStyle w:val="BoddohodyII"/>
      <w:lvlText w:val="II.%1"/>
      <w:lvlJc w:val="left"/>
      <w:pPr>
        <w:tabs>
          <w:tab w:val="num" w:pos="720"/>
        </w:tabs>
        <w:ind w:left="720" w:hanging="7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AF"/>
    <w:rsid w:val="000005CF"/>
    <w:rsid w:val="000114FD"/>
    <w:rsid w:val="000119BC"/>
    <w:rsid w:val="00027E52"/>
    <w:rsid w:val="00037D3B"/>
    <w:rsid w:val="00042879"/>
    <w:rsid w:val="00051E97"/>
    <w:rsid w:val="00060A7E"/>
    <w:rsid w:val="00066ECD"/>
    <w:rsid w:val="00070085"/>
    <w:rsid w:val="000822FB"/>
    <w:rsid w:val="000A03C8"/>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3446"/>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E6F38"/>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A2E58"/>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557AF"/>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B66C8"/>
    <w:rsid w:val="00BD514D"/>
    <w:rsid w:val="00BD6578"/>
    <w:rsid w:val="00BE09E0"/>
    <w:rsid w:val="00BE79C9"/>
    <w:rsid w:val="00BF0751"/>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65209"/>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8522-2A92-4B94-B10A-978C4448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5</TotalTime>
  <Pages>1</Pages>
  <Words>1554</Words>
  <Characters>9173</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10706</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humenanskah</dc:creator>
  <cp:lastModifiedBy>Mariánek Petr (UPT-OTA)</cp:lastModifiedBy>
  <cp:revision>4</cp:revision>
  <cp:lastPrinted>2017-08-30T12:39:00Z</cp:lastPrinted>
  <dcterms:created xsi:type="dcterms:W3CDTF">2017-08-31T05:10:00Z</dcterms:created>
  <dcterms:modified xsi:type="dcterms:W3CDTF">2017-08-31T05:16:00Z</dcterms:modified>
</cp:coreProperties>
</file>