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1100" w:firstLine="0"/>
        <w:jc w:val="right"/>
      </w:pPr>
      <w:bookmarkStart w:id="0" w:name="bookmark0"/>
      <w:bookmarkEnd w:id="0"/>
      <w:r>
        <w:rPr>
          <w:rStyle w:val="CharStyle3"/>
        </w:rPr>
        <w:t>2025006652</w:t>
      </w:r>
    </w:p>
    <w:p>
      <w:pPr>
        <w:pStyle w:val="Style7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8"/>
          <w:b/>
          <w:bCs/>
        </w:rPr>
        <w:t>SMLOUVA O DÍLO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10"/>
        </w:rPr>
        <w:t>podle ustanovení § 2586 a násl. zákona č. 89/2012 Sb. občanského zákoníku,</w:t>
        <w:br/>
        <w:t>uzavřená mezi</w:t>
      </w:r>
    </w:p>
    <w:tbl>
      <w:tblPr>
        <w:tblOverlap w:val="never"/>
        <w:jc w:val="left"/>
        <w:tblLayout w:type="fixed"/>
      </w:tblPr>
      <w:tblGrid>
        <w:gridCol w:w="2746"/>
        <w:gridCol w:w="5760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9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pacing w:val="2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....</w:t>
            </w:r>
            <w:r>
              <w:rPr>
                <w:rStyle w:val="CharStyle15"/>
                <w:spacing w:val="3"/>
                <w:shd w:val="clear" w:color="auto" w:fill="000000"/>
              </w:rPr>
              <w:t>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​..................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</w:t>
            </w:r>
            <w:r>
              <w:rPr>
                <w:rStyle w:val="CharStyle15"/>
                <w:spacing w:val="9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</w:t>
            </w:r>
            <w:r>
              <w:rPr>
                <w:rStyle w:val="CharStyle15"/>
                <w:spacing w:val="9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6"/>
                <w:shd w:val="clear" w:color="auto" w:fill="000000"/>
              </w:rPr>
              <w:t>....</w:t>
            </w:r>
            <w:r>
              <w:rPr>
                <w:rStyle w:val="CharStyle15"/>
                <w:spacing w:val="7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0"/>
                <w:shd w:val="clear" w:color="auto" w:fill="000000"/>
              </w:rPr>
              <w:t>..</w:t>
            </w:r>
            <w:r>
              <w:rPr>
                <w:rStyle w:val="CharStyle15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a.s., č. ú. 117203514/0600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„objednatel“)</w:t>
      </w:r>
    </w:p>
    <w:p>
      <w:pPr>
        <w:widowControl w:val="0"/>
        <w:spacing w:after="299" w:line="1" w:lineRule="exact"/>
      </w:pPr>
    </w:p>
    <w:tbl>
      <w:tblPr>
        <w:tblOverlap w:val="never"/>
        <w:jc w:val="left"/>
        <w:tblLayout w:type="fixed"/>
      </w:tblPr>
      <w:tblGrid>
        <w:gridCol w:w="2746"/>
        <w:gridCol w:w="5755"/>
      </w:tblGrid>
      <w:tr>
        <w:trPr>
          <w:trHeight w:val="6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Kelcom International Třebíč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Hrotovická 160, 67401 Třebíč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Oldřich Podlešák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Oldřich Podlešák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43371876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CZ43371876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Brně, oddíl C, vložka 4642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111401288/0300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„zhotovitel“</w:t>
      </w:r>
    </w:p>
    <w:p>
      <w:pPr>
        <w:widowControl w:val="0"/>
        <w:spacing w:after="81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Zhotovitel se zavazuje, že pro objednatele provede dílo spočívající v demontáži a likvidaci stávajícího přístupového a zabezpečovacího systému a dále v dodávce, instalaci a zprovoznění nového elektronického přístupového a zabezpečovacího systému, včetně souvisejících elektroinstalačních prací, a to způsobem a v rozsahu dle výkazu výměr dle přílohy č. 1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>Místem splnění závazku zhotovitele k provedení díla podle č. 1 této smlouvy se rozumí výjezdová základna objednatele ve Znojmě, Pražská 3872/59a. Při provádění díla se pak zhotovitel zavazuje postupovat tak, aby nebyl narušen provoz zdravotnického zařízení objednatele v místě plnění.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 xml:space="preserve">Zhotovitel se zavazuje provést dílo podle čl. 1 této smlouvy ve lhůtě nejpozději do </w:t>
      </w:r>
      <w:r>
        <w:rPr>
          <w:rStyle w:val="CharStyle10"/>
          <w:b/>
          <w:bCs/>
        </w:rPr>
        <w:t xml:space="preserve">28. 11. 2025. </w:t>
      </w:r>
      <w:r>
        <w:rPr>
          <w:rStyle w:val="CharStyle10"/>
        </w:rPr>
        <w:t>Dílo bude provedeno v náležité kvalitě a dle veškerých předepsaných atestů, zkoušek a revizí dle ČSN a dalších platných právních a technických předpisů.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40" w:right="0" w:hanging="440"/>
        <w:jc w:val="both"/>
      </w:pPr>
      <w:r>
        <w:rPr>
          <w:rStyle w:val="CharStyle10"/>
        </w:rPr>
        <w:t xml:space="preserve">Závazek zhotovitele k provedení díla v dohodnutém rozsahu se považuje za splněný dokončením všech prací spojených se zhotovením díla, včetně jeho uvedení do provozu, zaškolení obsluhy a úklidu po provedené montáži, předáním a převzetím díla formou písemného předávacího protokolu, podepsaného oběma smluvními stranami. Současně s dílem je zhotovitel povinen objednateli předat při jeho předání dokumenty potřebné k řádnému užívání díla. Objednatel </w:t>
      </w:r>
      <w:r>
        <w:rPr>
          <w:rStyle w:val="CharStyle10"/>
        </w:rPr>
        <w:t>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 případ prodlení se splněním svého závazku podle č.1 této smlouvy ve Ihůtě podle čl. 3 této smlouvy se zhotovitel zavazuje zaplatit objednateli smluvní pokutu ve výši 0,1% z celkové ceny díla podle čl. 6 této smlouvy za každý započatý den prodlení. Zaplacením této smluvní pokuty není dotčen nárok objednatele na případnou náhradu škody v plné výši.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40"/>
        <w:ind w:left="400" w:right="0" w:hanging="400"/>
        <w:jc w:val="both"/>
      </w:pPr>
      <w:r>
        <w:rPr>
          <w:rStyle w:val="CharStyle10"/>
        </w:rPr>
        <w:t xml:space="preserve">Objednatel se zavazuje zaplatit zhotoviteli za dílo poole čl. 1 této smlouvy cenu díla ve výši: </w:t>
      </w:r>
      <w:r>
        <w:rPr>
          <w:rStyle w:val="CharStyle10"/>
          <w:b/>
          <w:bCs/>
        </w:rPr>
        <w:t xml:space="preserve">831 111,-,- </w:t>
      </w:r>
      <w:r>
        <w:rPr>
          <w:rStyle w:val="CharStyle10"/>
        </w:rPr>
        <w:t xml:space="preserve">Kč bez DPH, tj. </w:t>
      </w:r>
      <w:r>
        <w:rPr>
          <w:rStyle w:val="CharStyle10"/>
          <w:b/>
          <w:bCs/>
        </w:rPr>
        <w:t xml:space="preserve">1 005 645,- </w:t>
      </w:r>
      <w:r>
        <w:rPr>
          <w:rStyle w:val="CharStyle10"/>
        </w:rPr>
        <w:t>Kč včetně DPH. Součástí této ceny jsou veškeré náklady zhotovitele, spojené se splněním závazku zhotovitele podle čl. 1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Cena díla podle čl. 6 této smlouvy je splatná po splnění závazku zhotovitele k provedení díla způsobem podle čl. 4 této smlouvy ve Ihůtě do 30 dnů od předložení jejího písemného vyúčtování (faktury/daňového dokladu). Faktura bude doručena elektronicky na email:</w:t>
      </w:r>
      <w:r>
        <w:rPr>
          <w:rStyle w:val="CharStyle10"/>
          <w:shd w:val="clear" w:color="auto" w:fill="000000"/>
        </w:rPr>
        <w:t>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10"/>
          <w:u w:val="single"/>
          <w:lang w:val="en-US" w:eastAsia="en-US" w:bidi="en-US"/>
        </w:rPr>
        <w:t xml:space="preserve"> 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27"/>
          <w:shd w:val="clear" w:color="auto" w:fill="000000"/>
        </w:rPr>
        <w:t>.</w:t>
      </w:r>
      <w:r>
        <w:rPr>
          <w:rStyle w:val="CharStyle10"/>
          <w:spacing w:val="28"/>
          <w:shd w:val="clear" w:color="auto" w:fill="000000"/>
        </w:rPr>
        <w:t>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​...................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10"/>
          <w:lang w:val="en-US" w:eastAsia="en-US" w:bidi="en-US"/>
        </w:rPr>
        <w:t xml:space="preserve">. </w:t>
      </w:r>
      <w:r>
        <w:rPr>
          <w:rStyle w:val="CharStyle10"/>
        </w:rPr>
        <w:t xml:space="preserve">Na faktuře musí být mimo jiné vždy uvedeno toto číslo veřejné zakázky, ke které se faktura vztahuje: </w:t>
      </w:r>
      <w:r>
        <w:rPr>
          <w:rStyle w:val="CharStyle10"/>
          <w:b/>
          <w:bCs/>
        </w:rPr>
        <w:t xml:space="preserve">P25V00002843. </w:t>
      </w:r>
      <w:r>
        <w:rPr>
          <w:rStyle w:val="CharStyle10"/>
        </w:rPr>
        <w:t>Součástí faktury bude rovněž kopie podepsaného předávacího protokolu dle čl. 4 této smlouvy.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66" w:lineRule="auto"/>
        <w:ind w:left="400" w:right="0" w:hanging="400"/>
        <w:jc w:val="both"/>
      </w:pPr>
      <w:r>
        <w:rPr>
          <w:rStyle w:val="CharStyle10"/>
        </w:rPr>
        <w:t>Pro případ prodlení s úhradou ceny díla ve Ihůtě podle čl. 7 této smlouvy se objednatel zavazuje zaplatit zhotoviteli úrok z prodlení ve výši dle zákona.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době do 24 měsíců ode dne splnění závazku zhotovitele k provedení díla.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Zhotovitel se zavazuje rozhodovat o písemných reklamacích objednatele v období po dokončení díla písemně ve Ihůtě do 5 pracovních dnů od jejich doručení, a ve stejné Ihůtě provést odstranění vad z oprávněných reklamací, nebude-li mezi oběma stranami v jednotlivém případě dohodnuto jinak.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Nepřikročí-li zhotovitel k odstranění vady ve Ihůtě podle čl. 10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0"/>
        </w:rPr>
        <w:t>Pro případ prodlení zhotovitele se splněním jeho povinností podle čl. 9 této smlouvy ve Ihůtě podle čl. 10 této smlouvy se zhotovitel zavazuje zaplatit objednateli smluvní pokutu ve výši 500,- Kč za každý započatý dne tohoto prodlení.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00" w:right="0" w:hanging="400"/>
        <w:jc w:val="both"/>
      </w:pPr>
      <w:r>
        <w:rPr>
          <w:rStyle w:val="CharStyle10"/>
        </w:rPr>
        <w:t>Objednatel je oprávněn odstoupit od této smlouvy o dílo, bude-li zhotovitel v prodlení se splněním svého závazku podle čl. 1 této smlouvy ve Ihůtě podle čl. 3 této smlouvy o více, než 2 týdny.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62" w:lineRule="auto"/>
        <w:ind w:left="420" w:right="0" w:hanging="420"/>
        <w:jc w:val="both"/>
      </w:pPr>
      <w:r>
        <w:rPr>
          <w:rStyle w:val="CharStyle10"/>
        </w:rPr>
        <w:t>Zaplacením smluvní pokuty podle této smlouvy není dotčeno právo objednatele na náhradu případné škody v plné výši.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>Není-li touto smlouvou ujednáno jinak, řídí se vzájemný právní vztah mezi zhotovitelem a objednatelem při realizaci této smlouvy ustanovení § 2079 a násl. občanského zákoníku. Obě strany přitom vylučují použití ust. §1917 až 1918, §1920 až 1922, občanského zákoníku a také obchodních zvyklostí, které jsou svým smyslem nebo účinky totožné nebo obdobné s uvedenými ustanoveními, na jejich právní vztah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rStyle w:val="CharStyle10"/>
        </w:rPr>
        <w:t>Tuto smlouvu lze změnit nebo zrušit pouze jinou písemnou dohodou obou smluvních stran ve formě číslovaného dodatku.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>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 xml:space="preserve">Zhotovitel uděluje objednateli z opatrnosti svůj výslovný souhlas se zveřejněním podmínek této smlouvy v rozsahu a za podmínek vyplývajících z příslušných právních předpisů (zejména zákona č. 106/1999 Sb. o </w:t>
      </w:r>
      <w:r>
        <w:rPr>
          <w:rStyle w:val="CharStyle10"/>
          <w:i/>
          <w:iCs/>
        </w:rPr>
        <w:t>svobodném přístupu k informacím, v</w:t>
      </w:r>
      <w:r>
        <w:rPr>
          <w:rStyle w:val="CharStyle10"/>
        </w:rPr>
        <w:t xml:space="preserve"> platném znění).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 xml:space="preserve">Tato smlouva nabývá platnosti dnem jejího uzavření a účinnosti dnem jejího uveřejnění v registru smluv dle příslušných ustanovení zákona č. 340/2015 Sb., </w:t>
      </w:r>
      <w:r>
        <w:rPr>
          <w:rStyle w:val="CharStyle10"/>
          <w:i/>
          <w:iCs/>
        </w:rPr>
        <w:t>o zvláštních podmínkách účinnosti některých smluv, uveřejňování těchto smluv a o registru smluv</w:t>
      </w:r>
      <w:r>
        <w:rPr>
          <w:rStyle w:val="CharStyle10"/>
        </w:rPr>
        <w:t xml:space="preserve"> (zákon o registru smluv), v platném znění. Smluvní strany se dohodly, že uveřejnění v registru smluv (ISRS) včetně uvedení metadat provede objednatel.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71" w:lineRule="auto"/>
        <w:ind w:left="420" w:right="0" w:hanging="420"/>
        <w:jc w:val="both"/>
      </w:pPr>
      <w:r>
        <w:rPr>
          <w:rStyle w:val="CharStyle10"/>
        </w:rPr>
        <w:t>Tato smlouva se vyhotovuje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/>
        <w:ind w:left="0" w:right="0" w:firstLine="0"/>
        <w:jc w:val="both"/>
      </w:pPr>
      <w:r>
        <w:rPr>
          <w:rStyle w:val="CharStyle10"/>
        </w:rPr>
        <w:t>Nedílnou součástí této smlouvy jsou přílohy: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88" w:right="1307" w:bottom="1307" w:left="144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0"/>
        </w:rPr>
        <w:t>Příloha č. 1 Výkaz výměr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2" w:right="0" w:bottom="7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1037" w:h="250" w:wrap="none" w:vAnchor="text" w:hAnchor="page" w:x="145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 Brně dne</w:t>
      </w:r>
    </w:p>
    <w:p>
      <w:pPr>
        <w:pStyle w:val="Style39"/>
        <w:keepNext w:val="0"/>
        <w:keepLines w:val="0"/>
        <w:framePr w:w="2650" w:h="667" w:wrap="none" w:vAnchor="text" w:hAnchor="page" w:x="2667" w:y="884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rStyle w:val="CharStyle40"/>
          <w:b/>
          <w:bCs/>
          <w:color w:val="000000"/>
          <w:shd w:val="clear" w:color="auto" w:fill="000000"/>
        </w:rPr>
        <w:t>.....................​..................​</w:t>
      </w:r>
      <w:r>
        <w:rPr>
          <w:rStyle w:val="CharStyle40"/>
          <w:b/>
          <w:bCs/>
          <w:color w:val="000000"/>
          <w:spacing w:val="27"/>
          <w:shd w:val="clear" w:color="auto" w:fill="000000"/>
        </w:rPr>
        <w:t>.</w:t>
      </w:r>
      <w:r>
        <w:rPr>
          <w:rStyle w:val="CharStyle40"/>
          <w:b/>
          <w:bCs/>
        </w:rPr>
        <w:t xml:space="preserve">lužba </w:t>
      </w:r>
      <w:r>
        <w:rPr>
          <w:rStyle w:val="CharStyle40"/>
          <w:b/>
          <w:bCs/>
          <w:color w:val="000000"/>
          <w:shd w:val="clear" w:color="auto" w:fill="000000"/>
        </w:rPr>
        <w:t>​</w:t>
      </w:r>
      <w:r>
        <w:rPr>
          <w:rStyle w:val="CharStyle40"/>
          <w:b/>
          <w:bCs/>
          <w:color w:val="000000"/>
          <w:spacing w:val="3"/>
          <w:shd w:val="clear" w:color="auto" w:fill="000000"/>
        </w:rPr>
        <w:t>.........</w:t>
      </w:r>
      <w:r>
        <w:rPr>
          <w:rStyle w:val="CharStyle40"/>
          <w:b/>
          <w:bCs/>
          <w:color w:val="000000"/>
          <w:spacing w:val="4"/>
          <w:shd w:val="clear" w:color="auto" w:fill="000000"/>
        </w:rPr>
        <w:t>.....</w:t>
      </w:r>
      <w:r>
        <w:rPr>
          <w:rStyle w:val="CharStyle40"/>
          <w:b/>
          <w:bCs/>
          <w:color w:val="000000"/>
          <w:shd w:val="clear" w:color="auto" w:fill="000000"/>
        </w:rPr>
        <w:t>​</w:t>
      </w:r>
      <w:r>
        <w:rPr>
          <w:rStyle w:val="CharStyle40"/>
          <w:b/>
          <w:bCs/>
          <w:color w:val="000000"/>
          <w:spacing w:val="2"/>
          <w:shd w:val="clear" w:color="auto" w:fill="000000"/>
        </w:rPr>
        <w:t>...</w:t>
      </w:r>
      <w:r>
        <w:rPr>
          <w:rStyle w:val="CharStyle40"/>
          <w:b/>
          <w:bCs/>
          <w:color w:val="000000"/>
          <w:spacing w:val="3"/>
          <w:shd w:val="clear" w:color="auto" w:fill="000000"/>
        </w:rPr>
        <w:t>.....</w:t>
      </w:r>
      <w:r>
        <w:rPr>
          <w:rStyle w:val="CharStyle40"/>
          <w:b/>
          <w:bCs/>
        </w:rPr>
        <w:t>p.o.</w:t>
      </w:r>
    </w:p>
    <w:p>
      <w:pPr>
        <w:pStyle w:val="Style2"/>
        <w:keepNext w:val="0"/>
        <w:keepLines w:val="0"/>
        <w:framePr w:w="2650" w:h="667" w:wrap="none" w:vAnchor="text" w:hAnchor="page" w:x="2667" w:y="884"/>
        <w:widowControl w:val="0"/>
        <w:shd w:val="clear" w:color="auto" w:fill="auto"/>
        <w:bidi w:val="0"/>
        <w:spacing w:before="0" w:after="0" w:line="240" w:lineRule="auto"/>
        <w:ind w:left="0" w:right="220" w:firstLine="0"/>
        <w:jc w:val="right"/>
      </w:pPr>
      <w:r>
        <w:rPr>
          <w:rStyle w:val="CharStyle3"/>
          <w:shd w:val="clear" w:color="auto" w:fill="000000"/>
        </w:rPr>
        <w:t>...</w:t>
      </w:r>
      <w:r>
        <w:rPr>
          <w:rStyle w:val="CharStyle3"/>
          <w:spacing w:val="1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9"/>
          <w:shd w:val="clear" w:color="auto" w:fill="000000"/>
        </w:rPr>
        <w:t>.</w:t>
      </w:r>
      <w:r>
        <w:rPr>
          <w:rStyle w:val="CharStyle3"/>
          <w:spacing w:val="10"/>
          <w:shd w:val="clear" w:color="auto" w:fill="000000"/>
        </w:rPr>
        <w:t>.</w:t>
      </w:r>
      <w:r>
        <w:rPr>
          <w:rStyle w:val="CharStyle3"/>
          <w:color w:val="3664DD"/>
        </w:rPr>
        <w:t>rno</w:t>
      </w:r>
    </w:p>
    <w:p>
      <w:pPr>
        <w:pStyle w:val="Style51"/>
        <w:keepNext w:val="0"/>
        <w:keepLines w:val="0"/>
        <w:framePr w:w="2184" w:h="250" w:wrap="none" w:vAnchor="text" w:hAnchor="page" w:x="66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2"/>
        </w:rPr>
        <w:t>V Třebíči dne 30.8.2025</w:t>
      </w:r>
    </w:p>
    <w:p>
      <w:pPr>
        <w:pStyle w:val="Style9"/>
        <w:keepNext w:val="0"/>
        <w:keepLines w:val="0"/>
        <w:framePr w:w="2266" w:h="250" w:wrap="none" w:vAnchor="text" w:hAnchor="page" w:x="1453" w:y="18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MUDr. Hana Albrechtová</w:t>
      </w:r>
    </w:p>
    <w:p>
      <w:pPr>
        <w:pStyle w:val="Style9"/>
        <w:keepNext w:val="0"/>
        <w:keepLines w:val="0"/>
        <w:framePr w:w="1416" w:h="523" w:wrap="none" w:vAnchor="text" w:hAnchor="page" w:x="1453" w:y="2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ředitelka</w:t>
      </w:r>
    </w:p>
    <w:p>
      <w:pPr>
        <w:pStyle w:val="Style9"/>
        <w:keepNext w:val="0"/>
        <w:keepLines w:val="0"/>
        <w:framePr w:w="1416" w:h="523" w:wrap="none" w:vAnchor="text" w:hAnchor="page" w:x="1453" w:y="2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za objednatele</w:t>
      </w:r>
    </w:p>
    <w:p>
      <w:pPr>
        <w:pStyle w:val="Style9"/>
        <w:keepNext w:val="0"/>
        <w:keepLines w:val="0"/>
        <w:framePr w:w="1570" w:h="811" w:wrap="none" w:vAnchor="text" w:hAnchor="page" w:x="6656" w:y="185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0"/>
        </w:rPr>
        <w:t xml:space="preserve">Oldřich Podlešák jednatel </w:t>
      </w:r>
      <w:r>
        <w:rPr>
          <w:rStyle w:val="CharStyle10"/>
          <w:b/>
          <w:bCs/>
        </w:rPr>
        <w:t>za zhotovitele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1765935</wp:posOffset>
            </wp:positionH>
            <wp:positionV relativeFrom="paragraph">
              <wp:posOffset>697865</wp:posOffset>
            </wp:positionV>
            <wp:extent cx="1164590" cy="5365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64590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8455" distB="0" distL="0" distR="0" simplePos="0" relativeHeight="62914693" behindDoc="1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351155</wp:posOffset>
            </wp:positionV>
            <wp:extent cx="2182495" cy="7499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182495" cy="749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2" w:right="1273" w:bottom="760" w:left="14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4"/>
          <w:b/>
          <w:bCs/>
        </w:rPr>
        <w:t>Příloha č. 1 Výkaz výměr</w:t>
      </w:r>
    </w:p>
    <w:tbl>
      <w:tblPr>
        <w:tblOverlap w:val="never"/>
        <w:jc w:val="center"/>
        <w:tblLayout w:type="fixed"/>
      </w:tblPr>
      <w:tblGrid>
        <w:gridCol w:w="1685"/>
        <w:gridCol w:w="912"/>
        <w:gridCol w:w="3936"/>
        <w:gridCol w:w="710"/>
        <w:gridCol w:w="888"/>
        <w:gridCol w:w="1046"/>
        <w:gridCol w:w="840"/>
        <w:gridCol w:w="1238"/>
      </w:tblGrid>
      <w:tr>
        <w:trPr>
          <w:trHeight w:val="27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Položka (typ)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Popis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Ks/kpl./m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Materiál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Montáž</w:t>
            </w:r>
          </w:p>
        </w:tc>
      </w:tr>
      <w:tr>
        <w:trPr>
          <w:trHeight w:val="35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Cena /ks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Cena/ks bez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Instalace celkem bez DPH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Demontáž stávajícího modulu C080/Max. a propojení stávájící sběrnice Galaxy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63 000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HUB Pro úprava CGC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Řídící modul přístupového systému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336 000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45 000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Pulzar zdroj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Napájecí zdroj v boxu 12V 10A HPSG2-12V5A-C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1 934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5 802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3 600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Aku 18Ah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modul zdrojový napětí 6V nebo 12V, max . odběr 1A, Aku 7 Ah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3 315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450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Signo 20 STD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Čtečka úzká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5 470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27 350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4 000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WRR 22 Ranger + anténa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Bezdrátový přijímač, malé provedení, 2x výstup Wiegand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5 581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11 162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3 600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QNO 608 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Bullet kamera 2MP, 4mm, WDR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12 400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950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1 900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2N IP Verso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Bezpečnostní interkom 2N® IP Verso komplet 4 tlačítka* rám pro povrchovou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19 223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38 446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UDS1100POE 1-portový převodník z RS232/485/422 na, 10/100Base- TX, PoE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5 314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15 942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850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2 550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Sbi lic EKV licence okruh EKV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14 667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44 000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SL-Instal EKV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Instlace a konfigurace okruhu EKV, nastavení práv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16 500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SL-TEST EKV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Závěrečný test funkcionality EKV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9 900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 inženyring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Inženýring zakázky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8 250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SL-Instal PZTS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Instalace a konfigurace okruhu PZTS, úprava nastavení přístupových práv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4 950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 LICENCE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Aplikace nových licencí do SBI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4 950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 Test PZTS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Závěrečný test funkcionality PZTS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3300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SL Symbol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Umístění symbolů, nastavení vazeb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9 860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FTP 4x2x0,5 Cat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1 140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12 540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31 920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CYSY 2,1,5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11 390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18 760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Žlab vkládaci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plastový 13x18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3 230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7 650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instalační krabice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3 510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Ostatní instalační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nosná kabelová nosná konstrukce, příchytky, vazací pásky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8 500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8 500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9 000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9 000</w:t>
            </w:r>
          </w:p>
        </w:tc>
      </w:tr>
      <w:tr>
        <w:trPr>
          <w:trHeight w:val="20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Celkem materiál,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490 289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296 650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Popis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Cena celkem bez DPH</w:t>
            </w:r>
          </w:p>
        </w:tc>
      </w:tr>
      <w:tr>
        <w:trPr>
          <w:trHeight w:val="1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cestovné, ubytování, vedlejší náklady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23 400</w:t>
            </w:r>
          </w:p>
        </w:tc>
      </w:tr>
      <w:tr>
        <w:trPr>
          <w:trHeight w:val="1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Oživení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zprovoznění celého systému, asistence při programování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20 172</w:t>
            </w:r>
          </w:p>
        </w:tc>
      </w:tr>
      <w:tr>
        <w:trPr>
          <w:trHeight w:val="20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Příprava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přípravné práce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600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0018"/>
        <w:gridCol w:w="1234"/>
      </w:tblGrid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831 111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sz w:val="12"/>
                <w:szCs w:val="12"/>
              </w:rPr>
              <w:t>175 533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sz w:val="12"/>
                <w:szCs w:val="12"/>
              </w:rPr>
              <w:t>Cena celkem v Kč vč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CD47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Style w:val="CharStyle15"/>
                <w:b/>
                <w:bCs/>
                <w:color w:val="42280B"/>
                <w:sz w:val="12"/>
                <w:szCs w:val="12"/>
              </w:rPr>
              <w:t>1 005 645</w:t>
            </w:r>
          </w:p>
        </w:tc>
      </w:tr>
    </w:tbl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699" w:right="299" w:bottom="699" w:left="345" w:header="271" w:footer="27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10153650</wp:posOffset>
              </wp:positionV>
              <wp:extent cx="3797935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979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Veřejná zakázka 14-25: Doplnění přístupového systému VZ Znojmo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850000000000009pt;margin-top:799.5pt;width:299.05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Veřejná zakázka 14-25: Doplnění přístupového systému VZ Znojmo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Základní text (2)_"/>
    <w:basedOn w:val="DefaultParagraphFont"/>
    <w:link w:val="Style39"/>
    <w:rPr>
      <w:rFonts w:ascii="Calibri" w:eastAsia="Calibri" w:hAnsi="Calibri" w:cs="Calibri"/>
      <w:b/>
      <w:bCs/>
      <w:i w:val="0"/>
      <w:iCs w:val="0"/>
      <w:smallCaps w:val="0"/>
      <w:strike w:val="0"/>
      <w:color w:val="3664DD"/>
      <w:sz w:val="20"/>
      <w:szCs w:val="20"/>
      <w:u w:val="none"/>
    </w:rPr>
  </w:style>
  <w:style w:type="character" w:customStyle="1" w:styleId="CharStyle52">
    <w:name w:val="Titulek obrázku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4">
    <w:name w:val="Základní text (3)_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  <w:spacing w:after="60"/>
      <w:ind w:right="6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9">
    <w:name w:val="Základní text (2)"/>
    <w:basedOn w:val="Normal"/>
    <w:link w:val="CharStyle40"/>
    <w:pPr>
      <w:widowControl w:val="0"/>
      <w:shd w:val="clear" w:color="auto" w:fill="auto"/>
      <w:spacing w:line="199" w:lineRule="auto"/>
      <w:jc w:val="right"/>
    </w:pPr>
    <w:rPr>
      <w:rFonts w:ascii="Calibri" w:eastAsia="Calibri" w:hAnsi="Calibri" w:cs="Calibri"/>
      <w:b/>
      <w:bCs/>
      <w:i w:val="0"/>
      <w:iCs w:val="0"/>
      <w:smallCaps w:val="0"/>
      <w:strike w:val="0"/>
      <w:color w:val="3664DD"/>
      <w:sz w:val="20"/>
      <w:szCs w:val="20"/>
      <w:u w:val="none"/>
    </w:rPr>
  </w:style>
  <w:style w:type="paragraph" w:customStyle="1" w:styleId="Style51">
    <w:name w:val="Titulek obrázku"/>
    <w:basedOn w:val="Normal"/>
    <w:link w:val="CharStyle5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3">
    <w:name w:val="Základní text (3)"/>
    <w:basedOn w:val="Normal"/>
    <w:link w:val="CharStyle54"/>
    <w:pPr>
      <w:widowControl w:val="0"/>
      <w:shd w:val="clear" w:color="auto" w:fill="auto"/>
      <w:spacing w:after="280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