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561B" w14:textId="77777777" w:rsidR="00437CFA" w:rsidRPr="005E1E43" w:rsidRDefault="00437CFA"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1B97248D" w14:textId="43564941" w:rsidR="00437CFA" w:rsidRPr="005E1E43" w:rsidRDefault="00437CFA"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Číslo smlouvy </w:t>
      </w:r>
      <w:r>
        <w:rPr>
          <w:rFonts w:ascii="Calibri" w:eastAsia="Times New Roman" w:hAnsi="Calibri" w:cs="Arial"/>
          <w:lang w:eastAsia="cs-CZ"/>
        </w:rPr>
        <w:t>Objednatele</w:t>
      </w:r>
      <w:r w:rsidRPr="005E1E43">
        <w:rPr>
          <w:rFonts w:ascii="Calibri" w:eastAsia="Times New Roman" w:hAnsi="Calibri" w:cs="Arial"/>
          <w:lang w:eastAsia="cs-CZ"/>
        </w:rPr>
        <w:t xml:space="preserve">: </w:t>
      </w:r>
    </w:p>
    <w:p w14:paraId="1061E76E" w14:textId="77777777" w:rsidR="00437CFA" w:rsidRPr="005E1E43" w:rsidRDefault="00437CFA"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20250037</w:t>
      </w:r>
    </w:p>
    <w:p w14:paraId="16F80EE7" w14:textId="77777777" w:rsidR="00437CFA" w:rsidRPr="005E1E43" w:rsidRDefault="00437CFA"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45606047" w14:textId="77777777" w:rsidR="00437CFA" w:rsidRPr="005E1E43" w:rsidRDefault="00437CFA" w:rsidP="005E1E43">
      <w:pPr>
        <w:pBdr>
          <w:bottom w:val="single" w:sz="4" w:space="1" w:color="auto"/>
        </w:pBdr>
        <w:spacing w:after="0"/>
        <w:jc w:val="center"/>
        <w:rPr>
          <w:rFonts w:ascii="Calibri" w:eastAsia="Times New Roman" w:hAnsi="Calibri" w:cs="Arial"/>
          <w:lang w:eastAsia="cs-CZ"/>
        </w:rPr>
      </w:pPr>
    </w:p>
    <w:p w14:paraId="1D5A4BA7" w14:textId="77777777" w:rsidR="00437CFA" w:rsidRPr="005E1E43" w:rsidRDefault="00437CFA" w:rsidP="005E1E43">
      <w:pPr>
        <w:spacing w:after="0" w:line="276" w:lineRule="auto"/>
        <w:jc w:val="both"/>
        <w:rPr>
          <w:rFonts w:ascii="Calibri" w:eastAsia="Times New Roman" w:hAnsi="Calibri" w:cs="Arial"/>
          <w:b/>
          <w:bCs/>
          <w:lang w:eastAsia="cs-CZ"/>
        </w:rPr>
      </w:pPr>
    </w:p>
    <w:p w14:paraId="2C150090"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3CC3654F"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2F126F1A"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713D0565"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4D04E26F"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4F6FA825"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09927BE5"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53A7BB9C"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p>
    <w:p w14:paraId="64D52B15"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60E2B58B" w14:textId="77777777" w:rsidR="00437CFA" w:rsidRPr="005E1E43" w:rsidRDefault="00437CFA" w:rsidP="005E1E43">
      <w:pPr>
        <w:tabs>
          <w:tab w:val="left" w:pos="2268"/>
        </w:tabs>
        <w:spacing w:after="0" w:line="240" w:lineRule="auto"/>
        <w:ind w:left="709" w:hanging="425"/>
        <w:jc w:val="both"/>
        <w:rPr>
          <w:rFonts w:ascii="Calibri" w:eastAsia="Times New Roman" w:hAnsi="Calibri" w:cs="Arial"/>
          <w:lang w:eastAsia="cs-CZ"/>
        </w:rPr>
      </w:pPr>
    </w:p>
    <w:p w14:paraId="745B8B6E" w14:textId="77777777" w:rsidR="00437CFA" w:rsidRPr="005E1E43" w:rsidRDefault="00437CFA"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7700F76A" w14:textId="77777777" w:rsidR="00437CFA" w:rsidRPr="005E1E43" w:rsidRDefault="00437CFA" w:rsidP="005E1E43">
      <w:pPr>
        <w:spacing w:after="0" w:line="240" w:lineRule="auto"/>
        <w:ind w:left="709" w:hanging="425"/>
        <w:jc w:val="both"/>
        <w:rPr>
          <w:rFonts w:ascii="Calibri" w:eastAsia="Times New Roman" w:hAnsi="Calibri" w:cs="Arial"/>
          <w:b/>
          <w:bCs/>
          <w:lang w:eastAsia="cs-CZ"/>
        </w:rPr>
      </w:pPr>
    </w:p>
    <w:p w14:paraId="7B209278" w14:textId="77777777" w:rsidR="00437CFA" w:rsidRPr="005E1E43" w:rsidRDefault="00437CFA" w:rsidP="005E1E43">
      <w:pPr>
        <w:spacing w:after="0" w:line="240" w:lineRule="auto"/>
        <w:ind w:left="709" w:hanging="425"/>
        <w:jc w:val="both"/>
        <w:rPr>
          <w:rFonts w:ascii="Calibri" w:eastAsia="Times New Roman" w:hAnsi="Calibri" w:cs="Arial"/>
          <w:b/>
          <w:bCs/>
          <w:lang w:eastAsia="cs-CZ"/>
        </w:rPr>
      </w:pPr>
    </w:p>
    <w:p w14:paraId="2B9FF444" w14:textId="77777777" w:rsidR="00437CFA" w:rsidRPr="005E1E43" w:rsidRDefault="00437CFA"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326A931F" w14:textId="77777777" w:rsidR="00437CFA" w:rsidRPr="005E1E43" w:rsidRDefault="00437CFA" w:rsidP="005E1E43">
      <w:pPr>
        <w:spacing w:after="0" w:line="240" w:lineRule="auto"/>
        <w:ind w:left="709" w:hanging="425"/>
        <w:jc w:val="both"/>
        <w:rPr>
          <w:rFonts w:ascii="Calibri" w:eastAsia="Times New Roman" w:hAnsi="Calibri" w:cs="Arial"/>
          <w:b/>
          <w:bCs/>
          <w:lang w:eastAsia="cs-CZ"/>
        </w:rPr>
      </w:pPr>
    </w:p>
    <w:p w14:paraId="3D9ACB80" w14:textId="77777777" w:rsidR="00437CFA" w:rsidRPr="005E1E43" w:rsidRDefault="00437CFA" w:rsidP="005E1E43">
      <w:pPr>
        <w:spacing w:after="0" w:line="240" w:lineRule="auto"/>
        <w:ind w:left="709" w:hanging="425"/>
        <w:jc w:val="both"/>
        <w:rPr>
          <w:rFonts w:ascii="Calibri" w:eastAsia="Times New Roman" w:hAnsi="Calibri" w:cs="Arial"/>
          <w:b/>
          <w:bCs/>
          <w:lang w:eastAsia="cs-CZ"/>
        </w:rPr>
      </w:pPr>
    </w:p>
    <w:p w14:paraId="767DD306"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Mateřská škola, Uherský Brod, Obchodní 1639, okres Uherské Hradiště</w:t>
      </w:r>
    </w:p>
    <w:p w14:paraId="5415921A" w14:textId="77777777" w:rsidR="00437CFA" w:rsidRPr="00186295" w:rsidRDefault="00437CFA"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 xml:space="preserve">sídlo: </w:t>
      </w:r>
      <w:r w:rsidRPr="005E1E43">
        <w:rPr>
          <w:rFonts w:ascii="Times New Roman" w:eastAsia="Times New Roman" w:hAnsi="Times New Roman" w:cs="Times New Roman"/>
          <w:sz w:val="24"/>
          <w:szCs w:val="24"/>
          <w:lang w:eastAsia="cs-CZ"/>
        </w:rPr>
        <w:tab/>
      </w:r>
      <w:r w:rsidRPr="005F58BF">
        <w:rPr>
          <w:rFonts w:eastAsia="Times New Roman" w:cstheme="minorHAnsi"/>
          <w:noProof/>
          <w:lang w:eastAsia="cs-CZ"/>
        </w:rPr>
        <w:t>Obchodní 1639</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5A92D246"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70991928</w:t>
      </w:r>
    </w:p>
    <w:p w14:paraId="4D99B7AC" w14:textId="77777777" w:rsidR="00437CFA" w:rsidRPr="00201CA3" w:rsidRDefault="00437CF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nhkk229</w:t>
      </w:r>
    </w:p>
    <w:p w14:paraId="1D281F12"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Bc. RENATA NESÁZALOVÁ</w:t>
      </w:r>
      <w:r w:rsidRPr="005E1E43">
        <w:rPr>
          <w:rFonts w:ascii="Times New Roman" w:eastAsia="Times New Roman" w:hAnsi="Times New Roman" w:cs="Times New Roman"/>
          <w:sz w:val="24"/>
          <w:szCs w:val="24"/>
          <w:lang w:eastAsia="cs-CZ"/>
        </w:rPr>
        <w:tab/>
      </w:r>
    </w:p>
    <w:p w14:paraId="273CCA5C"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highlight w:val="yellow"/>
          <w:lang w:eastAsia="cs-CZ"/>
        </w:rPr>
      </w:pPr>
    </w:p>
    <w:p w14:paraId="622BF693"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4B9F465C"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p>
    <w:p w14:paraId="385B12E9"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18F1462B"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p>
    <w:p w14:paraId="7B1DAB12" w14:textId="77777777" w:rsidR="00437CFA" w:rsidRPr="005E1E43" w:rsidRDefault="00437CFA" w:rsidP="005E1E43">
      <w:pPr>
        <w:tabs>
          <w:tab w:val="left" w:pos="3402"/>
        </w:tabs>
        <w:spacing w:after="0" w:line="240" w:lineRule="auto"/>
        <w:ind w:left="709" w:hanging="425"/>
        <w:jc w:val="both"/>
        <w:rPr>
          <w:rFonts w:ascii="Calibri" w:eastAsia="Times New Roman" w:hAnsi="Calibri" w:cs="Arial"/>
          <w:lang w:eastAsia="cs-CZ"/>
        </w:rPr>
      </w:pPr>
    </w:p>
    <w:p w14:paraId="3C38CE5F" w14:textId="77777777" w:rsidR="00437CFA" w:rsidRPr="005E1E43" w:rsidRDefault="00437CFA" w:rsidP="005E1E43">
      <w:pPr>
        <w:tabs>
          <w:tab w:val="left" w:pos="2268"/>
        </w:tabs>
        <w:spacing w:after="0" w:line="240" w:lineRule="auto"/>
        <w:ind w:left="709" w:hanging="425"/>
        <w:jc w:val="both"/>
        <w:rPr>
          <w:rFonts w:ascii="Calibri" w:eastAsia="Times New Roman" w:hAnsi="Calibri" w:cs="Arial"/>
          <w:lang w:eastAsia="cs-CZ"/>
        </w:rPr>
      </w:pPr>
    </w:p>
    <w:p w14:paraId="6A51DDAA" w14:textId="77777777" w:rsidR="00437CFA" w:rsidRPr="005E1E43" w:rsidRDefault="00437CFA"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61B1A3B7" w14:textId="77777777" w:rsidR="00437CFA" w:rsidRPr="005E1E43" w:rsidRDefault="00437CFA" w:rsidP="005E1E43">
      <w:pPr>
        <w:spacing w:after="0"/>
        <w:rPr>
          <w:rFonts w:ascii="Calibri" w:eastAsia="Times New Roman" w:hAnsi="Calibri" w:cs="Arial"/>
          <w:lang w:eastAsia="ar-SA"/>
        </w:rPr>
      </w:pPr>
    </w:p>
    <w:p w14:paraId="76E27EF7" w14:textId="77777777" w:rsidR="00437CFA" w:rsidRPr="005E1E43" w:rsidRDefault="00437CFA" w:rsidP="005E1E43">
      <w:pPr>
        <w:spacing w:after="0" w:line="276" w:lineRule="auto"/>
        <w:jc w:val="center"/>
        <w:rPr>
          <w:rFonts w:ascii="Calibri" w:eastAsia="Times New Roman" w:hAnsi="Calibri" w:cs="Arial"/>
          <w:b/>
          <w:bCs/>
          <w:lang w:eastAsia="ar-SA"/>
        </w:rPr>
      </w:pPr>
    </w:p>
    <w:p w14:paraId="6A2DC19D" w14:textId="77777777" w:rsidR="00437CFA" w:rsidRPr="005E1E43" w:rsidRDefault="00437CFA"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786995D9" w14:textId="77777777" w:rsidR="00437CFA" w:rsidRPr="005E1E43" w:rsidRDefault="00437CF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05A6A2AB" w14:textId="77777777" w:rsidR="00437CFA" w:rsidRPr="005E1E43" w:rsidRDefault="00437CF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64BB1EE9" w14:textId="77777777" w:rsidR="00437CFA" w:rsidRPr="00051A74" w:rsidRDefault="00437CF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799DB199" w14:textId="77777777" w:rsidR="00437CFA" w:rsidRPr="00051A74" w:rsidRDefault="00437CF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31B33C6F" w14:textId="77777777" w:rsidR="00437CFA" w:rsidRPr="00051A74" w:rsidRDefault="00437CF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44223FEC" w14:textId="77777777" w:rsidR="00437CFA" w:rsidRPr="00051A74" w:rsidRDefault="00437CF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70FB1327" w14:textId="77777777" w:rsidR="00437CFA" w:rsidRPr="00051A74" w:rsidRDefault="00437CF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6B1AB7E0" w14:textId="77777777" w:rsidR="00437CFA" w:rsidRPr="00051A74" w:rsidRDefault="00437CF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7B0CFE30" w14:textId="77777777" w:rsidR="00437CFA" w:rsidRPr="00051A74" w:rsidRDefault="00437CF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3C807458"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26FC2604"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324B3D52"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0B7C52C7"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3B80438E"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42AC7F52" w14:textId="77777777" w:rsidR="00437CFA" w:rsidRPr="00051A74" w:rsidRDefault="00437CF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6E9D335E" w14:textId="77777777" w:rsidR="00437CFA" w:rsidRPr="005E1E43" w:rsidRDefault="00437CFA" w:rsidP="005E1E43">
      <w:pPr>
        <w:tabs>
          <w:tab w:val="left" w:pos="4288"/>
          <w:tab w:val="center" w:pos="4536"/>
        </w:tabs>
        <w:spacing w:after="0" w:line="276" w:lineRule="auto"/>
        <w:rPr>
          <w:rFonts w:ascii="Calibri" w:eastAsia="Times New Roman" w:hAnsi="Calibri" w:cs="Arial"/>
          <w:b/>
          <w:bCs/>
          <w:lang w:eastAsia="ar-SA"/>
        </w:rPr>
      </w:pPr>
    </w:p>
    <w:p w14:paraId="1FC8A166" w14:textId="77777777" w:rsidR="00437CFA" w:rsidRPr="005E1E43" w:rsidRDefault="00437CF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6EE49075" w14:textId="77777777" w:rsidR="00437CFA" w:rsidRPr="005E1E43" w:rsidRDefault="00437CF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5186C081" w14:textId="77777777" w:rsidR="00437CFA" w:rsidRPr="005E1E43" w:rsidRDefault="00437CF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3993F333" w14:textId="77777777" w:rsidR="00437CFA" w:rsidRPr="005E1E43" w:rsidRDefault="00437CF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7BE5B94D" w14:textId="77777777" w:rsidR="00437CFA" w:rsidRPr="005E1E43" w:rsidRDefault="00437CF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3702ADA5" w14:textId="77777777" w:rsidR="00437CFA" w:rsidRPr="005E1E43" w:rsidRDefault="00437CFA"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7CCC515A" w14:textId="77777777" w:rsidR="00437CFA" w:rsidRPr="005E1E43" w:rsidRDefault="00437CF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4559F5A9" w14:textId="77777777" w:rsidR="00437CFA" w:rsidRPr="005E1E43" w:rsidRDefault="00437CF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273239ED" w14:textId="77777777" w:rsidR="00437CFA" w:rsidRPr="005E1E43" w:rsidRDefault="00437CF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4CE4F14B" w14:textId="77777777" w:rsidR="00437CFA" w:rsidRPr="005E1E43" w:rsidRDefault="00437CFA" w:rsidP="005E1E43">
      <w:pPr>
        <w:suppressAutoHyphens/>
        <w:spacing w:after="120" w:line="240" w:lineRule="auto"/>
        <w:ind w:left="720"/>
        <w:jc w:val="both"/>
        <w:rPr>
          <w:rFonts w:ascii="Calibri" w:eastAsia="Times New Roman" w:hAnsi="Calibri" w:cs="Arial"/>
          <w:lang w:eastAsia="ar-SA"/>
        </w:rPr>
      </w:pPr>
    </w:p>
    <w:p w14:paraId="0609ACEE" w14:textId="77777777" w:rsidR="00437CFA" w:rsidRPr="005E1E43" w:rsidRDefault="00437CFA" w:rsidP="005E1E43">
      <w:pPr>
        <w:suppressAutoHyphens/>
        <w:spacing w:after="120" w:line="240" w:lineRule="auto"/>
        <w:ind w:left="720"/>
        <w:jc w:val="both"/>
        <w:rPr>
          <w:rFonts w:ascii="Calibri" w:eastAsia="Times New Roman" w:hAnsi="Calibri" w:cs="Arial"/>
          <w:lang w:eastAsia="ar-SA"/>
        </w:rPr>
      </w:pPr>
    </w:p>
    <w:p w14:paraId="3C3BE267"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60696F3E"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47DD97F5" w14:textId="77777777" w:rsidR="00437CFA" w:rsidRPr="005E1E43" w:rsidRDefault="00437CFA"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1B1B6434" w14:textId="77777777" w:rsidR="00437CFA" w:rsidRPr="005E1E43" w:rsidRDefault="00437CF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04DFDC56" w14:textId="77777777" w:rsidR="00437CFA" w:rsidRPr="005E1E43" w:rsidRDefault="00437CF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1B14809F" w14:textId="77777777" w:rsidR="00437CFA" w:rsidRPr="005E1E43" w:rsidRDefault="00437CF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7C972222" w14:textId="77777777" w:rsidR="00437CFA" w:rsidRPr="005E1E43" w:rsidRDefault="00437CFA"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4D057267" w14:textId="77777777" w:rsidR="00437CFA" w:rsidRPr="005E1E43" w:rsidRDefault="00437CFA" w:rsidP="005E1E43">
      <w:pPr>
        <w:tabs>
          <w:tab w:val="left" w:pos="4248"/>
          <w:tab w:val="center" w:pos="4536"/>
        </w:tabs>
        <w:spacing w:after="0" w:line="276" w:lineRule="auto"/>
        <w:rPr>
          <w:rFonts w:ascii="Calibri" w:eastAsia="Times New Roman" w:hAnsi="Calibri" w:cs="Arial"/>
          <w:b/>
          <w:bCs/>
          <w:lang w:eastAsia="ar-SA"/>
        </w:rPr>
      </w:pPr>
    </w:p>
    <w:p w14:paraId="6502C397" w14:textId="77777777" w:rsidR="00437CFA" w:rsidRPr="005E1E43" w:rsidRDefault="00437CFA" w:rsidP="005E1E43">
      <w:pPr>
        <w:tabs>
          <w:tab w:val="left" w:pos="4248"/>
          <w:tab w:val="center" w:pos="4536"/>
        </w:tabs>
        <w:spacing w:after="0" w:line="276" w:lineRule="auto"/>
        <w:rPr>
          <w:rFonts w:ascii="Calibri" w:eastAsia="Times New Roman" w:hAnsi="Calibri" w:cs="Arial"/>
          <w:b/>
          <w:bCs/>
          <w:lang w:eastAsia="ar-SA"/>
        </w:rPr>
      </w:pPr>
    </w:p>
    <w:p w14:paraId="36166075"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137F31DD" w14:textId="77777777" w:rsidR="00437CFA" w:rsidRPr="005E1E43" w:rsidRDefault="00437CF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11A89818" w14:textId="77777777" w:rsidR="00437CFA" w:rsidRPr="005E1E43" w:rsidRDefault="00437CF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0BDF9C06" w14:textId="77777777" w:rsidR="00437CFA" w:rsidRPr="005E1E43" w:rsidRDefault="00437CF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1C715AB6" w14:textId="77777777" w:rsidR="00437CFA" w:rsidRPr="005C1D5D" w:rsidRDefault="00437CFA"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43B1CB5D" w14:textId="77777777" w:rsidR="00437CFA" w:rsidRPr="005E1E43" w:rsidRDefault="00437CFA"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16D3810F" w14:textId="77777777" w:rsidR="00437CFA" w:rsidRDefault="00437CFA">
      <w:pPr>
        <w:rPr>
          <w:rFonts w:ascii="Calibri" w:eastAsia="Times New Roman" w:hAnsi="Calibri" w:cs="Arial"/>
          <w:b/>
          <w:bCs/>
          <w:lang w:eastAsia="ar-SA"/>
        </w:rPr>
      </w:pPr>
      <w:r>
        <w:rPr>
          <w:rFonts w:ascii="Calibri" w:eastAsia="Times New Roman" w:hAnsi="Calibri" w:cs="Arial"/>
          <w:b/>
          <w:bCs/>
          <w:lang w:eastAsia="ar-SA"/>
        </w:rPr>
        <w:br w:type="page"/>
      </w:r>
    </w:p>
    <w:p w14:paraId="4B0AE0DC" w14:textId="77777777" w:rsidR="00437CFA" w:rsidRPr="005E1E43" w:rsidRDefault="00437CF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7B612B8A"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59D0423F" w14:textId="77777777" w:rsidR="00437CFA" w:rsidRPr="00F9607C" w:rsidRDefault="00437CFA"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1.1.2025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258A4122" w14:textId="77777777" w:rsidR="00437CFA" w:rsidRPr="00201CA3" w:rsidRDefault="00437CF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43F16B73" w14:textId="77777777" w:rsidR="00437CFA" w:rsidRPr="005E1E43" w:rsidRDefault="00437CF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1FB3FA2A" w14:textId="77777777" w:rsidR="00437CFA" w:rsidRPr="005E1E43" w:rsidRDefault="00437CF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5690D980" w14:textId="77777777" w:rsidR="00437CFA" w:rsidRPr="005E1E43" w:rsidRDefault="00437CF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0DF4DED7" w14:textId="77777777" w:rsidR="00437CFA" w:rsidRPr="005E1E43" w:rsidRDefault="00437CF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0615A1B2" w14:textId="77777777" w:rsidR="00437CFA" w:rsidRPr="005E1E43" w:rsidRDefault="00437CF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06E8D700" w14:textId="77777777" w:rsidR="00437CFA" w:rsidRPr="005E1E43" w:rsidRDefault="00437CF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2D8CCA5B" w14:textId="77777777" w:rsidR="00437CFA" w:rsidRPr="005E1E43" w:rsidRDefault="00437CF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0D3BD71C" w14:textId="77777777" w:rsidR="00437CFA" w:rsidRPr="005E1E43" w:rsidRDefault="00437CFA"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4BB7FCAD" w14:textId="77777777" w:rsidR="00437CFA" w:rsidRPr="005E1E43" w:rsidRDefault="00437CFA" w:rsidP="005E1E43">
      <w:pPr>
        <w:spacing w:after="120"/>
        <w:ind w:left="720"/>
        <w:jc w:val="both"/>
        <w:outlineLvl w:val="2"/>
        <w:rPr>
          <w:rFonts w:ascii="Calibri" w:eastAsia="Times New Roman" w:hAnsi="Calibri" w:cs="Arial"/>
          <w:lang w:eastAsia="cs-CZ"/>
        </w:rPr>
      </w:pPr>
    </w:p>
    <w:p w14:paraId="6C6558D4" w14:textId="77777777" w:rsidR="00437CFA" w:rsidRPr="005E1E43" w:rsidRDefault="00437CFA" w:rsidP="005E1E43">
      <w:pPr>
        <w:spacing w:after="120"/>
        <w:ind w:left="720"/>
        <w:jc w:val="both"/>
        <w:outlineLvl w:val="2"/>
        <w:rPr>
          <w:rFonts w:ascii="Calibri" w:eastAsia="Times New Roman" w:hAnsi="Calibri" w:cs="Arial"/>
          <w:lang w:eastAsia="cs-CZ"/>
        </w:rPr>
      </w:pPr>
    </w:p>
    <w:p w14:paraId="070DB102" w14:textId="77777777" w:rsidR="00437CFA" w:rsidRPr="005E1E43" w:rsidRDefault="00437CFA"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334C5419" w14:textId="77777777" w:rsidR="00437CFA" w:rsidRPr="005E1E43" w:rsidRDefault="00437CFA"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124309AB" w14:textId="77777777" w:rsidR="00437CFA" w:rsidRPr="005E1E43" w:rsidRDefault="00437CF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30D69CA5" w14:textId="77777777" w:rsidR="00437CFA" w:rsidRPr="00201CA3" w:rsidRDefault="00437CFA"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95"/>
        <w:gridCol w:w="1321"/>
        <w:gridCol w:w="1893"/>
        <w:gridCol w:w="1627"/>
      </w:tblGrid>
      <w:tr w:rsidR="00437CFA" w14:paraId="7479E088" w14:textId="77777777" w:rsidTr="008F31E8">
        <w:trPr>
          <w:trHeight w:val="300"/>
        </w:trPr>
        <w:tc>
          <w:tcPr>
            <w:tcW w:w="3400" w:type="dxa"/>
            <w:gridSpan w:val="2"/>
            <w:tcBorders>
              <w:top w:val="nil"/>
              <w:left w:val="nil"/>
              <w:bottom w:val="nil"/>
              <w:right w:val="nil"/>
            </w:tcBorders>
            <w:noWrap/>
            <w:vAlign w:val="bottom"/>
            <w:hideMark/>
          </w:tcPr>
          <w:p w14:paraId="34443045" w14:textId="77777777" w:rsidR="00437CFA" w:rsidRDefault="00437CFA">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36FCA819" w14:textId="77777777" w:rsidR="00437CFA" w:rsidRDefault="00437CFA">
            <w:pPr>
              <w:rPr>
                <w:rFonts w:ascii="Calibri" w:hAnsi="Calibri" w:cs="Calibri"/>
                <w:color w:val="000000"/>
              </w:rPr>
            </w:pPr>
          </w:p>
        </w:tc>
        <w:tc>
          <w:tcPr>
            <w:tcW w:w="1611" w:type="dxa"/>
            <w:tcBorders>
              <w:top w:val="nil"/>
              <w:left w:val="nil"/>
              <w:bottom w:val="nil"/>
              <w:right w:val="nil"/>
            </w:tcBorders>
            <w:noWrap/>
            <w:vAlign w:val="bottom"/>
            <w:hideMark/>
          </w:tcPr>
          <w:p w14:paraId="15C9A98A" w14:textId="77777777" w:rsidR="00437CFA" w:rsidRDefault="00437CFA">
            <w:pPr>
              <w:rPr>
                <w:sz w:val="20"/>
                <w:szCs w:val="20"/>
              </w:rPr>
            </w:pPr>
          </w:p>
        </w:tc>
      </w:tr>
      <w:tr w:rsidR="00437CFA" w14:paraId="17A7293A"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A7B39A" w14:textId="77777777" w:rsidR="00437CFA" w:rsidRDefault="00437CFA">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A1C786" w14:textId="77777777" w:rsidR="00437CFA" w:rsidRDefault="00437CFA"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77062CF" w14:textId="77777777" w:rsidR="00437CFA" w:rsidRDefault="00437CFA"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D8B64CE" w14:textId="77777777" w:rsidR="00437CFA" w:rsidRDefault="00437CFA" w:rsidP="008F31E8">
            <w:pPr>
              <w:jc w:val="center"/>
              <w:rPr>
                <w:rFonts w:ascii="Calibri" w:hAnsi="Calibri" w:cs="Calibri"/>
                <w:b/>
                <w:bCs/>
                <w:color w:val="000000"/>
              </w:rPr>
            </w:pPr>
            <w:r>
              <w:rPr>
                <w:rFonts w:ascii="Calibri" w:hAnsi="Calibri" w:cs="Calibri"/>
                <w:b/>
                <w:bCs/>
                <w:color w:val="000000"/>
              </w:rPr>
              <w:t>Střední</w:t>
            </w:r>
          </w:p>
        </w:tc>
      </w:tr>
      <w:tr w:rsidR="00437CFA" w14:paraId="3E8BC8D1" w14:textId="77777777" w:rsidTr="00EB510D">
        <w:trPr>
          <w:trHeight w:val="300"/>
        </w:trPr>
        <w:tc>
          <w:tcPr>
            <w:tcW w:w="0" w:type="auto"/>
            <w:tcBorders>
              <w:top w:val="nil"/>
              <w:left w:val="single" w:sz="4" w:space="0" w:color="auto"/>
              <w:bottom w:val="single" w:sz="4" w:space="0" w:color="auto"/>
              <w:right w:val="single" w:sz="4" w:space="0" w:color="auto"/>
            </w:tcBorders>
            <w:noWrap/>
            <w:vAlign w:val="bottom"/>
            <w:hideMark/>
          </w:tcPr>
          <w:p w14:paraId="02E54940" w14:textId="77777777" w:rsidR="00437CFA" w:rsidRDefault="00437CFA">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tcPr>
          <w:p w14:paraId="3137D20D" w14:textId="5E6B615E" w:rsidR="00437CFA" w:rsidRPr="003F1734" w:rsidRDefault="00437CF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4582003C" w14:textId="23C52D66" w:rsidR="00437CFA" w:rsidRPr="003F1734" w:rsidRDefault="00437CF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74FE187" w14:textId="1F15D626" w:rsidR="00437CFA" w:rsidRPr="003F1734" w:rsidRDefault="00437CFA" w:rsidP="008F31E8">
            <w:pPr>
              <w:jc w:val="right"/>
              <w:rPr>
                <w:rFonts w:ascii="Calibri" w:hAnsi="Calibri" w:cs="Calibri"/>
                <w:color w:val="000000"/>
              </w:rPr>
            </w:pPr>
          </w:p>
        </w:tc>
      </w:tr>
      <w:tr w:rsidR="00437CFA" w14:paraId="44359B8D" w14:textId="77777777" w:rsidTr="00EB510D">
        <w:trPr>
          <w:trHeight w:val="300"/>
        </w:trPr>
        <w:tc>
          <w:tcPr>
            <w:tcW w:w="0" w:type="auto"/>
            <w:tcBorders>
              <w:top w:val="nil"/>
              <w:left w:val="single" w:sz="4" w:space="0" w:color="auto"/>
              <w:bottom w:val="single" w:sz="4" w:space="0" w:color="auto"/>
              <w:right w:val="single" w:sz="4" w:space="0" w:color="auto"/>
            </w:tcBorders>
            <w:noWrap/>
            <w:vAlign w:val="bottom"/>
            <w:hideMark/>
          </w:tcPr>
          <w:p w14:paraId="13A3CC6D" w14:textId="77777777" w:rsidR="00437CFA" w:rsidRDefault="00437CFA">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tcPr>
          <w:p w14:paraId="0DE6248D" w14:textId="7149A74A" w:rsidR="00437CFA" w:rsidRPr="003F1734" w:rsidRDefault="00437CF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5114FC7B" w14:textId="3E2D7761" w:rsidR="00437CFA" w:rsidRPr="003F1734" w:rsidRDefault="00437CF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D26CA8F" w14:textId="58833FA5" w:rsidR="00437CFA" w:rsidRPr="003F1734" w:rsidRDefault="00437CFA" w:rsidP="008F31E8">
            <w:pPr>
              <w:jc w:val="right"/>
              <w:rPr>
                <w:rFonts w:ascii="Calibri" w:hAnsi="Calibri" w:cs="Calibri"/>
                <w:color w:val="000000"/>
              </w:rPr>
            </w:pPr>
          </w:p>
        </w:tc>
      </w:tr>
      <w:tr w:rsidR="00437CFA" w14:paraId="6120D4C9" w14:textId="77777777" w:rsidTr="00EB510D">
        <w:trPr>
          <w:trHeight w:val="300"/>
        </w:trPr>
        <w:tc>
          <w:tcPr>
            <w:tcW w:w="0" w:type="auto"/>
            <w:tcBorders>
              <w:top w:val="nil"/>
              <w:left w:val="single" w:sz="4" w:space="0" w:color="auto"/>
              <w:bottom w:val="single" w:sz="4" w:space="0" w:color="auto"/>
              <w:right w:val="single" w:sz="4" w:space="0" w:color="auto"/>
            </w:tcBorders>
            <w:noWrap/>
            <w:vAlign w:val="bottom"/>
            <w:hideMark/>
          </w:tcPr>
          <w:p w14:paraId="579D54A0" w14:textId="77777777" w:rsidR="00437CFA" w:rsidRDefault="00437CFA">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tcPr>
          <w:p w14:paraId="49C46740" w14:textId="60465ACD" w:rsidR="00437CFA" w:rsidRPr="003F1734" w:rsidRDefault="00437CF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0EB9D606" w14:textId="73174F33" w:rsidR="00437CFA" w:rsidRPr="003F1734" w:rsidRDefault="00437CF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0A545A82" w14:textId="31A3C708" w:rsidR="00437CFA" w:rsidRPr="003F1734" w:rsidRDefault="00437CFA" w:rsidP="008F31E8">
            <w:pPr>
              <w:jc w:val="right"/>
              <w:rPr>
                <w:rFonts w:ascii="Calibri" w:hAnsi="Calibri" w:cs="Calibri"/>
                <w:color w:val="000000"/>
              </w:rPr>
            </w:pPr>
          </w:p>
        </w:tc>
      </w:tr>
      <w:tr w:rsidR="00437CFA" w14:paraId="64A49D86" w14:textId="77777777" w:rsidTr="00EB510D">
        <w:trPr>
          <w:trHeight w:val="300"/>
        </w:trPr>
        <w:tc>
          <w:tcPr>
            <w:tcW w:w="0" w:type="auto"/>
            <w:tcBorders>
              <w:top w:val="nil"/>
              <w:left w:val="single" w:sz="4" w:space="0" w:color="auto"/>
              <w:bottom w:val="single" w:sz="4" w:space="0" w:color="auto"/>
              <w:right w:val="single" w:sz="4" w:space="0" w:color="auto"/>
            </w:tcBorders>
            <w:noWrap/>
            <w:vAlign w:val="bottom"/>
            <w:hideMark/>
          </w:tcPr>
          <w:p w14:paraId="43901FA0" w14:textId="77777777" w:rsidR="00437CFA" w:rsidRDefault="00437CFA">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tcPr>
          <w:p w14:paraId="0B1A1997" w14:textId="4670E291" w:rsidR="00437CFA" w:rsidRPr="003F1734" w:rsidRDefault="00437CF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03546EE1" w14:textId="20A07338" w:rsidR="00437CFA" w:rsidRPr="003F1734" w:rsidRDefault="00437CF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592E69FB" w14:textId="06164D4F" w:rsidR="00437CFA" w:rsidRPr="003F1734" w:rsidRDefault="00437CFA" w:rsidP="008F31E8">
            <w:pPr>
              <w:jc w:val="right"/>
              <w:rPr>
                <w:rFonts w:ascii="Calibri" w:hAnsi="Calibri" w:cs="Calibri"/>
                <w:color w:val="000000"/>
              </w:rPr>
            </w:pPr>
          </w:p>
        </w:tc>
      </w:tr>
      <w:tr w:rsidR="00437CFA" w14:paraId="19484EF9" w14:textId="77777777" w:rsidTr="00EB510D">
        <w:trPr>
          <w:trHeight w:val="300"/>
        </w:trPr>
        <w:tc>
          <w:tcPr>
            <w:tcW w:w="0" w:type="auto"/>
            <w:tcBorders>
              <w:top w:val="nil"/>
              <w:left w:val="single" w:sz="4" w:space="0" w:color="auto"/>
              <w:bottom w:val="single" w:sz="4" w:space="0" w:color="auto"/>
              <w:right w:val="single" w:sz="4" w:space="0" w:color="auto"/>
            </w:tcBorders>
            <w:noWrap/>
            <w:vAlign w:val="bottom"/>
            <w:hideMark/>
          </w:tcPr>
          <w:p w14:paraId="1A3BF845" w14:textId="77777777" w:rsidR="00437CFA" w:rsidRDefault="00437CFA">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09B039B3" w14:textId="77777777" w:rsidR="00437CFA" w:rsidRPr="003F1734" w:rsidRDefault="00437CFA"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tcPr>
          <w:p w14:paraId="48A23835" w14:textId="5B63384A" w:rsidR="00437CFA" w:rsidRPr="003F1734" w:rsidRDefault="00437CFA" w:rsidP="008F31E8">
            <w:pPr>
              <w:jc w:val="right"/>
              <w:rPr>
                <w:rFonts w:ascii="Calibri" w:hAnsi="Calibri" w:cs="Calibri"/>
                <w:b/>
                <w:bCs/>
                <w:color w:val="000000"/>
              </w:rPr>
            </w:pPr>
          </w:p>
        </w:tc>
        <w:tc>
          <w:tcPr>
            <w:tcW w:w="1611" w:type="dxa"/>
            <w:tcBorders>
              <w:top w:val="nil"/>
              <w:left w:val="nil"/>
              <w:bottom w:val="single" w:sz="4" w:space="0" w:color="auto"/>
              <w:right w:val="single" w:sz="4" w:space="0" w:color="auto"/>
            </w:tcBorders>
            <w:noWrap/>
            <w:vAlign w:val="bottom"/>
          </w:tcPr>
          <w:p w14:paraId="12531B3B" w14:textId="73B0A97E" w:rsidR="00437CFA" w:rsidRPr="0085667F" w:rsidRDefault="00437CFA" w:rsidP="0085667F">
            <w:pPr>
              <w:ind w:left="495"/>
              <w:jc w:val="right"/>
              <w:rPr>
                <w:rFonts w:ascii="Calibri" w:hAnsi="Calibri" w:cs="Calibri"/>
                <w:b/>
                <w:bCs/>
                <w:color w:val="000000"/>
              </w:rPr>
            </w:pPr>
          </w:p>
        </w:tc>
      </w:tr>
    </w:tbl>
    <w:p w14:paraId="060A6434" w14:textId="77777777" w:rsidR="00437CFA" w:rsidRDefault="00437CFA">
      <w:pPr>
        <w:rPr>
          <w:rFonts w:ascii="Calibri" w:eastAsia="Times New Roman" w:hAnsi="Calibri" w:cs="Arial"/>
          <w:lang w:eastAsia="cs-CZ"/>
        </w:rPr>
      </w:pPr>
    </w:p>
    <w:p w14:paraId="57B2C5C7" w14:textId="77777777" w:rsidR="00437CFA" w:rsidRDefault="00437CFA">
      <w:pPr>
        <w:rPr>
          <w:rFonts w:ascii="Calibri" w:eastAsia="Times New Roman" w:hAnsi="Calibri" w:cs="Arial"/>
          <w:lang w:eastAsia="cs-CZ"/>
        </w:rPr>
      </w:pPr>
    </w:p>
    <w:p w14:paraId="005A478D" w14:textId="77777777" w:rsidR="00437CFA" w:rsidRPr="008F31E8" w:rsidRDefault="00437CFA"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437CFA" w:rsidRPr="00E53F97" w14:paraId="293D447C" w14:textId="77777777" w:rsidTr="00E53F97">
        <w:trPr>
          <w:trHeight w:val="300"/>
        </w:trPr>
        <w:tc>
          <w:tcPr>
            <w:tcW w:w="2096" w:type="dxa"/>
            <w:tcBorders>
              <w:top w:val="nil"/>
              <w:left w:val="nil"/>
              <w:bottom w:val="nil"/>
              <w:right w:val="nil"/>
            </w:tcBorders>
            <w:noWrap/>
            <w:vAlign w:val="bottom"/>
            <w:hideMark/>
          </w:tcPr>
          <w:p w14:paraId="2277A10D"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626A255F" w14:textId="77777777" w:rsidR="00437CFA" w:rsidRPr="00E53F97" w:rsidRDefault="00437CFA"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1D2897D6" w14:textId="77777777" w:rsidR="00437CFA" w:rsidRPr="00E53F97" w:rsidRDefault="00437CFA"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3955BCEB" w14:textId="77777777" w:rsidR="00437CFA" w:rsidRPr="00E53F97" w:rsidRDefault="00437CFA" w:rsidP="00E53F97">
            <w:pPr>
              <w:spacing w:after="0" w:line="240" w:lineRule="auto"/>
              <w:rPr>
                <w:rFonts w:ascii="Times New Roman" w:eastAsia="Times New Roman" w:hAnsi="Times New Roman" w:cs="Times New Roman"/>
                <w:sz w:val="20"/>
                <w:szCs w:val="20"/>
                <w:lang w:eastAsia="cs-CZ"/>
              </w:rPr>
            </w:pPr>
          </w:p>
        </w:tc>
      </w:tr>
      <w:tr w:rsidR="00437CFA" w:rsidRPr="00E53F97" w14:paraId="5886689D"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791CF8" w14:textId="77777777" w:rsidR="00437CFA" w:rsidRPr="00E53F97" w:rsidRDefault="00437CF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7591A5A" w14:textId="77777777" w:rsidR="00437CFA" w:rsidRPr="00E53F97" w:rsidRDefault="00437CF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054DABE" w14:textId="77777777" w:rsidR="00437CFA" w:rsidRPr="00E53F97" w:rsidRDefault="00437CF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258822A" w14:textId="77777777" w:rsidR="00437CFA" w:rsidRPr="00E53F97" w:rsidRDefault="00437CF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437CFA" w:rsidRPr="00E53F97" w14:paraId="66518C44"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37682355"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tcPr>
          <w:p w14:paraId="3120349E" w14:textId="1FAF0B52" w:rsidR="00437CFA" w:rsidRPr="003F1734" w:rsidRDefault="00437CF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3B8F68D7" w14:textId="3F73393C"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7B5D8F9" w14:textId="4737B6F9"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00562EE0"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617EF54D"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5E957AB0" w14:textId="1951FB5E" w:rsidR="00437CFA" w:rsidRPr="003F1734" w:rsidRDefault="00437CF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790AB79" w14:textId="1B234886"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40F0C42" w14:textId="42679747"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1D76D167"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0550F443"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tcPr>
          <w:p w14:paraId="0DB75A41" w14:textId="77777777" w:rsidR="00437CFA" w:rsidRPr="003F1734" w:rsidRDefault="00437CFA"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4E0E1C08" w14:textId="6ABFCF93" w:rsidR="00437CFA" w:rsidRPr="003F1734" w:rsidRDefault="00437CFA"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E563D35" w14:textId="33A20C54" w:rsidR="00437CFA" w:rsidRPr="003F1734" w:rsidRDefault="00437CFA" w:rsidP="003F1734">
            <w:pPr>
              <w:pStyle w:val="Odstavecseseznamem"/>
              <w:numPr>
                <w:ilvl w:val="0"/>
                <w:numId w:val="69"/>
              </w:numPr>
              <w:spacing w:after="0" w:line="240" w:lineRule="auto"/>
              <w:jc w:val="right"/>
              <w:rPr>
                <w:rFonts w:ascii="Calibri" w:hAnsi="Calibri" w:cs="Calibri"/>
                <w:color w:val="000000"/>
                <w:lang w:eastAsia="cs-CZ"/>
              </w:rPr>
            </w:pPr>
          </w:p>
        </w:tc>
      </w:tr>
      <w:tr w:rsidR="00437CFA" w:rsidRPr="00E53F97" w14:paraId="6BAA4131"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724C2A44"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6EFE6857" w14:textId="77777777" w:rsidR="00437CFA" w:rsidRPr="003F1734" w:rsidRDefault="00437CFA"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30F5B257" w14:textId="77777777" w:rsidR="00437CFA" w:rsidRPr="003F1734" w:rsidRDefault="00437CFA"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5CC77A43" w14:textId="77777777" w:rsidR="00437CFA" w:rsidRPr="003F1734" w:rsidRDefault="00437CFA" w:rsidP="003F1734">
            <w:pPr>
              <w:pStyle w:val="Odstavecseseznamem"/>
              <w:numPr>
                <w:ilvl w:val="0"/>
                <w:numId w:val="69"/>
              </w:numPr>
              <w:spacing w:after="0" w:line="240" w:lineRule="auto"/>
              <w:jc w:val="right"/>
              <w:rPr>
                <w:rFonts w:ascii="Calibri" w:hAnsi="Calibri" w:cs="Calibri"/>
                <w:color w:val="000000"/>
                <w:lang w:eastAsia="cs-CZ"/>
              </w:rPr>
            </w:pPr>
          </w:p>
        </w:tc>
      </w:tr>
      <w:tr w:rsidR="00437CFA" w:rsidRPr="00E53F97" w14:paraId="0F490AEF"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7D93E15E" w14:textId="77777777" w:rsidR="00437CFA" w:rsidRPr="00E53F97" w:rsidRDefault="00437CFA"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tcPr>
          <w:p w14:paraId="2D39DAFF" w14:textId="79250FEC" w:rsidR="00437CFA" w:rsidRPr="003F1734" w:rsidRDefault="00437CFA" w:rsidP="003F1734">
            <w:pPr>
              <w:spacing w:after="0" w:line="240" w:lineRule="auto"/>
              <w:ind w:left="360"/>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1F932841" w14:textId="0503F8A0"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B7C0141" w14:textId="5B8B2B2B"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12E1E2EC"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00353118"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tcPr>
          <w:p w14:paraId="13A91706" w14:textId="1DE0DB94" w:rsidR="00437CFA" w:rsidRPr="003F1734" w:rsidRDefault="00437CF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8E50896" w14:textId="5006EEDB"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5874EAB" w14:textId="0465CA1A"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65F316DB"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7ECB2151"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tcPr>
          <w:p w14:paraId="51CA195C" w14:textId="56548692" w:rsidR="00437CFA" w:rsidRPr="003F1734" w:rsidRDefault="00437CF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13BBEDB" w14:textId="4A5B33C6"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C15A8A1" w14:textId="3506363B"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223740A8"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39C0BED4" w14:textId="77777777" w:rsidR="00437CFA" w:rsidRPr="00E53F97" w:rsidRDefault="00437CF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tcPr>
          <w:p w14:paraId="32659ABE" w14:textId="03BB65A9" w:rsidR="00437CFA" w:rsidRPr="003F1734" w:rsidRDefault="00437CF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7EEE28B0" w14:textId="0D54AAF7" w:rsidR="00437CFA" w:rsidRPr="003F1734" w:rsidRDefault="00437CF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119BD496" w14:textId="27DE1191" w:rsidR="00437CFA" w:rsidRPr="003F1734" w:rsidRDefault="00437CFA" w:rsidP="003F1734">
            <w:pPr>
              <w:spacing w:after="0" w:line="240" w:lineRule="auto"/>
              <w:jc w:val="right"/>
              <w:rPr>
                <w:rFonts w:ascii="Calibri" w:eastAsia="Times New Roman" w:hAnsi="Calibri" w:cs="Calibri"/>
                <w:color w:val="000000"/>
                <w:lang w:eastAsia="cs-CZ"/>
              </w:rPr>
            </w:pPr>
          </w:p>
        </w:tc>
      </w:tr>
      <w:tr w:rsidR="00437CFA" w:rsidRPr="00E53F97" w14:paraId="70029CDF" w14:textId="77777777" w:rsidTr="00EB510D">
        <w:trPr>
          <w:trHeight w:val="300"/>
        </w:trPr>
        <w:tc>
          <w:tcPr>
            <w:tcW w:w="2096" w:type="dxa"/>
            <w:tcBorders>
              <w:top w:val="nil"/>
              <w:left w:val="single" w:sz="4" w:space="0" w:color="auto"/>
              <w:bottom w:val="single" w:sz="4" w:space="0" w:color="auto"/>
              <w:right w:val="single" w:sz="4" w:space="0" w:color="auto"/>
            </w:tcBorders>
            <w:noWrap/>
            <w:vAlign w:val="bottom"/>
            <w:hideMark/>
          </w:tcPr>
          <w:p w14:paraId="3CB82F6B" w14:textId="77777777" w:rsidR="00437CFA" w:rsidRPr="00E53F97" w:rsidRDefault="00437CF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00FFF32B" w14:textId="77777777" w:rsidR="00437CFA" w:rsidRPr="003F1734" w:rsidRDefault="00437CFA"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tcPr>
          <w:p w14:paraId="76205D2F" w14:textId="2CF0706D" w:rsidR="00437CFA" w:rsidRPr="003F1734" w:rsidRDefault="00437CFA" w:rsidP="003F1734">
            <w:pPr>
              <w:spacing w:after="0" w:line="240" w:lineRule="auto"/>
              <w:jc w:val="right"/>
              <w:rPr>
                <w:rFonts w:ascii="Calibri" w:eastAsia="Times New Roman" w:hAnsi="Calibri" w:cs="Calibri"/>
                <w:b/>
                <w:bCs/>
                <w:color w:val="000000"/>
                <w:lang w:eastAsia="cs-CZ"/>
              </w:rPr>
            </w:pPr>
          </w:p>
        </w:tc>
        <w:tc>
          <w:tcPr>
            <w:tcW w:w="1568" w:type="dxa"/>
            <w:tcBorders>
              <w:top w:val="nil"/>
              <w:left w:val="nil"/>
              <w:bottom w:val="single" w:sz="4" w:space="0" w:color="auto"/>
              <w:right w:val="single" w:sz="4" w:space="0" w:color="auto"/>
            </w:tcBorders>
            <w:noWrap/>
            <w:vAlign w:val="bottom"/>
          </w:tcPr>
          <w:p w14:paraId="52A3C67D" w14:textId="042F7D8E" w:rsidR="00437CFA" w:rsidRPr="003F1734" w:rsidRDefault="00437CFA" w:rsidP="003F1734">
            <w:pPr>
              <w:spacing w:after="0" w:line="240" w:lineRule="auto"/>
              <w:jc w:val="right"/>
              <w:rPr>
                <w:rFonts w:ascii="Calibri" w:eastAsia="Times New Roman" w:hAnsi="Calibri" w:cs="Calibri"/>
                <w:b/>
                <w:bCs/>
                <w:color w:val="000000"/>
                <w:lang w:eastAsia="cs-CZ"/>
              </w:rPr>
            </w:pPr>
          </w:p>
        </w:tc>
      </w:tr>
    </w:tbl>
    <w:p w14:paraId="2F4913B2" w14:textId="77777777" w:rsidR="00437CFA" w:rsidRDefault="00437CFA" w:rsidP="005E1E43">
      <w:pPr>
        <w:spacing w:after="0"/>
        <w:ind w:left="720"/>
        <w:jc w:val="both"/>
        <w:outlineLvl w:val="2"/>
        <w:rPr>
          <w:rFonts w:ascii="Calibri" w:eastAsia="Times New Roman" w:hAnsi="Calibri" w:cs="Arial"/>
          <w:lang w:eastAsia="cs-CZ"/>
        </w:rPr>
      </w:pPr>
    </w:p>
    <w:p w14:paraId="218550BC" w14:textId="77777777" w:rsidR="00437CFA" w:rsidRPr="005E1E43" w:rsidRDefault="00437CF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1276F133" w14:textId="77777777" w:rsidR="00437CFA" w:rsidRPr="005E1E43" w:rsidRDefault="00437CF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780FEE24" w14:textId="77777777" w:rsidR="00437CFA" w:rsidRPr="005E1E43" w:rsidRDefault="00437CFA"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162FD943" w14:textId="77777777" w:rsidR="00437CFA" w:rsidRPr="005E1E43" w:rsidRDefault="00437CF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4AE8E52" w14:textId="77777777" w:rsidR="00437CFA" w:rsidRPr="005E1E43" w:rsidRDefault="00437CF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7796B55B" w14:textId="77777777" w:rsidR="00437CFA" w:rsidRPr="005E1E43" w:rsidRDefault="00437CF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6BB84E88" w14:textId="77777777" w:rsidR="00437CFA" w:rsidRPr="005E1E43" w:rsidRDefault="00437CF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18A99598" w14:textId="77777777" w:rsidR="00437CFA" w:rsidRPr="005E1E43" w:rsidRDefault="00437CF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3CDCA822" w14:textId="77777777" w:rsidR="00437CFA" w:rsidRPr="005E1E43" w:rsidRDefault="00437CF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782AF7DD" w14:textId="77777777" w:rsidR="00437CFA" w:rsidRPr="005E1E43" w:rsidRDefault="00437CF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2373DF7C" w14:textId="77777777" w:rsidR="00437CFA" w:rsidRPr="005E1E43" w:rsidRDefault="00437CF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2F5157D0" w14:textId="77777777" w:rsidR="00437CFA" w:rsidRPr="005E1E43" w:rsidRDefault="00437CF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5EA29024" w14:textId="77777777" w:rsidR="00437CFA" w:rsidRPr="005E1E43" w:rsidRDefault="00437CF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1D809D28" w14:textId="77777777" w:rsidR="00437CFA" w:rsidRPr="005E1E43" w:rsidRDefault="00437CF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6A19C678" w14:textId="77777777" w:rsidR="00437CFA" w:rsidRPr="005E1E43" w:rsidRDefault="00437CFA" w:rsidP="005E1E43">
      <w:pPr>
        <w:spacing w:after="120" w:line="240" w:lineRule="auto"/>
        <w:ind w:left="426"/>
        <w:contextualSpacing/>
        <w:jc w:val="both"/>
        <w:rPr>
          <w:rFonts w:ascii="Calibri" w:eastAsia="MS Mincho" w:hAnsi="Calibri" w:cs="Arial"/>
        </w:rPr>
      </w:pPr>
    </w:p>
    <w:p w14:paraId="79DFD99C" w14:textId="77777777" w:rsidR="00437CFA" w:rsidRPr="005E1E43" w:rsidRDefault="00437CFA" w:rsidP="005E1E43">
      <w:pPr>
        <w:spacing w:after="120" w:line="240" w:lineRule="auto"/>
        <w:ind w:left="426"/>
        <w:contextualSpacing/>
        <w:jc w:val="both"/>
        <w:rPr>
          <w:rFonts w:ascii="Times New Roman" w:eastAsia="Times New Roman" w:hAnsi="Times New Roman" w:cs="Times New Roman"/>
        </w:rPr>
      </w:pPr>
    </w:p>
    <w:p w14:paraId="1BAC24B8" w14:textId="77777777" w:rsidR="00437CFA" w:rsidRPr="005E1E43" w:rsidRDefault="00437CFA"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360961D0" w14:textId="77777777" w:rsidR="00437CFA" w:rsidRPr="005E1E43" w:rsidRDefault="00437CFA"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20FA4088" w14:textId="77777777" w:rsidR="00437CFA" w:rsidRPr="005E1E43" w:rsidRDefault="00437CFA"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3B8A5E53" w14:textId="77777777" w:rsidR="00437CFA" w:rsidRPr="005E1E43" w:rsidRDefault="00437CFA"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4651637A" w14:textId="77777777" w:rsidR="00437CFA" w:rsidRPr="005E1E43" w:rsidRDefault="00437CF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3B622A8B" w14:textId="77777777" w:rsidR="00437CFA" w:rsidRPr="005E1E43" w:rsidRDefault="00437CF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4006ED90" w14:textId="77777777" w:rsidR="00437CFA" w:rsidRPr="005E1E43" w:rsidRDefault="00437CF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64D489B2" w14:textId="77777777" w:rsidR="00437CFA" w:rsidRPr="005E1E43" w:rsidRDefault="00437CF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48B37071" w14:textId="77777777" w:rsidR="00437CFA" w:rsidRPr="005E1E43" w:rsidRDefault="00437CFA"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26ED85C8" w14:textId="77777777" w:rsidR="00437CFA" w:rsidRPr="005E1E43" w:rsidRDefault="00437CFA"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0131FE43" w14:textId="77777777" w:rsidR="00437CFA" w:rsidRPr="005E1E43" w:rsidRDefault="00437CFA" w:rsidP="005E1E43">
      <w:pPr>
        <w:spacing w:after="120"/>
        <w:ind w:left="720" w:hanging="360"/>
        <w:contextualSpacing/>
        <w:jc w:val="both"/>
        <w:rPr>
          <w:rFonts w:ascii="Calibri" w:eastAsia="Times New Roman" w:hAnsi="Calibri" w:cs="Arial"/>
          <w:color w:val="000000"/>
          <w:lang w:eastAsia="ar-SA"/>
        </w:rPr>
      </w:pPr>
    </w:p>
    <w:p w14:paraId="75F3F115" w14:textId="77777777" w:rsidR="00437CFA" w:rsidRPr="005E1E43" w:rsidRDefault="00437CFA" w:rsidP="005E1E43">
      <w:pPr>
        <w:spacing w:after="120"/>
        <w:ind w:left="720" w:hanging="360"/>
        <w:contextualSpacing/>
        <w:jc w:val="both"/>
        <w:rPr>
          <w:rFonts w:ascii="Calibri" w:eastAsia="Times New Roman" w:hAnsi="Calibri" w:cs="Arial"/>
          <w:color w:val="000000"/>
          <w:lang w:eastAsia="ar-SA"/>
        </w:rPr>
      </w:pPr>
    </w:p>
    <w:p w14:paraId="2A749AEF"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56687BD8"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0163F014" w14:textId="77777777" w:rsidR="00437CFA" w:rsidRPr="005E1E43" w:rsidRDefault="00437CFA"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71FDE43D" w14:textId="77777777" w:rsidR="00437CFA" w:rsidRPr="005E1E43" w:rsidRDefault="00437CF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3429E21C" w14:textId="77777777" w:rsidR="00437CFA" w:rsidRPr="005E1E43" w:rsidRDefault="00437CF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45D42B68" w14:textId="77777777" w:rsidR="00437CFA" w:rsidRPr="005E1E43" w:rsidRDefault="00437CF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77920972" w14:textId="77777777" w:rsidR="00437CFA" w:rsidRPr="005E1E43" w:rsidRDefault="00437CFA"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3881645C"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56F3E055"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64F1FE95" w14:textId="77777777" w:rsidR="00437CFA" w:rsidRPr="005E1E43" w:rsidRDefault="00437CFA"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32C094F0" w14:textId="77777777" w:rsidR="00437CFA" w:rsidRPr="005E1E43" w:rsidRDefault="00437CFA"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211E89DD" w14:textId="77777777" w:rsidR="00437CFA" w:rsidRPr="00201CA3" w:rsidRDefault="00437CFA"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2B9BB27C" w14:textId="77777777" w:rsidR="00437CFA" w:rsidRPr="005E1E43" w:rsidRDefault="00437CF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0F1B18AA" w14:textId="77777777" w:rsidR="00437CFA" w:rsidRPr="005E1E43" w:rsidRDefault="00437CF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1D8DEE87" w14:textId="77777777" w:rsidR="00437CFA" w:rsidRDefault="00437CFA">
      <w:pPr>
        <w:rPr>
          <w:rFonts w:ascii="Calibri" w:eastAsia="Times New Roman" w:hAnsi="Calibri" w:cs="Arial"/>
          <w:b/>
          <w:bCs/>
          <w:color w:val="000000"/>
          <w:sz w:val="24"/>
          <w:szCs w:val="24"/>
          <w:lang w:eastAsia="ar-SA"/>
        </w:rPr>
      </w:pPr>
    </w:p>
    <w:p w14:paraId="6904706E" w14:textId="77777777" w:rsidR="00437CFA" w:rsidRPr="005E1E43" w:rsidRDefault="00437CFA"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6A5A1F6C" w14:textId="77777777" w:rsidR="00437CFA" w:rsidRPr="005E1E43" w:rsidRDefault="00437CFA"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1E746EEB" w14:textId="77777777" w:rsidR="00437CFA" w:rsidRPr="005E1E43" w:rsidRDefault="00437CFA"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73CFEA6F" w14:textId="77777777" w:rsidR="00437CFA" w:rsidRPr="005E1E43" w:rsidRDefault="00437CF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0A61A5F4" w14:textId="77777777" w:rsidR="00437CFA" w:rsidRPr="005E1E43" w:rsidRDefault="00437CF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5F283E68" w14:textId="77777777" w:rsidR="00437CFA" w:rsidRPr="005E1E43" w:rsidRDefault="00437CF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25EF0189" w14:textId="77777777" w:rsidR="00437CFA" w:rsidRPr="005E1E43" w:rsidRDefault="00437CF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5D1AB1DF" w14:textId="77777777" w:rsidR="00437CFA" w:rsidRPr="005E1E43" w:rsidRDefault="00437CFA" w:rsidP="005E1E43">
      <w:pPr>
        <w:spacing w:after="120" w:line="240" w:lineRule="auto"/>
        <w:ind w:left="425"/>
        <w:contextualSpacing/>
        <w:jc w:val="both"/>
        <w:rPr>
          <w:rFonts w:ascii="Times New Roman" w:eastAsia="Times New Roman" w:hAnsi="Times New Roman" w:cs="Arial"/>
        </w:rPr>
      </w:pPr>
    </w:p>
    <w:p w14:paraId="64268E54" w14:textId="77777777" w:rsidR="00437CFA" w:rsidRPr="005E1E43" w:rsidRDefault="00437CFA" w:rsidP="005E1E43">
      <w:pPr>
        <w:spacing w:after="120" w:line="240" w:lineRule="auto"/>
        <w:ind w:left="425"/>
        <w:contextualSpacing/>
        <w:jc w:val="both"/>
        <w:rPr>
          <w:rFonts w:ascii="Times New Roman" w:eastAsia="Times New Roman" w:hAnsi="Times New Roman" w:cs="Arial"/>
        </w:rPr>
      </w:pPr>
    </w:p>
    <w:p w14:paraId="362F0FF2"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4683922D" w14:textId="77777777" w:rsidR="00437CFA" w:rsidRPr="005E1E43" w:rsidRDefault="00437CF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408BAB54"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49388D55"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1992CB3A"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2F8B1F47"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073BAAE8"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17183E08"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181071C8" w14:textId="77777777" w:rsidR="00437CFA" w:rsidRPr="005E1E43" w:rsidRDefault="00437CF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49E9B3F6" w14:textId="77777777" w:rsidR="00437CFA" w:rsidRPr="005E1E43" w:rsidRDefault="00437CFA" w:rsidP="005E1E43">
      <w:pPr>
        <w:spacing w:after="120"/>
        <w:ind w:firstLine="709"/>
        <w:jc w:val="both"/>
        <w:rPr>
          <w:rFonts w:ascii="Tahoma" w:eastAsia="Times New Roman" w:hAnsi="Tahoma" w:cs="Times New Roman"/>
          <w:sz w:val="16"/>
          <w:szCs w:val="16"/>
          <w:lang w:eastAsia="cs-CZ"/>
        </w:rPr>
      </w:pPr>
    </w:p>
    <w:p w14:paraId="25A9C7F3" w14:textId="77777777" w:rsidR="00437CFA" w:rsidRPr="005E1E43" w:rsidRDefault="00437CFA" w:rsidP="005E1E43">
      <w:pPr>
        <w:rPr>
          <w:rFonts w:ascii="Calibri" w:eastAsia="Calibri" w:hAnsi="Calibri" w:cs="Calibri"/>
          <w:color w:val="000000"/>
          <w:lang w:eastAsia="ar-SA"/>
        </w:rPr>
      </w:pPr>
    </w:p>
    <w:p w14:paraId="7D68781C" w14:textId="77777777" w:rsidR="00437CFA" w:rsidRPr="005E1E43" w:rsidRDefault="00437CFA"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2BD4CB46" w14:textId="77777777" w:rsidR="00437CFA" w:rsidRPr="005E1E43" w:rsidRDefault="00437CF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1D871513" w14:textId="77777777" w:rsidR="00437CFA" w:rsidRPr="005E1E43" w:rsidRDefault="00437CF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624028CE" w14:textId="77777777" w:rsidR="00437CFA" w:rsidRPr="005E1E43" w:rsidRDefault="00437CF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26A5BCC" w14:textId="77777777" w:rsidR="00437CFA" w:rsidRPr="005E1E43" w:rsidRDefault="00437CF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5508FB4" w14:textId="77777777" w:rsidR="00437CFA" w:rsidRPr="005E1E43" w:rsidRDefault="00437CFA"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0EA5CA21" w14:textId="77777777" w:rsidR="00437CFA" w:rsidRPr="005E1E43" w:rsidRDefault="00437CF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09481062" w14:textId="77777777" w:rsidR="00437CFA" w:rsidRPr="005E1E43" w:rsidRDefault="00437CF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437CFA" w:rsidRPr="005E1E43" w14:paraId="1A0B3C19" w14:textId="77777777" w:rsidTr="006D0FF5">
        <w:tc>
          <w:tcPr>
            <w:tcW w:w="4678" w:type="dxa"/>
          </w:tcPr>
          <w:p w14:paraId="2CA94284" w14:textId="77777777" w:rsidR="00437CFA" w:rsidRPr="00201CA3" w:rsidRDefault="00437CFA" w:rsidP="005E1E43">
            <w:pPr>
              <w:spacing w:line="276" w:lineRule="auto"/>
              <w:rPr>
                <w:rFonts w:ascii="Calibri" w:eastAsia="Times New Roman" w:hAnsi="Calibri" w:cs="Arial"/>
                <w:lang w:eastAsia="ar-SA"/>
              </w:rPr>
            </w:pPr>
          </w:p>
          <w:p w14:paraId="74697D4B"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0DF8A10F" w14:textId="77777777" w:rsidR="00437CFA" w:rsidRPr="001654B1" w:rsidRDefault="00437CFA" w:rsidP="005E1E43">
            <w:pPr>
              <w:spacing w:line="276" w:lineRule="auto"/>
              <w:rPr>
                <w:rFonts w:ascii="Calibri" w:eastAsia="Times New Roman" w:hAnsi="Calibri" w:cs="Arial"/>
                <w:lang w:eastAsia="ar-SA"/>
              </w:rPr>
            </w:pPr>
          </w:p>
          <w:p w14:paraId="164764D7" w14:textId="77777777" w:rsidR="00437CFA" w:rsidRPr="001654B1" w:rsidRDefault="00437CFA" w:rsidP="005E1E43">
            <w:pPr>
              <w:spacing w:line="276" w:lineRule="auto"/>
              <w:rPr>
                <w:rFonts w:ascii="Calibri" w:eastAsia="Times New Roman" w:hAnsi="Calibri" w:cs="Arial"/>
                <w:lang w:eastAsia="ar-SA"/>
              </w:rPr>
            </w:pPr>
          </w:p>
          <w:p w14:paraId="4BF43BE9" w14:textId="77777777" w:rsidR="00437CFA" w:rsidRPr="001654B1" w:rsidRDefault="00437CFA" w:rsidP="005E1E43">
            <w:pPr>
              <w:spacing w:line="276" w:lineRule="auto"/>
              <w:rPr>
                <w:rFonts w:ascii="Calibri" w:eastAsia="Times New Roman" w:hAnsi="Calibri" w:cs="Arial"/>
                <w:lang w:eastAsia="ar-SA"/>
              </w:rPr>
            </w:pPr>
          </w:p>
          <w:p w14:paraId="73AB2F23"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093C3539"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65D28793"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58A7F143"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3DDF6F88"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3FC6863A" w14:textId="77777777" w:rsidR="00437CFA" w:rsidRPr="001654B1" w:rsidRDefault="00437CFA" w:rsidP="005E1E43">
            <w:pPr>
              <w:spacing w:line="276" w:lineRule="auto"/>
              <w:rPr>
                <w:rFonts w:ascii="Calibri" w:eastAsia="Times New Roman" w:hAnsi="Calibri" w:cs="Arial"/>
                <w:lang w:eastAsia="ar-SA"/>
              </w:rPr>
            </w:pPr>
          </w:p>
          <w:p w14:paraId="3E184666"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4517D0A" w14:textId="77777777" w:rsidR="00437CFA" w:rsidRPr="001654B1" w:rsidRDefault="00437CFA" w:rsidP="005E1E43">
            <w:pPr>
              <w:spacing w:line="276" w:lineRule="auto"/>
              <w:rPr>
                <w:rFonts w:ascii="Calibri" w:eastAsia="Times New Roman" w:hAnsi="Calibri" w:cs="Arial"/>
                <w:lang w:eastAsia="ar-SA"/>
              </w:rPr>
            </w:pPr>
          </w:p>
          <w:p w14:paraId="0536B523" w14:textId="77777777" w:rsidR="00437CFA" w:rsidRPr="001654B1" w:rsidRDefault="00437CFA" w:rsidP="005E1E43">
            <w:pPr>
              <w:spacing w:line="276" w:lineRule="auto"/>
              <w:rPr>
                <w:rFonts w:ascii="Calibri" w:eastAsia="Times New Roman" w:hAnsi="Calibri" w:cs="Arial"/>
                <w:lang w:eastAsia="ar-SA"/>
              </w:rPr>
            </w:pPr>
          </w:p>
          <w:p w14:paraId="1ECFC4A7" w14:textId="77777777" w:rsidR="00437CFA" w:rsidRPr="001654B1" w:rsidRDefault="00437CFA" w:rsidP="005E1E43">
            <w:pPr>
              <w:spacing w:line="276" w:lineRule="auto"/>
              <w:rPr>
                <w:rFonts w:ascii="Calibri" w:eastAsia="Times New Roman" w:hAnsi="Calibri" w:cs="Arial"/>
                <w:lang w:eastAsia="ar-SA"/>
              </w:rPr>
            </w:pPr>
          </w:p>
          <w:p w14:paraId="23B7F257"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62D8CBDF" w14:textId="77777777" w:rsidR="00437CFA" w:rsidRPr="001654B1" w:rsidRDefault="00437CF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321202CE" w14:textId="77777777" w:rsidR="00437CFA" w:rsidRPr="001654B1" w:rsidRDefault="00437CF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Mateřská škola, Uherský Brod, Obchodní 1639, okres Uherské Hradiště</w:t>
            </w:r>
          </w:p>
          <w:p w14:paraId="780255AD" w14:textId="77777777" w:rsidR="00437CFA" w:rsidRPr="001654B1" w:rsidRDefault="00437CF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Bc. RENATA NESÁZALOVÁ</w:t>
            </w:r>
          </w:p>
          <w:p w14:paraId="0C9DBA92" w14:textId="77777777" w:rsidR="00437CFA" w:rsidRPr="00E07AB7" w:rsidRDefault="00437CF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Ředitelka</w:t>
            </w:r>
          </w:p>
        </w:tc>
      </w:tr>
      <w:tr w:rsidR="00437CFA" w:rsidRPr="005E1E43" w14:paraId="33225693" w14:textId="77777777" w:rsidTr="006D0FF5">
        <w:tc>
          <w:tcPr>
            <w:tcW w:w="4678" w:type="dxa"/>
          </w:tcPr>
          <w:p w14:paraId="3C0D4261" w14:textId="77777777" w:rsidR="00437CFA" w:rsidRPr="005E1E43" w:rsidRDefault="00437CFA" w:rsidP="005E1E43">
            <w:pPr>
              <w:spacing w:line="276" w:lineRule="auto"/>
              <w:rPr>
                <w:rFonts w:ascii="Calibri" w:eastAsia="Times New Roman" w:hAnsi="Calibri" w:cs="Arial"/>
                <w:lang w:eastAsia="ar-SA"/>
              </w:rPr>
            </w:pPr>
          </w:p>
        </w:tc>
        <w:tc>
          <w:tcPr>
            <w:tcW w:w="4820" w:type="dxa"/>
          </w:tcPr>
          <w:p w14:paraId="63B85F06" w14:textId="77777777" w:rsidR="00437CFA" w:rsidRPr="005E1E43" w:rsidRDefault="00437CFA" w:rsidP="005E1E43">
            <w:pPr>
              <w:spacing w:line="276" w:lineRule="auto"/>
              <w:rPr>
                <w:rFonts w:ascii="Calibri" w:eastAsia="Times New Roman" w:hAnsi="Calibri" w:cs="Arial"/>
                <w:lang w:eastAsia="ar-SA"/>
              </w:rPr>
            </w:pPr>
          </w:p>
        </w:tc>
      </w:tr>
    </w:tbl>
    <w:p w14:paraId="476026BC" w14:textId="77777777" w:rsidR="00437CFA" w:rsidRPr="005E1E43" w:rsidRDefault="00437CFA"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4EBAD243" w14:textId="77777777" w:rsidR="00437CFA" w:rsidRPr="005E1E43" w:rsidRDefault="00437CFA" w:rsidP="005E1E43">
      <w:pPr>
        <w:rPr>
          <w:rFonts w:ascii="Calibri" w:eastAsia="Calibri" w:hAnsi="Calibri" w:cs="Calibri"/>
          <w:b/>
          <w:bCs/>
          <w:color w:val="000000"/>
          <w:lang w:eastAsia="ar-SA"/>
        </w:rPr>
      </w:pPr>
    </w:p>
    <w:p w14:paraId="7021379E" w14:textId="77777777" w:rsidR="00437CFA" w:rsidRPr="001259A9" w:rsidRDefault="00437CFA"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437CFA" w:rsidRPr="001259A9" w14:paraId="4A608C0C" w14:textId="77777777" w:rsidTr="006D0FF5">
        <w:trPr>
          <w:trHeight w:val="300"/>
        </w:trPr>
        <w:tc>
          <w:tcPr>
            <w:tcW w:w="7320" w:type="dxa"/>
          </w:tcPr>
          <w:p w14:paraId="455F9C16"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7FF3E336"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437CFA" w:rsidRPr="001259A9" w14:paraId="2B3F5222" w14:textId="77777777" w:rsidTr="006D0FF5">
        <w:trPr>
          <w:trHeight w:val="300"/>
        </w:trPr>
        <w:tc>
          <w:tcPr>
            <w:tcW w:w="7320" w:type="dxa"/>
          </w:tcPr>
          <w:p w14:paraId="74E984E5"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3D9C2B8B"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437CFA" w:rsidRPr="001259A9" w14:paraId="3BCAFB42" w14:textId="77777777" w:rsidTr="00D40021">
        <w:trPr>
          <w:trHeight w:val="300"/>
        </w:trPr>
        <w:tc>
          <w:tcPr>
            <w:tcW w:w="7320" w:type="dxa"/>
          </w:tcPr>
          <w:p w14:paraId="373EA5A3" w14:textId="77777777" w:rsidR="00437CFA" w:rsidRPr="00A553EC" w:rsidRDefault="00437CFA"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79653C66" w14:textId="77777777" w:rsidR="00437CFA" w:rsidRPr="00A553EC" w:rsidRDefault="00437CFA"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437CFA" w:rsidRPr="001259A9" w14:paraId="4EB57FAE" w14:textId="77777777" w:rsidTr="006D0FF5">
        <w:trPr>
          <w:trHeight w:val="300"/>
        </w:trPr>
        <w:tc>
          <w:tcPr>
            <w:tcW w:w="7320" w:type="dxa"/>
          </w:tcPr>
          <w:p w14:paraId="7515E386"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63C66FA2"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437CFA" w:rsidRPr="001259A9" w14:paraId="58AFE680" w14:textId="77777777" w:rsidTr="006D0FF5">
        <w:trPr>
          <w:trHeight w:val="300"/>
        </w:trPr>
        <w:tc>
          <w:tcPr>
            <w:tcW w:w="7320" w:type="dxa"/>
          </w:tcPr>
          <w:p w14:paraId="23F00A48"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4AC73E5A"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437CFA" w:rsidRPr="001259A9" w14:paraId="5D783D64" w14:textId="77777777" w:rsidTr="006D0FF5">
        <w:trPr>
          <w:trHeight w:val="300"/>
        </w:trPr>
        <w:tc>
          <w:tcPr>
            <w:tcW w:w="7320" w:type="dxa"/>
          </w:tcPr>
          <w:p w14:paraId="6F2A943D"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4F85DCE6"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437CFA" w:rsidRPr="001259A9" w14:paraId="6FBC5692" w14:textId="77777777" w:rsidTr="006D0FF5">
        <w:trPr>
          <w:trHeight w:val="300"/>
        </w:trPr>
        <w:tc>
          <w:tcPr>
            <w:tcW w:w="7320" w:type="dxa"/>
          </w:tcPr>
          <w:p w14:paraId="68D81D5C"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45EB522D" w14:textId="77777777" w:rsidR="00437CFA" w:rsidRPr="00A553EC" w:rsidRDefault="00437CF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437CFA" w:rsidRPr="001259A9" w14:paraId="5FEEF6FA" w14:textId="77777777" w:rsidTr="006D0FF5">
        <w:trPr>
          <w:trHeight w:val="300"/>
        </w:trPr>
        <w:tc>
          <w:tcPr>
            <w:tcW w:w="7320" w:type="dxa"/>
          </w:tcPr>
          <w:p w14:paraId="27521128"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1268F796" w14:textId="77777777" w:rsidR="00437CFA" w:rsidRPr="00A553EC" w:rsidRDefault="00437CFA"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6D85CB94" w14:textId="77777777" w:rsidR="00437CFA" w:rsidRPr="005E1E43" w:rsidRDefault="00437CFA" w:rsidP="005E1E43">
      <w:pPr>
        <w:suppressAutoHyphens/>
        <w:spacing w:after="240" w:line="276" w:lineRule="auto"/>
        <w:rPr>
          <w:rFonts w:ascii="Calibri" w:eastAsia="Times New Roman" w:hAnsi="Calibri" w:cs="Arial"/>
          <w:lang w:eastAsia="ar-SA"/>
        </w:rPr>
      </w:pPr>
    </w:p>
    <w:p w14:paraId="40DFE926" w14:textId="77777777" w:rsidR="00437CFA" w:rsidRPr="00201CA3" w:rsidRDefault="00437CFA"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69001E5C" w14:textId="77777777" w:rsidR="00437CFA" w:rsidRDefault="00437CFA"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44999B2B" w14:textId="77777777" w:rsidR="00437CFA" w:rsidRPr="005E1E43" w:rsidRDefault="00437CFA"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53E2A21A" w14:textId="77777777" w:rsidR="00437CFA" w:rsidRPr="005E1E43" w:rsidRDefault="00437CFA"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3871A559" w14:textId="77777777" w:rsidR="00437CFA" w:rsidRPr="005E1E43" w:rsidRDefault="00437CFA"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7AE1225E" w14:textId="77777777" w:rsidR="00437CFA" w:rsidRPr="005E1E43" w:rsidRDefault="00437CFA"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29F06497" w14:textId="77777777" w:rsidR="00437CFA" w:rsidRPr="005E1E43" w:rsidRDefault="00437CF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064FB2D3" w14:textId="77777777" w:rsidR="00437CFA" w:rsidRPr="005E1E43" w:rsidRDefault="00437CF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3A8C0472" w14:textId="77777777" w:rsidR="00437CFA" w:rsidRPr="005E1E43" w:rsidRDefault="00437CFA" w:rsidP="005E1E43">
      <w:pPr>
        <w:spacing w:after="0" w:line="240" w:lineRule="auto"/>
        <w:ind w:left="709"/>
        <w:jc w:val="both"/>
        <w:rPr>
          <w:rFonts w:ascii="Calibri" w:eastAsia="Calibri" w:hAnsi="Calibri" w:cs="Arial"/>
        </w:rPr>
      </w:pPr>
    </w:p>
    <w:p w14:paraId="2893614F" w14:textId="77777777" w:rsidR="00437CFA" w:rsidRPr="005E1E43" w:rsidRDefault="00437CFA"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3908C9A6" w14:textId="77777777" w:rsidR="00437CFA" w:rsidRPr="005E1E43" w:rsidRDefault="00437CF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212CB6C1" w14:textId="77777777" w:rsidR="00437CFA" w:rsidRPr="005E1E43" w:rsidRDefault="00437CF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4B6BCE99" w14:textId="77777777" w:rsidR="00437CFA" w:rsidRPr="005E1E43" w:rsidRDefault="00437CF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01E19E2D" w14:textId="77777777" w:rsidR="00437CFA" w:rsidRPr="005E1E43" w:rsidRDefault="00437CFA" w:rsidP="005E1E43">
      <w:pPr>
        <w:spacing w:after="0" w:line="240" w:lineRule="auto"/>
        <w:ind w:left="709"/>
        <w:jc w:val="both"/>
        <w:rPr>
          <w:rFonts w:ascii="Times New Roman" w:eastAsia="Calibri" w:hAnsi="Times New Roman" w:cs="Arial"/>
          <w:sz w:val="24"/>
          <w:highlight w:val="yellow"/>
        </w:rPr>
      </w:pPr>
    </w:p>
    <w:p w14:paraId="477DC89D" w14:textId="77777777" w:rsidR="00437CFA" w:rsidRPr="005E1E43" w:rsidRDefault="00437CFA"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3F860594" w14:textId="77777777" w:rsidR="00437CFA" w:rsidRPr="005E1E43" w:rsidRDefault="00437CFA"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1390E7BE" w14:textId="77777777" w:rsidR="00437CFA" w:rsidRPr="005E1E43" w:rsidRDefault="00437CFA"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391729DB" w14:textId="77777777" w:rsidR="00437CFA" w:rsidRPr="00201CA3" w:rsidRDefault="00437CF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48AD9B7D" w14:textId="77777777" w:rsidR="00437CFA" w:rsidRPr="001259A9" w:rsidRDefault="00437CF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4732D796" w14:textId="77777777" w:rsidR="00437CFA" w:rsidRPr="00201CA3" w:rsidRDefault="00437CFA"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048572C8" w14:textId="77777777" w:rsidR="00437CFA" w:rsidRPr="00201CA3" w:rsidRDefault="00437CFA"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0E911B9B" w14:textId="77777777" w:rsidR="00437CFA" w:rsidRPr="001259A9" w:rsidRDefault="00437CF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6FDCBE94" w14:textId="77777777" w:rsidR="00437CFA" w:rsidRPr="001259A9" w:rsidRDefault="00437CF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02883997" w14:textId="77777777" w:rsidR="00437CFA" w:rsidRPr="001259A9" w:rsidRDefault="00437CF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3F161937" w14:textId="77777777" w:rsidR="00437CFA" w:rsidRPr="00201CA3" w:rsidRDefault="00437CFA"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4DD23823" w14:textId="77777777" w:rsidR="00437CFA" w:rsidRPr="005E1E43" w:rsidRDefault="00437CFA" w:rsidP="005E1E43">
      <w:pPr>
        <w:spacing w:after="120" w:line="240" w:lineRule="auto"/>
        <w:jc w:val="both"/>
        <w:rPr>
          <w:rFonts w:ascii="Calibri" w:eastAsia="Calibri" w:hAnsi="Calibri" w:cs="Arial"/>
          <w:b/>
          <w:bCs/>
        </w:rPr>
      </w:pPr>
    </w:p>
    <w:p w14:paraId="14C06970" w14:textId="77777777" w:rsidR="00437CFA" w:rsidRPr="005E1E43" w:rsidRDefault="00437CF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3499B58B" w14:textId="77777777" w:rsidR="00437CFA" w:rsidRPr="005E1E43" w:rsidRDefault="00437CF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07D676C2" w14:textId="77777777" w:rsidR="00437CFA" w:rsidRPr="005E1E43" w:rsidRDefault="00437CF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49969B1C" w14:textId="77777777" w:rsidR="00437CFA" w:rsidRPr="005E1E43" w:rsidRDefault="00437CFA"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31C96893" w14:textId="77777777" w:rsidR="00437CFA" w:rsidRPr="005E1E43" w:rsidRDefault="00437CFA" w:rsidP="005E1E43">
      <w:pPr>
        <w:spacing w:line="276" w:lineRule="auto"/>
        <w:jc w:val="both"/>
        <w:rPr>
          <w:rFonts w:ascii="Calibri" w:eastAsia="Calibri" w:hAnsi="Calibri" w:cs="Calibri"/>
          <w:b/>
          <w:bCs/>
          <w:color w:val="000000"/>
          <w:lang w:eastAsia="ar-SA"/>
        </w:rPr>
      </w:pPr>
    </w:p>
    <w:p w14:paraId="16BD9C5B" w14:textId="77777777" w:rsidR="00437CFA" w:rsidRPr="005E1E43" w:rsidRDefault="00437CFA" w:rsidP="005E1E43">
      <w:pPr>
        <w:spacing w:line="276" w:lineRule="auto"/>
        <w:jc w:val="both"/>
        <w:rPr>
          <w:rFonts w:ascii="Calibri" w:eastAsia="Calibri" w:hAnsi="Calibri" w:cs="Calibri"/>
          <w:b/>
          <w:bCs/>
          <w:color w:val="000000"/>
          <w:lang w:eastAsia="ar-SA"/>
        </w:rPr>
      </w:pPr>
    </w:p>
    <w:p w14:paraId="03241772" w14:textId="77777777" w:rsidR="00437CFA" w:rsidRPr="005E1E43" w:rsidRDefault="00437CFA" w:rsidP="005E1E43">
      <w:pPr>
        <w:spacing w:line="276" w:lineRule="auto"/>
        <w:jc w:val="both"/>
        <w:rPr>
          <w:rFonts w:ascii="Calibri" w:eastAsia="Calibri" w:hAnsi="Calibri" w:cs="Calibri"/>
          <w:b/>
          <w:bCs/>
          <w:color w:val="000000"/>
          <w:lang w:eastAsia="ar-SA"/>
        </w:rPr>
      </w:pPr>
    </w:p>
    <w:p w14:paraId="1AA40F5D" w14:textId="77777777" w:rsidR="00437CFA" w:rsidRPr="005E1E43" w:rsidRDefault="00437CFA" w:rsidP="005E1E43">
      <w:pPr>
        <w:spacing w:line="276" w:lineRule="auto"/>
        <w:jc w:val="both"/>
        <w:rPr>
          <w:rFonts w:ascii="Calibri" w:eastAsia="Calibri" w:hAnsi="Calibri" w:cs="Calibri"/>
          <w:b/>
          <w:bCs/>
          <w:color w:val="000000"/>
          <w:lang w:eastAsia="ar-SA"/>
        </w:rPr>
      </w:pPr>
    </w:p>
    <w:p w14:paraId="22EE16F1" w14:textId="77777777" w:rsidR="00437CFA" w:rsidRPr="005E1E43" w:rsidRDefault="00437CFA" w:rsidP="005E1E43">
      <w:pPr>
        <w:spacing w:line="276" w:lineRule="auto"/>
        <w:jc w:val="both"/>
        <w:rPr>
          <w:rFonts w:ascii="Calibri" w:eastAsia="Calibri" w:hAnsi="Calibri" w:cs="Calibri"/>
          <w:b/>
          <w:bCs/>
          <w:color w:val="000000"/>
          <w:lang w:eastAsia="ar-SA"/>
        </w:rPr>
      </w:pPr>
    </w:p>
    <w:p w14:paraId="22F2CFDA" w14:textId="77777777" w:rsidR="00437CFA" w:rsidRPr="005E1E43" w:rsidRDefault="00437CFA"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581CAFCB" w14:textId="77777777" w:rsidR="00437CFA" w:rsidRPr="005E1E43" w:rsidRDefault="00437CFA"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5F90D12A" w14:textId="77777777" w:rsidR="00437CFA" w:rsidRPr="005E1E43" w:rsidRDefault="00437CFA"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51B530F7"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2F246579" w14:textId="77777777" w:rsidR="00437CFA" w:rsidRPr="005E1E43" w:rsidRDefault="00437CFA"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2255A275"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4A4631A1" w14:textId="77777777" w:rsidR="00437CFA" w:rsidRPr="005E1E43" w:rsidRDefault="00437CFA"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01EAC023"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25D9BF9B" w14:textId="77777777" w:rsidR="00437CFA" w:rsidRPr="005E1E43" w:rsidRDefault="00437CF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2D985C54"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491AC3C7"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22D58B27"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7548132F"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6914DEDE"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60B6E0F5"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62E10FF0"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6F2D4A78" w14:textId="77777777" w:rsidR="00437CFA" w:rsidRPr="005E1E43" w:rsidRDefault="00437CF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378EC718" w14:textId="77777777" w:rsidR="00437CFA" w:rsidRPr="005E1E43" w:rsidRDefault="00437CF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7B78B3F7"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609CF92C" w14:textId="77777777" w:rsidR="00437CFA" w:rsidRPr="005E1E43" w:rsidRDefault="00437CF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0110034D"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5E5B4D2E" w14:textId="77777777" w:rsidR="00437CFA" w:rsidRPr="005E1E43" w:rsidRDefault="00437CF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6FACBDFE"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5101AE3C" w14:textId="77777777" w:rsidR="00437CFA" w:rsidRPr="005E1E43" w:rsidRDefault="00437CF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48862277"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5CE513EF" w14:textId="77777777" w:rsidR="00437CFA" w:rsidRPr="005E1E43" w:rsidRDefault="00437CF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5B3A9675" w14:textId="77777777" w:rsidR="00437CFA" w:rsidRPr="005E1E43" w:rsidRDefault="00437CF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71AAF026" w14:textId="77777777" w:rsidR="00437CFA" w:rsidRDefault="00437CFA"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45CBE65A" w14:textId="77777777" w:rsidR="00437CFA" w:rsidRPr="00CF3CFA" w:rsidRDefault="00437CFA"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3A50F0F9" w14:textId="77777777" w:rsidR="00437CFA" w:rsidRPr="00AF4526" w:rsidRDefault="00437CFA" w:rsidP="00AF4526">
      <w:pPr>
        <w:spacing w:after="0"/>
        <w:jc w:val="both"/>
        <w:rPr>
          <w:rFonts w:ascii="Calibri" w:eastAsia="Calibri" w:hAnsi="Calibri" w:cs="Calibri"/>
          <w:color w:val="000000"/>
          <w:sz w:val="24"/>
          <w:szCs w:val="24"/>
          <w:highlight w:val="yellow"/>
          <w:lang w:eastAsia="ar-SA"/>
        </w:rPr>
      </w:pPr>
    </w:p>
    <w:p w14:paraId="4E3957F9" w14:textId="77777777" w:rsidR="00437CFA" w:rsidRPr="005E1E43" w:rsidRDefault="00437CF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08F0CB4B" w14:textId="77777777" w:rsidR="00437CFA" w:rsidRPr="005E1E43" w:rsidRDefault="00437CFA" w:rsidP="005E1E43">
      <w:pPr>
        <w:spacing w:after="0"/>
        <w:jc w:val="both"/>
        <w:rPr>
          <w:rFonts w:ascii="Calibri" w:eastAsia="Calibri" w:hAnsi="Calibri" w:cs="Calibri"/>
          <w:color w:val="000000"/>
          <w:sz w:val="24"/>
          <w:szCs w:val="24"/>
          <w:highlight w:val="yellow"/>
          <w:lang w:eastAsia="ar-SA"/>
        </w:rPr>
      </w:pPr>
    </w:p>
    <w:p w14:paraId="18B3BBF0" w14:textId="77777777" w:rsidR="00437CFA" w:rsidRPr="005E1E43" w:rsidRDefault="00437CF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423DA8CD" w14:textId="77777777" w:rsidR="00437CFA" w:rsidRPr="005E1E43" w:rsidRDefault="00437CFA"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5281864E" w14:textId="77777777" w:rsidR="00437CFA" w:rsidRPr="005E1E43" w:rsidRDefault="00437CFA"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4E0A4344" w14:textId="77777777" w:rsidR="00437CFA" w:rsidRPr="005E1E43" w:rsidRDefault="00437CFA"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7AC354E0" w14:textId="77777777" w:rsidR="00437CFA" w:rsidRPr="005E1E43" w:rsidRDefault="00437CF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329C1906"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2978DA91"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1C65A8EC"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030E1AB6"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4F237BB4" w14:textId="77777777" w:rsidR="00437CFA" w:rsidRPr="005E1E43" w:rsidRDefault="00437CF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F4D7C17" w14:textId="77777777" w:rsidR="00437CFA" w:rsidRPr="005E1E43" w:rsidRDefault="00437CF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7A9E44B6" w14:textId="77777777" w:rsidR="00437CFA" w:rsidRPr="005E1E43" w:rsidRDefault="00437CF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24BEE976"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4B0F2AB5"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1FE64F9A"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6188855C" w14:textId="77777777" w:rsidR="00437CFA" w:rsidRPr="005E1E43" w:rsidRDefault="00437CF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4D710006" w14:textId="77777777" w:rsidR="00437CFA" w:rsidRPr="005E1E43" w:rsidRDefault="00437CF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031ACBB6" w14:textId="77777777" w:rsidR="00437CFA" w:rsidRPr="005E1E43" w:rsidRDefault="00437CF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3605BD50" w14:textId="77777777" w:rsidR="00437CFA" w:rsidRPr="005E1E43" w:rsidRDefault="00437CF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153C88C0" w14:textId="77777777" w:rsidR="00437CFA" w:rsidRPr="005E1E43" w:rsidRDefault="00437CF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437CFA" w:rsidRPr="005E1E43" w14:paraId="074B277A"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E56DA55"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7502CBA3"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437CFA" w:rsidRPr="005E1E43" w14:paraId="6A236E32"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61F27"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55FEF9"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6C4768E6" w14:textId="77777777" w:rsidR="00437CFA" w:rsidRPr="005E1E43" w:rsidRDefault="00437CF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A903F9C" w14:textId="77777777" w:rsidR="00437CFA" w:rsidRPr="005E1E43" w:rsidRDefault="00437CF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5AE5077B" w14:textId="77777777" w:rsidR="00437CFA" w:rsidRPr="005E1E43" w:rsidRDefault="00437CF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1F5CE249"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4961D3E0"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490A0B8C"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2169C52A"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71BDA4C9" w14:textId="77777777" w:rsidR="00437CFA" w:rsidRPr="005E1E43" w:rsidRDefault="00437CF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367ACA2" w14:textId="77777777" w:rsidR="00437CFA" w:rsidRPr="005E1E43" w:rsidRDefault="00437CF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0B566ED7" w14:textId="77777777" w:rsidR="00437CFA" w:rsidRPr="005E1E43" w:rsidRDefault="00437CF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0DE6D320"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6B3E1BC2"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48BBD6F7"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69329460" w14:textId="77777777" w:rsidR="00437CFA" w:rsidRPr="005E1E43" w:rsidRDefault="00437CFA"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4730E20" w14:textId="77777777" w:rsidR="00437CFA" w:rsidRPr="005E1E43" w:rsidRDefault="00437CFA"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5CF1C700"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426C41FC"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4E2C4B78"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14581C27" w14:textId="77777777" w:rsidR="00437CFA" w:rsidRPr="005E1E43" w:rsidRDefault="00437CFA"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133CCAAE"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1E3825C4"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437CFA" w:rsidRPr="005E1E43" w14:paraId="501146BC"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B0D9EA7"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48C4D54"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57F4F48"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437CFA" w:rsidRPr="005E1E43" w14:paraId="21865ED0"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3825F"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3D5BD0"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F82A94"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437CFA" w:rsidRPr="005E1E43" w14:paraId="6341D8AA"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00C62"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17D5A2"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B6D02"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437CFA" w:rsidRPr="005E1E43" w14:paraId="22CD3FD7"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1E42C"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B53D5"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C094B"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3716DA6C" w14:textId="77777777" w:rsidR="00437CFA" w:rsidRDefault="00437CFA" w:rsidP="005E1E43">
      <w:pPr>
        <w:spacing w:before="60" w:after="120"/>
        <w:jc w:val="both"/>
        <w:rPr>
          <w:rFonts w:ascii="Calibri" w:eastAsia="Calibri" w:hAnsi="Calibri" w:cs="Calibri"/>
          <w:color w:val="000000"/>
          <w:lang w:eastAsia="ar-SA"/>
        </w:rPr>
      </w:pPr>
    </w:p>
    <w:p w14:paraId="02C63E60" w14:textId="77777777" w:rsidR="00437CFA" w:rsidRPr="005E1E43" w:rsidRDefault="00437CFA"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0A5393E3" w14:textId="77777777" w:rsidR="00437CFA" w:rsidRPr="005E1E43" w:rsidRDefault="00437CF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435D28FC"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67FA1AE2"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00E64EBC" w14:textId="77777777" w:rsidR="00437CFA" w:rsidRPr="005E1E43" w:rsidRDefault="00437CF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1E6734BA" w14:textId="77777777" w:rsidR="00437CFA" w:rsidRPr="005E1E43" w:rsidRDefault="00437CF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437CFA" w:rsidRPr="005E1E43" w14:paraId="0B0E32BC"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785E8069"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C71345E"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7DF2D1E3"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676AE633" w14:textId="77777777" w:rsidR="00437CFA" w:rsidRPr="005E1E43" w:rsidRDefault="00437CF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437CFA" w:rsidRPr="005E1E43" w14:paraId="7CDC401F"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D019B"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370B2"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75141"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1A34F65E"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437CFA" w:rsidRPr="005E1E43" w14:paraId="2EF1EABD"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EC82"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20BD1"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C53E7"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4DBB8BE0"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437CFA" w:rsidRPr="005E1E43" w14:paraId="1E80026B"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730C0" w14:textId="77777777" w:rsidR="00437CFA" w:rsidRPr="005E1E43" w:rsidRDefault="00437CF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5F24B"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4CF817"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01D68A30" w14:textId="77777777" w:rsidR="00437CFA" w:rsidRPr="005E1E43" w:rsidRDefault="00437CF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2FE99871" w14:textId="77777777" w:rsidR="00437CFA" w:rsidRPr="005E1E43" w:rsidRDefault="00437CFA"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2F8A022A" w14:textId="77777777" w:rsidR="00437CFA" w:rsidRPr="005E1E43" w:rsidRDefault="00437CFA"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5C81DA4D"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7CA09C07"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388EB380"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5589122F"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068B895E" w14:textId="77777777" w:rsidR="00437CFA" w:rsidRPr="005E1E43" w:rsidRDefault="00437CF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32218B07" w14:textId="77777777" w:rsidR="00437CFA" w:rsidRPr="005E1E43" w:rsidRDefault="00437CFA"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4BDF6801" w14:textId="77777777" w:rsidR="00437CFA" w:rsidRPr="005E1E43" w:rsidRDefault="00437CFA"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54A5CDBF" w14:textId="77777777" w:rsidR="00437CFA" w:rsidRPr="005E1E43" w:rsidRDefault="00437CFA"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77D2FAFD" w14:textId="77777777" w:rsidR="00437CFA" w:rsidRDefault="00437CFA" w:rsidP="005E1E43">
      <w:pPr>
        <w:spacing w:after="0" w:line="276" w:lineRule="auto"/>
        <w:jc w:val="both"/>
        <w:rPr>
          <w:rFonts w:ascii="Calibri" w:eastAsia="Times New Roman" w:hAnsi="Calibri" w:cs="Arial"/>
          <w:b/>
          <w:bCs/>
          <w:lang w:eastAsia="ar-SA"/>
        </w:rPr>
      </w:pPr>
    </w:p>
    <w:p w14:paraId="73F3BD9C" w14:textId="77777777" w:rsidR="00437CFA" w:rsidRPr="00F36AEE" w:rsidRDefault="00437CF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68BDF3B1" w14:textId="77777777" w:rsidR="00437CFA" w:rsidRPr="00F36AEE" w:rsidRDefault="00437CFA"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5A3ACE67" w14:textId="77777777" w:rsidR="00437CFA" w:rsidRPr="00F36AEE" w:rsidRDefault="00437CF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1D0D1DFC" w14:textId="77777777" w:rsidR="00437CFA" w:rsidRPr="00F36AEE" w:rsidRDefault="00437CFA"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1B441AD9" w14:textId="77777777" w:rsidR="00437CFA" w:rsidRPr="00F36AEE" w:rsidRDefault="00437CFA"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1EC6C98E" w14:textId="77777777" w:rsidR="00437CFA" w:rsidRPr="00F36AEE" w:rsidRDefault="00437CF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4B2F1471" w14:textId="77777777" w:rsidR="00437CFA" w:rsidRPr="00F36AEE" w:rsidRDefault="00437CF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6830144E" w14:textId="77777777" w:rsidR="00437CFA" w:rsidRPr="00F36AEE" w:rsidRDefault="00437CF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1787EBB3" w14:textId="77777777" w:rsidR="00437CFA" w:rsidRPr="00F36AEE" w:rsidRDefault="00437CFA"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5469F310" w14:textId="77777777" w:rsidR="00437CFA" w:rsidRDefault="00437CFA">
      <w:pPr>
        <w:rPr>
          <w:rFonts w:ascii="Calibri" w:eastAsia="Times New Roman" w:hAnsi="Calibri" w:cs="Arial"/>
          <w:b/>
          <w:bCs/>
          <w:lang w:eastAsia="ar-SA"/>
        </w:rPr>
      </w:pPr>
      <w:r>
        <w:rPr>
          <w:rFonts w:ascii="Calibri" w:eastAsia="Times New Roman" w:hAnsi="Calibri" w:cs="Arial"/>
          <w:b/>
          <w:bCs/>
          <w:lang w:eastAsia="ar-SA"/>
        </w:rPr>
        <w:br w:type="page"/>
      </w:r>
    </w:p>
    <w:p w14:paraId="7F9EA020" w14:textId="77777777" w:rsidR="00437CFA" w:rsidRPr="005E1E43" w:rsidRDefault="00437CFA"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0371DA60" w14:textId="77777777" w:rsidR="00437CFA" w:rsidRPr="005E1E43" w:rsidRDefault="00437CFA"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437CFA" w:rsidRPr="005E1E43" w14:paraId="13784B48"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41D333F8" w14:textId="77777777" w:rsidR="00437CFA" w:rsidRPr="005E1E43" w:rsidRDefault="00437CF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5E7D998B" w14:textId="77777777" w:rsidR="00437CFA" w:rsidRPr="005E1E43" w:rsidRDefault="00437CF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437CFA" w:rsidRPr="005E1E43" w14:paraId="119CF1C7" w14:textId="77777777" w:rsidTr="00CA2F05">
        <w:tc>
          <w:tcPr>
            <w:tcW w:w="6945" w:type="dxa"/>
            <w:tcBorders>
              <w:top w:val="single" w:sz="6" w:space="0" w:color="auto"/>
              <w:left w:val="single" w:sz="6" w:space="0" w:color="auto"/>
              <w:bottom w:val="single" w:sz="6" w:space="0" w:color="auto"/>
              <w:right w:val="single" w:sz="6" w:space="0" w:color="auto"/>
            </w:tcBorders>
            <w:hideMark/>
          </w:tcPr>
          <w:p w14:paraId="08ECBE36" w14:textId="77777777" w:rsidR="00437CFA" w:rsidRPr="005E1E43" w:rsidRDefault="00437CFA"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tcPr>
          <w:p w14:paraId="7D49C1CE" w14:textId="60452332" w:rsidR="00437CFA" w:rsidRPr="005E1E43" w:rsidRDefault="00437CFA" w:rsidP="005E1E43">
            <w:pPr>
              <w:spacing w:after="0"/>
              <w:jc w:val="center"/>
              <w:textAlignment w:val="baseline"/>
              <w:rPr>
                <w:rFonts w:ascii="Calibri" w:eastAsia="MS Mincho" w:hAnsi="Calibri" w:cs="Arial"/>
                <w:color w:val="000000"/>
                <w:lang w:eastAsia="cs-CZ"/>
              </w:rPr>
            </w:pPr>
          </w:p>
        </w:tc>
      </w:tr>
      <w:tr w:rsidR="00437CFA" w:rsidRPr="005E1E43" w14:paraId="2019DFCD" w14:textId="77777777" w:rsidTr="00CA2F05">
        <w:trPr>
          <w:trHeight w:val="330"/>
        </w:trPr>
        <w:tc>
          <w:tcPr>
            <w:tcW w:w="6945" w:type="dxa"/>
            <w:tcBorders>
              <w:top w:val="single" w:sz="6" w:space="0" w:color="auto"/>
              <w:left w:val="single" w:sz="6" w:space="0" w:color="auto"/>
              <w:bottom w:val="single" w:sz="6" w:space="0" w:color="auto"/>
              <w:right w:val="single" w:sz="6" w:space="0" w:color="auto"/>
            </w:tcBorders>
            <w:hideMark/>
          </w:tcPr>
          <w:p w14:paraId="4CF40F2C" w14:textId="77777777" w:rsidR="00437CFA" w:rsidRPr="005E1E43" w:rsidRDefault="00437CFA"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tcPr>
          <w:p w14:paraId="49F6E772" w14:textId="5764142C" w:rsidR="00437CFA" w:rsidRPr="005E1E43" w:rsidRDefault="00437CFA" w:rsidP="005E1E43">
            <w:pPr>
              <w:spacing w:after="0"/>
              <w:jc w:val="center"/>
              <w:textAlignment w:val="baseline"/>
              <w:rPr>
                <w:rFonts w:ascii="Calibri" w:eastAsia="MS Mincho" w:hAnsi="Calibri" w:cs="Arial"/>
                <w:lang w:eastAsia="cs-CZ"/>
              </w:rPr>
            </w:pPr>
          </w:p>
        </w:tc>
      </w:tr>
      <w:tr w:rsidR="00437CFA" w:rsidRPr="005E1E43" w14:paraId="0CD375E1" w14:textId="77777777" w:rsidTr="00CA2F05">
        <w:tc>
          <w:tcPr>
            <w:tcW w:w="6945" w:type="dxa"/>
            <w:tcBorders>
              <w:top w:val="single" w:sz="6" w:space="0" w:color="auto"/>
              <w:left w:val="single" w:sz="6" w:space="0" w:color="auto"/>
              <w:bottom w:val="single" w:sz="6" w:space="0" w:color="auto"/>
              <w:right w:val="single" w:sz="6" w:space="0" w:color="auto"/>
            </w:tcBorders>
            <w:hideMark/>
          </w:tcPr>
          <w:p w14:paraId="1BAB77B8" w14:textId="77777777" w:rsidR="00437CFA" w:rsidRPr="005E1E43" w:rsidRDefault="00437CFA"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tcPr>
          <w:p w14:paraId="1C1C82D2" w14:textId="3566C21D" w:rsidR="00437CFA" w:rsidRPr="005E1E43" w:rsidRDefault="00437CFA" w:rsidP="005E1E43">
            <w:pPr>
              <w:spacing w:after="0"/>
              <w:jc w:val="center"/>
              <w:textAlignment w:val="baseline"/>
              <w:rPr>
                <w:rFonts w:ascii="Calibri" w:eastAsia="MS Mincho" w:hAnsi="Calibri" w:cs="Arial"/>
                <w:lang w:eastAsia="cs-CZ"/>
              </w:rPr>
            </w:pPr>
          </w:p>
        </w:tc>
      </w:tr>
      <w:tr w:rsidR="00437CFA" w:rsidRPr="005E1E43" w14:paraId="1372B407" w14:textId="77777777" w:rsidTr="00CA2F05">
        <w:tc>
          <w:tcPr>
            <w:tcW w:w="6945" w:type="dxa"/>
            <w:tcBorders>
              <w:top w:val="single" w:sz="6" w:space="0" w:color="auto"/>
              <w:left w:val="single" w:sz="6" w:space="0" w:color="auto"/>
              <w:bottom w:val="single" w:sz="6" w:space="0" w:color="auto"/>
              <w:right w:val="single" w:sz="6" w:space="0" w:color="auto"/>
            </w:tcBorders>
            <w:hideMark/>
          </w:tcPr>
          <w:p w14:paraId="275DE612" w14:textId="77777777" w:rsidR="00437CFA" w:rsidRPr="005E1E43" w:rsidRDefault="00437CF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tcPr>
          <w:p w14:paraId="58501642" w14:textId="42319C1D" w:rsidR="00437CFA" w:rsidRPr="005E1E43" w:rsidRDefault="00437CFA" w:rsidP="005E1E43">
            <w:pPr>
              <w:spacing w:after="0"/>
              <w:jc w:val="center"/>
              <w:textAlignment w:val="baseline"/>
              <w:rPr>
                <w:rFonts w:ascii="Calibri" w:eastAsia="MS Mincho" w:hAnsi="Calibri" w:cs="Arial"/>
                <w:lang w:eastAsia="cs-CZ"/>
              </w:rPr>
            </w:pPr>
          </w:p>
        </w:tc>
      </w:tr>
      <w:tr w:rsidR="00437CFA" w:rsidRPr="005E1E43" w14:paraId="1C689999" w14:textId="77777777" w:rsidTr="00CA2F05">
        <w:tc>
          <w:tcPr>
            <w:tcW w:w="6945" w:type="dxa"/>
            <w:tcBorders>
              <w:top w:val="single" w:sz="6" w:space="0" w:color="auto"/>
              <w:left w:val="single" w:sz="6" w:space="0" w:color="auto"/>
              <w:bottom w:val="single" w:sz="6" w:space="0" w:color="auto"/>
              <w:right w:val="single" w:sz="6" w:space="0" w:color="auto"/>
            </w:tcBorders>
            <w:hideMark/>
          </w:tcPr>
          <w:p w14:paraId="3271200C" w14:textId="77777777" w:rsidR="00437CFA" w:rsidRPr="005E1E43" w:rsidRDefault="00437CF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tcPr>
          <w:p w14:paraId="38E74C58" w14:textId="043EEC9D" w:rsidR="00437CFA" w:rsidRPr="005E1E43" w:rsidRDefault="00437CFA" w:rsidP="005E1E43">
            <w:pPr>
              <w:spacing w:after="0"/>
              <w:jc w:val="center"/>
              <w:textAlignment w:val="baseline"/>
              <w:rPr>
                <w:rFonts w:ascii="Calibri" w:eastAsia="MS Mincho" w:hAnsi="Calibri" w:cs="Arial"/>
                <w:lang w:eastAsia="cs-CZ"/>
              </w:rPr>
            </w:pPr>
          </w:p>
        </w:tc>
      </w:tr>
      <w:tr w:rsidR="00437CFA" w:rsidRPr="005E1E43" w14:paraId="69C81FBD" w14:textId="77777777" w:rsidTr="00CA2F05">
        <w:tc>
          <w:tcPr>
            <w:tcW w:w="6945" w:type="dxa"/>
            <w:tcBorders>
              <w:top w:val="single" w:sz="6" w:space="0" w:color="auto"/>
              <w:left w:val="single" w:sz="6" w:space="0" w:color="auto"/>
              <w:bottom w:val="single" w:sz="6" w:space="0" w:color="auto"/>
              <w:right w:val="single" w:sz="6" w:space="0" w:color="auto"/>
            </w:tcBorders>
            <w:hideMark/>
          </w:tcPr>
          <w:p w14:paraId="73D93CF3" w14:textId="77777777" w:rsidR="00437CFA" w:rsidRPr="005E1E43" w:rsidRDefault="00437CF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tcPr>
          <w:p w14:paraId="70042338" w14:textId="7D0801F9" w:rsidR="00437CFA" w:rsidRPr="005E1E43" w:rsidRDefault="00437CFA" w:rsidP="005E1E43">
            <w:pPr>
              <w:spacing w:after="0"/>
              <w:jc w:val="center"/>
              <w:textAlignment w:val="baseline"/>
              <w:rPr>
                <w:rFonts w:ascii="Calibri" w:eastAsia="MS Mincho" w:hAnsi="Calibri" w:cs="Arial"/>
                <w:lang w:eastAsia="cs-CZ"/>
              </w:rPr>
            </w:pPr>
          </w:p>
        </w:tc>
      </w:tr>
      <w:tr w:rsidR="00437CFA" w:rsidRPr="005E1E43" w14:paraId="27F71A95" w14:textId="77777777" w:rsidTr="00CA2F05">
        <w:trPr>
          <w:trHeight w:val="525"/>
        </w:trPr>
        <w:tc>
          <w:tcPr>
            <w:tcW w:w="6945" w:type="dxa"/>
            <w:tcBorders>
              <w:top w:val="single" w:sz="6" w:space="0" w:color="auto"/>
              <w:left w:val="single" w:sz="6" w:space="0" w:color="auto"/>
              <w:bottom w:val="single" w:sz="6" w:space="0" w:color="auto"/>
              <w:right w:val="single" w:sz="6" w:space="0" w:color="auto"/>
            </w:tcBorders>
            <w:hideMark/>
          </w:tcPr>
          <w:p w14:paraId="3D76945D" w14:textId="77777777" w:rsidR="00437CFA" w:rsidRPr="005E1E43" w:rsidRDefault="00437CF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0926938C" w14:textId="37409D7A" w:rsidR="00437CFA" w:rsidRPr="005E1E43" w:rsidRDefault="00437CFA" w:rsidP="005E1E43">
            <w:pPr>
              <w:spacing w:after="0"/>
              <w:jc w:val="center"/>
              <w:rPr>
                <w:rFonts w:ascii="Calibri" w:eastAsia="MS Mincho" w:hAnsi="Calibri" w:cs="Arial"/>
                <w:lang w:eastAsia="cs-CZ"/>
              </w:rPr>
            </w:pPr>
          </w:p>
        </w:tc>
      </w:tr>
      <w:tr w:rsidR="00437CFA" w:rsidRPr="005E1E43" w14:paraId="2B6BC47A" w14:textId="77777777" w:rsidTr="00CA2F05">
        <w:trPr>
          <w:trHeight w:val="300"/>
        </w:trPr>
        <w:tc>
          <w:tcPr>
            <w:tcW w:w="6945" w:type="dxa"/>
            <w:tcBorders>
              <w:top w:val="single" w:sz="6" w:space="0" w:color="auto"/>
              <w:left w:val="single" w:sz="6" w:space="0" w:color="auto"/>
              <w:bottom w:val="single" w:sz="6" w:space="0" w:color="auto"/>
              <w:right w:val="single" w:sz="6" w:space="0" w:color="auto"/>
            </w:tcBorders>
            <w:hideMark/>
          </w:tcPr>
          <w:p w14:paraId="4DC38CDC" w14:textId="77777777" w:rsidR="00437CFA" w:rsidRPr="005E1E43" w:rsidRDefault="00437CFA"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61FFBFBE" w14:textId="44E61A13" w:rsidR="00437CFA" w:rsidRPr="005E1E43" w:rsidRDefault="00437CFA" w:rsidP="005E1E43">
            <w:pPr>
              <w:spacing w:after="0"/>
              <w:jc w:val="center"/>
              <w:rPr>
                <w:rFonts w:ascii="Calibri" w:eastAsia="MS Mincho" w:hAnsi="Calibri" w:cs="Arial"/>
                <w:lang w:eastAsia="cs-CZ"/>
              </w:rPr>
            </w:pPr>
          </w:p>
        </w:tc>
      </w:tr>
      <w:tr w:rsidR="00437CFA" w:rsidRPr="005E1E43" w14:paraId="19A48875" w14:textId="77777777" w:rsidTr="00CA2F05">
        <w:trPr>
          <w:trHeight w:val="300"/>
        </w:trPr>
        <w:tc>
          <w:tcPr>
            <w:tcW w:w="6945" w:type="dxa"/>
            <w:tcBorders>
              <w:top w:val="single" w:sz="6" w:space="0" w:color="auto"/>
              <w:left w:val="single" w:sz="6" w:space="0" w:color="auto"/>
              <w:bottom w:val="single" w:sz="6" w:space="0" w:color="auto"/>
              <w:right w:val="single" w:sz="6" w:space="0" w:color="auto"/>
            </w:tcBorders>
            <w:hideMark/>
          </w:tcPr>
          <w:p w14:paraId="605D37BD" w14:textId="77777777" w:rsidR="00437CFA" w:rsidRPr="005E1E43" w:rsidRDefault="00437CF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73302912" w14:textId="4A83330D" w:rsidR="00437CFA" w:rsidRPr="005E1E43" w:rsidRDefault="00437CFA" w:rsidP="005E1E43">
            <w:pPr>
              <w:spacing w:after="0"/>
              <w:jc w:val="center"/>
              <w:rPr>
                <w:rFonts w:ascii="Calibri" w:eastAsia="MS Mincho" w:hAnsi="Calibri" w:cs="Arial"/>
                <w:lang w:eastAsia="cs-CZ"/>
              </w:rPr>
            </w:pPr>
          </w:p>
        </w:tc>
      </w:tr>
    </w:tbl>
    <w:p w14:paraId="5813C027" w14:textId="77777777" w:rsidR="00437CFA" w:rsidRPr="005E1E43" w:rsidRDefault="00437CFA" w:rsidP="005E1E43">
      <w:pPr>
        <w:spacing w:after="0" w:line="276" w:lineRule="auto"/>
        <w:ind w:left="720"/>
        <w:jc w:val="both"/>
        <w:rPr>
          <w:rFonts w:ascii="Calibri" w:eastAsia="Calibri" w:hAnsi="Calibri" w:cs="Arial"/>
        </w:rPr>
      </w:pPr>
    </w:p>
    <w:p w14:paraId="08BF753C" w14:textId="77777777" w:rsidR="00437CFA" w:rsidRPr="00AC676B" w:rsidRDefault="00437CFA"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340122D7" w14:textId="77777777" w:rsidR="00437CFA" w:rsidRPr="00AC676B" w:rsidRDefault="00437CFA"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2AA253BF" w14:textId="77777777" w:rsidR="00437CFA" w:rsidRPr="005E1E43" w:rsidRDefault="00437CFA" w:rsidP="005E1E43">
      <w:pPr>
        <w:spacing w:after="0" w:line="276" w:lineRule="auto"/>
        <w:ind w:left="720"/>
        <w:jc w:val="both"/>
        <w:rPr>
          <w:rFonts w:ascii="Calibri" w:eastAsia="Calibri" w:hAnsi="Calibri" w:cs="Arial"/>
        </w:rPr>
      </w:pPr>
    </w:p>
    <w:p w14:paraId="30737E5C" w14:textId="77777777" w:rsidR="00437CFA" w:rsidRPr="005A162A" w:rsidRDefault="00437CFA"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59C35D32" w14:textId="77777777" w:rsidR="00437CFA" w:rsidRDefault="00437CFA" w:rsidP="005E1E43">
      <w:pPr>
        <w:spacing w:after="120"/>
        <w:jc w:val="both"/>
        <w:rPr>
          <w:rFonts w:ascii="Calibri" w:eastAsia="Calibri" w:hAnsi="Calibri" w:cs="Calibri"/>
          <w:b/>
          <w:bCs/>
          <w:color w:val="000000"/>
          <w:lang w:eastAsia="ar-SA"/>
        </w:rPr>
      </w:pPr>
    </w:p>
    <w:p w14:paraId="36DB35D6" w14:textId="77777777" w:rsidR="00437CFA" w:rsidRPr="005A162A" w:rsidRDefault="00437CF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12AD1116" w14:textId="77777777" w:rsidR="00437CFA" w:rsidRPr="005A162A" w:rsidRDefault="00437CF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14753144" w14:textId="77777777" w:rsidR="00437CFA" w:rsidRPr="005A162A" w:rsidRDefault="00437CF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6EEFC0FC" w14:textId="77777777" w:rsidR="00437CFA" w:rsidRPr="005A162A" w:rsidRDefault="00437CF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7ECB8817" w14:textId="77777777" w:rsidR="00437CFA" w:rsidRPr="005A162A" w:rsidRDefault="00437CF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6130E6FF" w14:textId="77777777" w:rsidR="00437CFA" w:rsidRPr="005A162A" w:rsidRDefault="00437CF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2C1A9C3B" w14:textId="77777777" w:rsidR="00437CFA" w:rsidRPr="005A162A" w:rsidRDefault="00437CF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13E843E0" w14:textId="77777777" w:rsidR="00437CFA" w:rsidRPr="005E1E43" w:rsidRDefault="00437CFA"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5080A3F1" w14:textId="77777777" w:rsidR="00437CFA" w:rsidRPr="005E1E43" w:rsidRDefault="00437CFA" w:rsidP="005E1E43">
      <w:pPr>
        <w:spacing w:after="120"/>
        <w:jc w:val="both"/>
        <w:rPr>
          <w:rFonts w:ascii="Calibri" w:eastAsia="Times New Roman" w:hAnsi="Calibri" w:cs="Arial"/>
          <w:b/>
          <w:bCs/>
          <w:color w:val="000000"/>
        </w:rPr>
      </w:pPr>
    </w:p>
    <w:p w14:paraId="721E3DE6" w14:textId="77777777" w:rsidR="00437CFA" w:rsidRDefault="00437CFA">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0D39893C" w14:textId="77777777" w:rsidR="00437CFA" w:rsidRPr="005E1E43" w:rsidRDefault="00437CF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73526CD4" w14:textId="77777777" w:rsidR="00437CFA" w:rsidRPr="005E1E43" w:rsidRDefault="00437CF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C25FD66" w14:textId="77777777" w:rsidR="00437CFA" w:rsidRPr="005E1E43" w:rsidRDefault="00437CF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1876F99D" w14:textId="77777777" w:rsidR="00437CFA" w:rsidRPr="005E1E43" w:rsidRDefault="00437CF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2752C16C" w14:textId="77777777" w:rsidR="00437CFA" w:rsidRPr="005E1E43" w:rsidRDefault="00437CF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2CD3075B" w14:textId="77777777" w:rsidR="00437CFA" w:rsidRPr="005E1E43" w:rsidRDefault="00437CF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6CDED99" w14:textId="77777777" w:rsidR="00437CFA" w:rsidRPr="005E1E43" w:rsidRDefault="00437CFA"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1520E19F"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297C5ED7"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234F1BEC" w14:textId="77777777" w:rsidR="00437CFA"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2CEF00F5" w14:textId="77777777" w:rsidR="00437CFA" w:rsidRPr="005E1E43" w:rsidRDefault="00437CFA" w:rsidP="0035061E">
      <w:pPr>
        <w:spacing w:after="0"/>
        <w:contextualSpacing/>
        <w:jc w:val="both"/>
        <w:rPr>
          <w:rFonts w:ascii="Calibri" w:eastAsia="Calibri" w:hAnsi="Calibri" w:cs="Calibri"/>
          <w:color w:val="000000"/>
        </w:rPr>
      </w:pPr>
    </w:p>
    <w:p w14:paraId="680470C6"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0D67377F"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4BC8B543"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437CFA" w:rsidRPr="005E1E43" w14:paraId="43CCD117"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DDEB908" w14:textId="77777777" w:rsidR="00437CFA" w:rsidRPr="005E1E43" w:rsidRDefault="00437CF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6D651D"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437CFA" w:rsidRPr="005E1E43" w14:paraId="7E343AFF"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237E4B1B" w14:textId="77777777" w:rsidR="00437CFA" w:rsidRPr="005E1E43" w:rsidRDefault="00437CF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1405ED"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437CFA" w:rsidRPr="005E1E43" w14:paraId="14AEF6CF"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34C84A0A" w14:textId="77777777" w:rsidR="00437CFA" w:rsidRPr="005E1E43" w:rsidRDefault="00437CF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D2FC9"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437CFA" w:rsidRPr="005E1E43" w14:paraId="79DEC637"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173F0CF0" w14:textId="77777777" w:rsidR="00437CFA" w:rsidRPr="005E1E43" w:rsidRDefault="00437CF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E02455"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437CFA" w:rsidRPr="005E1E43" w14:paraId="3CF82B8E"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7267170D" w14:textId="77777777" w:rsidR="00437CFA" w:rsidRPr="005E1E43" w:rsidRDefault="00437CF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C3D4A"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17ABC12D" w14:textId="77777777" w:rsidR="00437CFA" w:rsidRDefault="00437CFA"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331EA5FA" w14:textId="77777777" w:rsidR="00437CFA" w:rsidRDefault="00437CFA" w:rsidP="005E1E43">
      <w:pPr>
        <w:spacing w:before="240" w:after="240"/>
        <w:jc w:val="both"/>
        <w:rPr>
          <w:rFonts w:ascii="Calibri" w:eastAsia="Calibri" w:hAnsi="Calibri" w:cs="Calibri"/>
          <w:b/>
          <w:bCs/>
          <w:caps/>
          <w:color w:val="000000"/>
          <w:lang w:eastAsia="ar-SA"/>
        </w:rPr>
      </w:pPr>
    </w:p>
    <w:p w14:paraId="39D23E5D"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51AF47C2"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4C60AC60"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33C1C2FB"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2B61E470"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65855A94"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47F0BAF4"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7940FEA6"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4D76289B"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4900975A"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36BB37C1"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4756BBB5"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656BEB5D"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78313C1A"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13DBB22D" w14:textId="77777777" w:rsidR="00437CFA" w:rsidRPr="005E1E43" w:rsidRDefault="00437CF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6E4F1E38"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6C473B2F" w14:textId="77777777" w:rsidR="00437CFA" w:rsidRPr="005E1E43" w:rsidRDefault="00437CF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03B66932" w14:textId="77777777" w:rsidR="00437CFA" w:rsidRPr="005E1E43" w:rsidRDefault="00437CF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07EE6508" w14:textId="77777777" w:rsidR="00437CFA" w:rsidRPr="005E1E43" w:rsidRDefault="00437CF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5FA68A6B"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131912A6"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43ED33BC"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7DE68D6F"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10CCC8DF"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1B42DC12"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6F0155D5"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2146CE88"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346DFE84"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7AC9CFE3"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2B3931AD"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4C337737"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6D7149C0"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2E27439C" w14:textId="77777777" w:rsidR="00437CFA" w:rsidRPr="005E1E43" w:rsidRDefault="00437CF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33599110"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E1EE10A"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51AC0862"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4FCA89F1" w14:textId="77777777" w:rsidR="00437CFA" w:rsidRPr="005E1E43" w:rsidRDefault="00437CF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281AC36F"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25C84DD8"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105F2D1D"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2E527C9D"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2D836D07"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25FA5ECA"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11133C89"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2A05FC62"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42B00050"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7508C631"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6CA82A6D"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0A7095B5"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1C2BE8D8"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5B9060C3"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4CDCFED1"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552879EE"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0CDA8FC8"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37CAA9D9"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74E2BA87"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391ABEEF"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521BB442" w14:textId="77777777" w:rsidR="00437CFA" w:rsidRPr="005E1E43"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0BDF353A"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0D099F1B" w14:textId="77777777" w:rsidR="00437CFA" w:rsidRPr="005E1E43" w:rsidRDefault="00437CF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452988A7"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656C5132" w14:textId="77777777" w:rsidR="00437CFA" w:rsidRDefault="00437CF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0773E5E6" w14:textId="77777777" w:rsidR="00437CFA" w:rsidRDefault="00437CFA" w:rsidP="00F9607C">
      <w:pPr>
        <w:spacing w:after="0"/>
        <w:contextualSpacing/>
        <w:jc w:val="both"/>
        <w:rPr>
          <w:rFonts w:ascii="Calibri" w:eastAsia="Calibri" w:hAnsi="Calibri" w:cs="Calibri"/>
          <w:color w:val="000000"/>
        </w:rPr>
      </w:pPr>
    </w:p>
    <w:p w14:paraId="04477044" w14:textId="77777777" w:rsidR="00437CFA" w:rsidRPr="005E1E43" w:rsidRDefault="00437CFA" w:rsidP="00F9607C">
      <w:pPr>
        <w:spacing w:after="0"/>
        <w:contextualSpacing/>
        <w:jc w:val="both"/>
        <w:rPr>
          <w:rFonts w:ascii="Calibri" w:eastAsia="Calibri" w:hAnsi="Calibri" w:cs="Calibri"/>
          <w:color w:val="000000"/>
        </w:rPr>
      </w:pPr>
    </w:p>
    <w:p w14:paraId="43AA8DA9"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010965A3"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608CDE80"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1740CEDD"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2C4CA49E"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Bc. RENATA NESÁZALOVÁ</w:t>
      </w:r>
    </w:p>
    <w:p w14:paraId="1353FAF2"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17CEDC93"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75F0B1E4" w14:textId="264A65FF"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2DE56467" w14:textId="0F37AD2C"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telefonní číslo: </w:t>
      </w:r>
    </w:p>
    <w:p w14:paraId="54497E89" w14:textId="77777777" w:rsidR="00437CFA" w:rsidRPr="005E1E43" w:rsidRDefault="00437CF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228833AD"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5E332885"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6BA66AC1"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6A5A524A"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2613DB8B"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62DA243B" w14:textId="77777777" w:rsidR="00437CFA" w:rsidRPr="005E1E43" w:rsidRDefault="00437CF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65ACE93C" w14:textId="77777777" w:rsidR="00437CFA" w:rsidRPr="005E1E43" w:rsidRDefault="00437CF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357CA207"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0960AA5B" w14:textId="77777777" w:rsidR="00437CFA" w:rsidRPr="005E1E43" w:rsidRDefault="00437CF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5C74274B" w14:textId="77777777" w:rsidR="00437CFA" w:rsidRPr="005E1E43" w:rsidRDefault="00437CF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6F1457F6" w14:textId="77777777" w:rsidR="00437CFA" w:rsidRDefault="00437CFA" w:rsidP="005A162A">
      <w:pPr>
        <w:numPr>
          <w:ilvl w:val="1"/>
          <w:numId w:val="21"/>
        </w:numPr>
        <w:spacing w:after="120"/>
        <w:ind w:left="1789" w:hanging="709"/>
        <w:contextualSpacing/>
        <w:jc w:val="both"/>
        <w:rPr>
          <w:rFonts w:ascii="Calibri" w:eastAsia="Calibri" w:hAnsi="Calibri" w:cs="Calibri"/>
          <w:color w:val="000000"/>
        </w:rPr>
        <w:sectPr w:rsidR="00437CFA" w:rsidSect="00437CFA">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7A7F71E6" w14:textId="77777777" w:rsidR="00437CFA" w:rsidRPr="005E1E43" w:rsidRDefault="00437CFA" w:rsidP="00CA2F05">
      <w:pPr>
        <w:spacing w:after="120"/>
        <w:ind w:left="1789"/>
        <w:contextualSpacing/>
        <w:jc w:val="both"/>
        <w:rPr>
          <w:rFonts w:ascii="Calibri" w:eastAsia="Calibri" w:hAnsi="Calibri" w:cs="Calibri"/>
          <w:color w:val="000000"/>
        </w:rPr>
      </w:pPr>
    </w:p>
    <w:sectPr w:rsidR="00437CFA" w:rsidRPr="005E1E43" w:rsidSect="00437CFA">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FDEF" w14:textId="77777777" w:rsidR="00437CFA" w:rsidRDefault="00437CFA" w:rsidP="00404A55">
      <w:pPr>
        <w:spacing w:after="0" w:line="240" w:lineRule="auto"/>
      </w:pPr>
      <w:r>
        <w:separator/>
      </w:r>
    </w:p>
  </w:endnote>
  <w:endnote w:type="continuationSeparator" w:id="0">
    <w:p w14:paraId="379AFE64" w14:textId="77777777" w:rsidR="00437CFA" w:rsidRDefault="00437CFA"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427920760"/>
      <w:docPartObj>
        <w:docPartGallery w:val="Page Numbers (Bottom of Page)"/>
        <w:docPartUnique/>
      </w:docPartObj>
    </w:sdtPr>
    <w:sdtEndPr>
      <w:rPr>
        <w:rStyle w:val="slostrnky"/>
      </w:rPr>
    </w:sdtEndPr>
    <w:sdtContent>
      <w:p w14:paraId="10EACA93" w14:textId="77777777" w:rsidR="00437CFA" w:rsidRDefault="00437CF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1A6A23C6" w14:textId="77777777" w:rsidR="00437CFA" w:rsidRDefault="00437CFA"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6479" w14:textId="77777777" w:rsidR="00437CFA" w:rsidRDefault="00437CFA">
    <w:pPr>
      <w:pStyle w:val="Zpat"/>
      <w:jc w:val="right"/>
    </w:pPr>
    <w:r>
      <w:rPr>
        <w:rFonts w:ascii="Yu Gothic Medium" w:eastAsia="Yu Gothic Medium" w:hAnsi="Yu Gothic Medium"/>
        <w:noProof/>
        <w:color w:val="0033CC"/>
        <w:sz w:val="16"/>
        <w:szCs w:val="16"/>
      </w:rPr>
      <w:drawing>
        <wp:inline distT="0" distB="0" distL="0" distR="0" wp14:anchorId="188E114F" wp14:editId="1D3AC078">
          <wp:extent cx="6120765" cy="275515"/>
          <wp:effectExtent l="0" t="0" r="0" b="0"/>
          <wp:docPr id="533018682"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493497554"/>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49AF66B9" w14:textId="77777777" w:rsidR="00437CFA" w:rsidRPr="00222CC9" w:rsidRDefault="00437CF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1388A89E" w14:textId="77777777" w:rsidR="00437CFA" w:rsidRDefault="00437CF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7CB97D54" w14:textId="77777777" w:rsidR="00437CFA" w:rsidRDefault="00437CFA"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30F9" w14:textId="77777777" w:rsidR="00437CFA" w:rsidRDefault="00437CFA">
    <w:pPr>
      <w:pStyle w:val="Zpat"/>
      <w:jc w:val="right"/>
    </w:pPr>
    <w:r>
      <w:rPr>
        <w:rFonts w:ascii="Yu Gothic Medium" w:eastAsia="Yu Gothic Medium" w:hAnsi="Yu Gothic Medium"/>
        <w:noProof/>
        <w:color w:val="0033CC"/>
        <w:sz w:val="16"/>
        <w:szCs w:val="16"/>
      </w:rPr>
      <w:drawing>
        <wp:inline distT="0" distB="0" distL="0" distR="0" wp14:anchorId="631DDEFE" wp14:editId="0C00B116">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14BFAF47" w14:textId="77777777" w:rsidR="00437CFA" w:rsidRPr="00222CC9" w:rsidRDefault="00437CF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F10E" w14:textId="77777777" w:rsidR="00437CFA" w:rsidRDefault="00437CFA" w:rsidP="00404A55">
      <w:pPr>
        <w:spacing w:after="0" w:line="240" w:lineRule="auto"/>
      </w:pPr>
      <w:r>
        <w:separator/>
      </w:r>
    </w:p>
  </w:footnote>
  <w:footnote w:type="continuationSeparator" w:id="0">
    <w:p w14:paraId="1E1CA65A" w14:textId="77777777" w:rsidR="00437CFA" w:rsidRDefault="00437CFA"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B5B4" w14:textId="77777777" w:rsidR="00437CFA" w:rsidRDefault="00EB510D">
    <w:pPr>
      <w:pStyle w:val="Zhlav"/>
    </w:pPr>
    <w:r>
      <w:rPr>
        <w:noProof/>
      </w:rPr>
      <w:pict w14:anchorId="238EC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5438" w14:textId="77777777" w:rsidR="00437CFA" w:rsidRDefault="00EB510D">
    <w:pPr>
      <w:pStyle w:val="Zhlav"/>
    </w:pPr>
    <w:r>
      <w:rPr>
        <w:noProof/>
      </w:rPr>
      <w:pict w14:anchorId="38150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1884BE37" w14:textId="77777777" w:rsidR="00437CFA" w:rsidRDefault="00437CFA" w:rsidP="00F05AAA">
    <w:pPr>
      <w:pStyle w:val="Zhlav"/>
      <w:ind w:left="-567"/>
    </w:pPr>
    <w:r>
      <w:rPr>
        <w:noProof/>
      </w:rPr>
      <w:drawing>
        <wp:inline distT="0" distB="0" distL="0" distR="0" wp14:anchorId="19702BDA" wp14:editId="7F4F1964">
          <wp:extent cx="1270000" cy="538787"/>
          <wp:effectExtent l="0" t="0" r="0" b="0"/>
          <wp:docPr id="1872740252"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4275" w14:textId="77777777" w:rsidR="00437CFA" w:rsidRDefault="00EB510D">
    <w:pPr>
      <w:pStyle w:val="Zhlav"/>
    </w:pPr>
    <w:r>
      <w:rPr>
        <w:noProof/>
      </w:rPr>
      <w:pict w14:anchorId="71F67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476F" w14:textId="77777777" w:rsidR="00437CFA" w:rsidRDefault="00EB510D">
    <w:pPr>
      <w:pStyle w:val="Zhlav"/>
    </w:pPr>
    <w:r>
      <w:rPr>
        <w:noProof/>
      </w:rPr>
      <w:pict w14:anchorId="17D8E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CF1A" w14:textId="77777777" w:rsidR="00437CFA" w:rsidRDefault="00EB510D">
    <w:pPr>
      <w:pStyle w:val="Zhlav"/>
    </w:pPr>
    <w:r>
      <w:rPr>
        <w:noProof/>
      </w:rPr>
      <w:pict w14:anchorId="767BD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3655DA02" w14:textId="77777777" w:rsidR="00437CFA" w:rsidRDefault="00437CFA" w:rsidP="00F05AAA">
    <w:pPr>
      <w:pStyle w:val="Zhlav"/>
      <w:ind w:left="-567"/>
    </w:pPr>
    <w:r>
      <w:rPr>
        <w:noProof/>
      </w:rPr>
      <w:drawing>
        <wp:inline distT="0" distB="0" distL="0" distR="0" wp14:anchorId="07022711" wp14:editId="78A167F3">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9FEE" w14:textId="77777777" w:rsidR="00437CFA" w:rsidRDefault="00EB510D">
    <w:pPr>
      <w:pStyle w:val="Zhlav"/>
    </w:pPr>
    <w:r>
      <w:rPr>
        <w:noProof/>
      </w:rPr>
      <w:pict w14:anchorId="11964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3159C8"/>
    <w:rsid w:val="00323824"/>
    <w:rsid w:val="0035061E"/>
    <w:rsid w:val="00381755"/>
    <w:rsid w:val="00391654"/>
    <w:rsid w:val="003A6C34"/>
    <w:rsid w:val="003B622F"/>
    <w:rsid w:val="003C0FD7"/>
    <w:rsid w:val="003D5DF2"/>
    <w:rsid w:val="003F1734"/>
    <w:rsid w:val="00404A55"/>
    <w:rsid w:val="00424640"/>
    <w:rsid w:val="00437CFA"/>
    <w:rsid w:val="004C6376"/>
    <w:rsid w:val="004E3BCB"/>
    <w:rsid w:val="004F341F"/>
    <w:rsid w:val="00555046"/>
    <w:rsid w:val="00584530"/>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A4FA3"/>
    <w:rsid w:val="007F2243"/>
    <w:rsid w:val="007F6E96"/>
    <w:rsid w:val="00810959"/>
    <w:rsid w:val="00840198"/>
    <w:rsid w:val="00840786"/>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50879"/>
    <w:rsid w:val="00A553EC"/>
    <w:rsid w:val="00AA0FA3"/>
    <w:rsid w:val="00AA7973"/>
    <w:rsid w:val="00AC676B"/>
    <w:rsid w:val="00AF4526"/>
    <w:rsid w:val="00B17C37"/>
    <w:rsid w:val="00B4347B"/>
    <w:rsid w:val="00B8504D"/>
    <w:rsid w:val="00BB6A04"/>
    <w:rsid w:val="00BD256B"/>
    <w:rsid w:val="00C06A5E"/>
    <w:rsid w:val="00C707C5"/>
    <w:rsid w:val="00C8162C"/>
    <w:rsid w:val="00CA2F05"/>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B510D"/>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8D62"/>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0</TotalTime>
  <Pages>24</Pages>
  <Words>7959</Words>
  <Characters>46963</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2025-09-04T08:47:00Z</dcterms:created>
  <dcterms:modified xsi:type="dcterms:W3CDTF">2025-09-04T08:47:00Z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