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030" w:h="326" w:wrap="none" w:hAnchor="page" w:x="1016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4"/>
        <w:keepNext w:val="0"/>
        <w:keepLines w:val="0"/>
        <w:framePr w:w="2976" w:h="302" w:wrap="none" w:hAnchor="page" w:x="7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6"/>
        <w:keepNext w:val="0"/>
        <w:keepLines w:val="0"/>
        <w:framePr w:w="8664" w:h="1181" w:wrap="none" w:hAnchor="page" w:x="1035" w:y="683"/>
        <w:widowControl w:val="0"/>
        <w:shd w:val="clear" w:color="auto" w:fill="auto"/>
        <w:tabs>
          <w:tab w:pos="4382" w:val="left"/>
        </w:tabs>
        <w:bidi w:val="0"/>
        <w:spacing w:before="0" w:after="0" w:line="434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č. 1 - Ceník potápěčských prací pro roky 2025 a 2026 položka</w:t>
        <w:tab/>
        <w:t>cena bez DPH</w:t>
      </w:r>
    </w:p>
    <w:p>
      <w:pPr>
        <w:pStyle w:val="Style6"/>
        <w:keepNext w:val="0"/>
        <w:keepLines w:val="0"/>
        <w:framePr w:w="8664" w:h="1181" w:wrap="none" w:hAnchor="page" w:x="1035" w:y="683"/>
        <w:widowControl w:val="0"/>
        <w:shd w:val="clear" w:color="auto" w:fill="auto"/>
        <w:tabs>
          <w:tab w:pos="50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stavební:</w:t>
        <w:tab/>
        <w:t xml:space="preserve">jednotka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počet cena Kč za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cena celkem</w:t>
      </w:r>
    </w:p>
    <w:p>
      <w:pPr>
        <w:pStyle w:val="Style6"/>
        <w:keepNext w:val="0"/>
        <w:keepLines w:val="0"/>
        <w:framePr w:w="8664" w:h="1181" w:wrap="none" w:hAnchor="page" w:x="1035" w:y="683"/>
        <w:widowControl w:val="0"/>
        <w:shd w:val="clear" w:color="auto" w:fill="auto"/>
        <w:tabs>
          <w:tab w:pos="2741" w:val="left"/>
        </w:tabs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jednotka</w:t>
        <w:tab/>
        <w:t>cena celkem</w:t>
      </w:r>
    </w:p>
    <w:tbl>
      <w:tblPr>
        <w:tblOverlap w:val="never"/>
        <w:jc w:val="left"/>
        <w:tblLayout w:type="fixed"/>
      </w:tblPr>
      <w:tblGrid>
        <w:gridCol w:w="672"/>
        <w:gridCol w:w="4142"/>
        <w:gridCol w:w="1037"/>
        <w:gridCol w:w="864"/>
        <w:gridCol w:w="1013"/>
        <w:gridCol w:w="1229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6 996,50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15 200,00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957" w:h="12048" w:vSpace="446" w:wrap="none" w:hAnchor="page" w:x="992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8957" w:h="12048" w:vSpace="446" w:wrap="none" w:hAnchor="page" w:x="992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</w:tbl>
    <w:p>
      <w:pPr>
        <w:framePr w:w="8957" w:h="12048" w:vSpace="446" w:wrap="none" w:hAnchor="page" w:x="992" w:y="2348"/>
        <w:widowControl w:val="0"/>
        <w:spacing w:line="1" w:lineRule="exact"/>
      </w:pPr>
    </w:p>
    <w:p>
      <w:pPr>
        <w:pStyle w:val="Style12"/>
        <w:keepNext w:val="0"/>
        <w:keepLines w:val="0"/>
        <w:framePr w:w="7248" w:h="509" w:wrap="none" w:hAnchor="page" w:x="1035" w:y="19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Celkem - HC Nechranice - kontrola a následné vyčištění prahu hradící tabule na vtoku č.1, číslo akce 216 699 - potápěčské práce 2025 </w:t>
      </w:r>
      <w:r>
        <w:rPr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>VÍCEPRÁCE</w:t>
      </w:r>
    </w:p>
    <w:p>
      <w:pPr>
        <w:pStyle w:val="Style4"/>
        <w:keepNext w:val="0"/>
        <w:keepLines w:val="0"/>
        <w:framePr w:w="8650" w:h="504" w:wrap="none" w:hAnchor="page" w:x="1035" w:y="147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Vícepráce byly provedeny 5 kvalifikovanými pracovníky v celkovém časovém fondu 7,5 hod., včetně 1 dvouhodinového ponoru (potápěč + jisticí potápěč = 4 hod.).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81345" cy="87083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81345" cy="8708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8"/>
      <w:pgMar w:top="408" w:left="991" w:right="1025" w:bottom="610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10241280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39999999999998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33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31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