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EB724ED" w14:textId="77777777" w:rsidR="002A1A70" w:rsidRDefault="002A1A70" w:rsidP="00D516A3"/>
    <w:p w14:paraId="0B4B8D90" w14:textId="76FF08FE" w:rsidR="00D516A3" w:rsidRPr="00726B26" w:rsidRDefault="002A1A70" w:rsidP="00D516A3">
      <w:pPr>
        <w:rPr>
          <w:b/>
        </w:rPr>
      </w:pPr>
      <w:r w:rsidRPr="00D56737">
        <w:rPr>
          <w:b/>
          <w:bCs/>
        </w:rPr>
        <w:t>EISBERG, a.s.</w:t>
      </w:r>
    </w:p>
    <w:p w14:paraId="6C82765F" w14:textId="0DC24C71" w:rsidR="00D516A3" w:rsidRDefault="00D516A3" w:rsidP="00D516A3">
      <w:r>
        <w:t>IČO:</w:t>
      </w:r>
      <w:r w:rsidR="002A1A70">
        <w:t xml:space="preserve"> 26924897</w:t>
      </w:r>
    </w:p>
    <w:p w14:paraId="64040907" w14:textId="748B2433" w:rsidR="00D516A3" w:rsidRPr="00512AB9" w:rsidRDefault="00D516A3" w:rsidP="00D516A3">
      <w:r>
        <w:t>DIČ:</w:t>
      </w:r>
      <w:r w:rsidR="002A1A70">
        <w:t xml:space="preserve"> CZ26924897</w:t>
      </w:r>
    </w:p>
    <w:p w14:paraId="09DB4EC0" w14:textId="13DE19AA" w:rsidR="00D516A3" w:rsidRPr="00512AB9" w:rsidRDefault="00D516A3" w:rsidP="00D516A3">
      <w:r>
        <w:t>se sídlem</w:t>
      </w:r>
      <w:r w:rsidRPr="00512AB9">
        <w:t xml:space="preserve">: </w:t>
      </w:r>
      <w:r w:rsidR="002A1A70">
        <w:t>Hradčany 1, 666 03 Tišnov</w:t>
      </w:r>
    </w:p>
    <w:p w14:paraId="3D68E33B" w14:textId="0091C9F4" w:rsidR="00D516A3" w:rsidRPr="00512AB9" w:rsidRDefault="00D516A3" w:rsidP="00D516A3">
      <w:r>
        <w:t>zastoupena</w:t>
      </w:r>
      <w:r w:rsidRPr="00512AB9">
        <w:t>:</w:t>
      </w:r>
      <w:r w:rsidR="002A1A70">
        <w:t xml:space="preserve"> Ing. František Sichler, člen správní rady</w:t>
      </w:r>
    </w:p>
    <w:p w14:paraId="7BE23335" w14:textId="2C3585CA" w:rsidR="00D516A3" w:rsidRPr="00512AB9" w:rsidRDefault="00D516A3" w:rsidP="00D516A3">
      <w:r w:rsidRPr="00512AB9">
        <w:t>bankovní spojení:</w:t>
      </w:r>
      <w:r w:rsidR="002A1A70">
        <w:t xml:space="preserve"> Raiffeisenbank a.s.</w:t>
      </w:r>
    </w:p>
    <w:p w14:paraId="2FD38439" w14:textId="39DE0C7C" w:rsidR="00D516A3" w:rsidRPr="00512AB9" w:rsidRDefault="00D516A3" w:rsidP="00D516A3">
      <w:r w:rsidRPr="00512AB9">
        <w:t>číslo účtu:</w:t>
      </w:r>
      <w:r w:rsidR="002A1A70">
        <w:t xml:space="preserve"> 5004061532/5500</w:t>
      </w:r>
      <w:r w:rsidRPr="00512AB9">
        <w:t xml:space="preserve"> </w:t>
      </w:r>
    </w:p>
    <w:p w14:paraId="60843DDF" w14:textId="265F203D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2A1A70">
        <w:t xml:space="preserve"> Krajským</w:t>
      </w:r>
      <w:r>
        <w:t xml:space="preserve"> </w:t>
      </w:r>
      <w:r w:rsidRPr="00652864">
        <w:t>soudem v</w:t>
      </w:r>
      <w:r w:rsidR="002A1A70">
        <w:t xml:space="preserve"> Brně</w:t>
      </w:r>
      <w:r w:rsidRPr="00652864">
        <w:t>, oddíl</w:t>
      </w:r>
      <w:r w:rsidR="002A1A70">
        <w:t xml:space="preserve"> B</w:t>
      </w:r>
      <w:r w:rsidRPr="00652864">
        <w:t>, vložka</w:t>
      </w:r>
      <w:r w:rsidR="002A1A70">
        <w:t xml:space="preserve"> 4307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31B47E1" w14:textId="3ED9DF45" w:rsidR="00C84FF3" w:rsidRPr="002B77A6" w:rsidRDefault="00C84FF3" w:rsidP="00C84FF3">
      <w:r>
        <w:t>zastoupena</w:t>
      </w:r>
      <w:r w:rsidRPr="002B77A6">
        <w:t>:</w:t>
      </w:r>
      <w:r w:rsidR="00AF1EB1">
        <w:t xml:space="preserve"> </w:t>
      </w:r>
      <w:r w:rsidR="00ED577E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E209ABB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 xml:space="preserve">Dodávka mraženého </w:t>
      </w:r>
      <w:r w:rsidR="00896C44" w:rsidRPr="00D559CF">
        <w:rPr>
          <w:b/>
        </w:rPr>
        <w:t>masa</w:t>
      </w:r>
      <w:r w:rsidR="007332A5" w:rsidRPr="00D559CF">
        <w:rPr>
          <w:b/>
        </w:rPr>
        <w:t xml:space="preserve"> – drůbeží, králičí, zvěřina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BD066D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938495F" w:rsidR="00D516A3" w:rsidRDefault="00D516A3" w:rsidP="0069206D">
      <w:pPr>
        <w:pStyle w:val="Psmenoodstavce"/>
      </w:pPr>
      <w:r>
        <w:t>e-mailem na adresu</w:t>
      </w:r>
      <w:r w:rsidR="002A1A70">
        <w:t xml:space="preserve"> </w:t>
      </w:r>
      <w:r w:rsidR="00AF1EB1">
        <w:t>xxxxxxxxxx</w:t>
      </w:r>
    </w:p>
    <w:p w14:paraId="4BD7EE51" w14:textId="07A8C81D" w:rsidR="00D516A3" w:rsidRDefault="00D516A3" w:rsidP="0069206D">
      <w:pPr>
        <w:pStyle w:val="Psmenoodstavce"/>
      </w:pPr>
      <w:r>
        <w:t xml:space="preserve">faxem na telefonní číslo </w:t>
      </w:r>
      <w:r w:rsidR="002A1A70">
        <w:t xml:space="preserve">------- </w:t>
      </w:r>
    </w:p>
    <w:p w14:paraId="35DE7FDB" w14:textId="07DBAFDD" w:rsidR="00D516A3" w:rsidRDefault="00D516A3" w:rsidP="0069206D">
      <w:pPr>
        <w:pStyle w:val="Psmenoodstavce"/>
      </w:pPr>
      <w:r>
        <w:t>v internetovém systému Prodávajícího na adrese</w:t>
      </w:r>
      <w:r w:rsidR="002A1A70">
        <w:t xml:space="preserve"> </w:t>
      </w:r>
      <w:proofErr w:type="spellStart"/>
      <w:r w:rsidR="00AF1EB1">
        <w:t>xxxxxxxxx</w:t>
      </w:r>
      <w:proofErr w:type="spell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32D34068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</w:t>
      </w:r>
      <w:r w:rsidR="002A1A70">
        <w:t xml:space="preserve"> </w:t>
      </w:r>
      <w:proofErr w:type="spellStart"/>
      <w:proofErr w:type="gramStart"/>
      <w:r w:rsidR="00AF1EB1">
        <w:t>xxxxxxxxx</w:t>
      </w:r>
      <w:proofErr w:type="spellEnd"/>
      <w:r>
        <w:t xml:space="preserve"> .</w:t>
      </w:r>
      <w:proofErr w:type="gramEnd"/>
      <w:r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43686E1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r w:rsidR="00AF1EB1">
        <w:t>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F123F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91AD4D1" w:rsidR="00014CFB" w:rsidRDefault="00014CFB" w:rsidP="00014CFB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 w:rsidR="00EA73A8">
        <w:t>20</w:t>
      </w:r>
      <w:r w:rsidRPr="002D60E6">
        <w:t xml:space="preserve"> kg.</w:t>
      </w:r>
      <w:bookmarkEnd w:id="7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lastRenderedPageBreak/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D1D70A2" w14:textId="3477B613" w:rsidR="00EE0C75" w:rsidRDefault="00BA6E26" w:rsidP="00EE0C75">
      <w:pPr>
        <w:pStyle w:val="Nadpis1"/>
      </w:pPr>
      <w:r>
        <w:t>ODPOVĚDNÉ ZADÁVÁNÍ</w:t>
      </w:r>
    </w:p>
    <w:p w14:paraId="547EBCE3" w14:textId="77777777" w:rsidR="00EE0C75" w:rsidRPr="00EE0C75" w:rsidRDefault="00EE0C75" w:rsidP="000F2099"/>
    <w:p w14:paraId="4576B8A4" w14:textId="77777777" w:rsidR="00BA6E26" w:rsidRDefault="00BA6E26" w:rsidP="00BA6E26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7696444A" w14:textId="77777777" w:rsidR="00BA6E26" w:rsidRDefault="00BA6E26" w:rsidP="00BA6E26">
      <w:pPr>
        <w:pStyle w:val="Odstavecsmlouvy"/>
        <w:numPr>
          <w:ilvl w:val="0"/>
          <w:numId w:val="0"/>
        </w:numPr>
        <w:ind w:left="567"/>
      </w:pPr>
    </w:p>
    <w:p w14:paraId="7DC6CD7B" w14:textId="77777777" w:rsidR="00BA6E26" w:rsidRDefault="00BA6E26" w:rsidP="00BA6E26">
      <w:pPr>
        <w:pStyle w:val="Odstavecsmlouvy"/>
      </w:pP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F3CAAF1" w14:textId="77777777" w:rsidR="00BA6E26" w:rsidRDefault="00BA6E26" w:rsidP="00BA6E26">
      <w:pPr>
        <w:pStyle w:val="Odstavecsmlouvy"/>
        <w:numPr>
          <w:ilvl w:val="0"/>
          <w:numId w:val="0"/>
        </w:numPr>
        <w:ind w:left="567"/>
      </w:pPr>
    </w:p>
    <w:p w14:paraId="4EC5D89A" w14:textId="032CB03F" w:rsidR="00BA6E26" w:rsidRDefault="00EE0C75" w:rsidP="00EE0C75">
      <w:pPr>
        <w:pStyle w:val="Nadpis1"/>
      </w:pPr>
      <w:r>
        <w:t>závěrečná ujednání</w:t>
      </w:r>
    </w:p>
    <w:p w14:paraId="1D212789" w14:textId="77777777" w:rsidR="00EE0C75" w:rsidRPr="00EE0C75" w:rsidRDefault="00EE0C75" w:rsidP="000F2099"/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38635243" w:rsidR="00074676" w:rsidRPr="00A95455" w:rsidRDefault="00BD066D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</w:t>
      </w:r>
      <w:bookmarkStart w:id="9" w:name="_GoBack"/>
      <w:bookmarkEnd w:id="9"/>
      <w:r>
        <w:t xml:space="preserve">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</w:t>
      </w:r>
      <w:r w:rsidRPr="001D71E3">
        <w:lastRenderedPageBreak/>
        <w:t>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</w:tcPr>
          <w:p w14:paraId="14A42849" w14:textId="7A06DF1D" w:rsidR="00D516A3" w:rsidRPr="00D722DC" w:rsidRDefault="00D516A3" w:rsidP="005A538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2A1A70">
              <w:rPr>
                <w:sz w:val="22"/>
                <w:szCs w:val="22"/>
              </w:rPr>
              <w:t xml:space="preserve"> Brně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2A1A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</w:tcPr>
          <w:p w14:paraId="082EFD73" w14:textId="69B8561B" w:rsidR="00D516A3" w:rsidRPr="00D722DC" w:rsidRDefault="002A1A7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EISBERG, a.s.</w:t>
            </w:r>
          </w:p>
          <w:p w14:paraId="0DBDD8DB" w14:textId="0BF50D64" w:rsidR="00D516A3" w:rsidRPr="00D722DC" w:rsidRDefault="002A1A70" w:rsidP="008F123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František Sichler, člen správní rady</w:t>
            </w:r>
          </w:p>
        </w:tc>
        <w:tc>
          <w:tcPr>
            <w:tcW w:w="1134" w:type="dxa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1A48F7A9" w14:textId="77777777" w:rsidR="00ED577E" w:rsidRDefault="00ED577E" w:rsidP="00ED577E">
            <w:pPr>
              <w:pStyle w:val="Zhlav"/>
              <w:tabs>
                <w:tab w:val="left" w:pos="708"/>
              </w:tabs>
              <w:rPr>
                <w:noProof/>
              </w:rPr>
            </w:pPr>
            <w:r>
              <w:t xml:space="preserve">Ing. Michal Doležal, </w:t>
            </w:r>
            <w:r>
              <w:rPr>
                <w:noProof/>
              </w:rPr>
              <w:t>náměstek pro hospodářsko-technickou správu</w:t>
            </w:r>
          </w:p>
          <w:p w14:paraId="4FCABE7E" w14:textId="30416679" w:rsidR="00D516A3" w:rsidRPr="00D722DC" w:rsidRDefault="00D516A3" w:rsidP="00ED577E">
            <w:pPr>
              <w:pStyle w:val="Zhlav"/>
              <w:tabs>
                <w:tab w:val="left" w:pos="708"/>
              </w:tabs>
            </w:pP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AD3660">
        <w:rPr>
          <w:b/>
        </w:rPr>
        <w:t>Specifikace Zboží a jednotkové kupní ceny</w:t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:rsidRPr="00362B53" w14:paraId="41843C99" w14:textId="77777777" w:rsidTr="004E3585">
        <w:tc>
          <w:tcPr>
            <w:tcW w:w="999" w:type="dxa"/>
          </w:tcPr>
          <w:p w14:paraId="7F6B782E" w14:textId="19C89ECD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Položka</w:t>
            </w:r>
          </w:p>
        </w:tc>
        <w:tc>
          <w:tcPr>
            <w:tcW w:w="1406" w:type="dxa"/>
          </w:tcPr>
          <w:p w14:paraId="58EE6D7A" w14:textId="290608D2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3260" w:type="dxa"/>
          </w:tcPr>
          <w:p w14:paraId="4DEAC965" w14:textId="2F4C7D8D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Specifikace</w:t>
            </w:r>
          </w:p>
        </w:tc>
        <w:tc>
          <w:tcPr>
            <w:tcW w:w="1134" w:type="dxa"/>
          </w:tcPr>
          <w:p w14:paraId="433D0CFF" w14:textId="5D5D09E0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Měrná jednotka</w:t>
            </w:r>
          </w:p>
        </w:tc>
        <w:tc>
          <w:tcPr>
            <w:tcW w:w="3261" w:type="dxa"/>
          </w:tcPr>
          <w:p w14:paraId="18285C4B" w14:textId="0A95677C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Přesné označení</w:t>
            </w:r>
            <w:r w:rsidR="00F27018" w:rsidRPr="005A538B">
              <w:rPr>
                <w:rFonts w:ascii="Times New Roman" w:hAnsi="Times New Roman" w:cs="Times New Roman"/>
              </w:rPr>
              <w:t xml:space="preserve"> nabízeného produktu</w:t>
            </w:r>
            <w:r w:rsidR="00BE62D0" w:rsidRPr="005A538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59" w:type="dxa"/>
          </w:tcPr>
          <w:p w14:paraId="5F6971ED" w14:textId="1D3E6983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Minimální trvanlivost</w:t>
            </w:r>
          </w:p>
        </w:tc>
        <w:tc>
          <w:tcPr>
            <w:tcW w:w="1417" w:type="dxa"/>
          </w:tcPr>
          <w:p w14:paraId="6B447247" w14:textId="75E3A253" w:rsidR="00350509" w:rsidRPr="005A538B" w:rsidRDefault="00350509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Cena za MJ bez DPH</w:t>
            </w:r>
            <w:r w:rsidR="00BE62D0" w:rsidRPr="005A538B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958" w:type="dxa"/>
          </w:tcPr>
          <w:p w14:paraId="3BE0FE30" w14:textId="7C73F19E" w:rsidR="00350509" w:rsidRPr="005A538B" w:rsidRDefault="0029322C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DPH</w:t>
            </w:r>
          </w:p>
        </w:tc>
      </w:tr>
      <w:tr w:rsidR="004E3585" w:rsidRPr="00362B53" w14:paraId="1EAD9A49" w14:textId="77777777" w:rsidTr="004E3585">
        <w:tc>
          <w:tcPr>
            <w:tcW w:w="999" w:type="dxa"/>
          </w:tcPr>
          <w:p w14:paraId="527ADFCF" w14:textId="2AA949DF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6" w:type="dxa"/>
          </w:tcPr>
          <w:p w14:paraId="7FCADCCC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stehna</w:t>
            </w:r>
          </w:p>
          <w:p w14:paraId="4EE8F91E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4EEDE4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Mražená, kalibr 220g, volně ložená, mražené IQF.</w:t>
            </w:r>
          </w:p>
          <w:p w14:paraId="5AA9C379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BCCF0D" w14:textId="0D3A9DE5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261" w:type="dxa"/>
          </w:tcPr>
          <w:p w14:paraId="3F2DA04B" w14:textId="35335DC1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stehna 220g</w:t>
            </w:r>
          </w:p>
          <w:p w14:paraId="0F5FF440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1CF899" w14:textId="77777777" w:rsidR="00362B53" w:rsidRPr="005A538B" w:rsidRDefault="00362B53" w:rsidP="00362B53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30 dnů</w:t>
            </w:r>
          </w:p>
          <w:p w14:paraId="6F29FC83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C90F72" w14:textId="3944A767" w:rsidR="0029322C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58" w:type="dxa"/>
          </w:tcPr>
          <w:p w14:paraId="14626AF3" w14:textId="72522AEE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12 %</w:t>
            </w:r>
          </w:p>
        </w:tc>
      </w:tr>
      <w:tr w:rsidR="004E3585" w:rsidRPr="00362B53" w14:paraId="6CB04E79" w14:textId="77777777" w:rsidTr="004E3585">
        <w:tc>
          <w:tcPr>
            <w:tcW w:w="999" w:type="dxa"/>
          </w:tcPr>
          <w:p w14:paraId="5DF1BE4C" w14:textId="264A820B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6" w:type="dxa"/>
          </w:tcPr>
          <w:p w14:paraId="130143A2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prsní řízky</w:t>
            </w:r>
          </w:p>
          <w:p w14:paraId="1E1E46AC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F694E8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 xml:space="preserve">Bez kosti a kůže, mražené bez kůže a kosti a </w:t>
            </w:r>
            <w:proofErr w:type="spellStart"/>
            <w:r w:rsidRPr="005A538B">
              <w:rPr>
                <w:rFonts w:ascii="Times New Roman" w:hAnsi="Times New Roman" w:cs="Times New Roman"/>
              </w:rPr>
              <w:t>innerfiletů</w:t>
            </w:r>
            <w:proofErr w:type="spellEnd"/>
            <w:r w:rsidRPr="005A538B">
              <w:rPr>
                <w:rFonts w:ascii="Times New Roman" w:hAnsi="Times New Roman" w:cs="Times New Roman"/>
              </w:rPr>
              <w:t>, mražené volně, mražené IQF.</w:t>
            </w:r>
          </w:p>
          <w:p w14:paraId="0A89FEE4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043277" w14:textId="33E41762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261" w:type="dxa"/>
          </w:tcPr>
          <w:p w14:paraId="5C4BE7BE" w14:textId="2A5B0200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prsní řízky natural</w:t>
            </w:r>
          </w:p>
          <w:p w14:paraId="1B10DD91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261FE" w14:textId="77777777" w:rsidR="00362B53" w:rsidRPr="005A538B" w:rsidRDefault="00362B53" w:rsidP="00362B53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30 dnů</w:t>
            </w:r>
          </w:p>
          <w:p w14:paraId="7110D186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42F752" w14:textId="7A30A5AC" w:rsidR="0029322C" w:rsidRPr="005A538B" w:rsidRDefault="00ED5763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129,50</w:t>
            </w:r>
          </w:p>
        </w:tc>
        <w:tc>
          <w:tcPr>
            <w:tcW w:w="958" w:type="dxa"/>
          </w:tcPr>
          <w:p w14:paraId="7D16BF28" w14:textId="5E3449A3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12 %</w:t>
            </w:r>
          </w:p>
        </w:tc>
      </w:tr>
      <w:tr w:rsidR="004E3585" w:rsidRPr="00362B53" w14:paraId="03AE2927" w14:textId="77777777" w:rsidTr="004E3585">
        <w:tc>
          <w:tcPr>
            <w:tcW w:w="999" w:type="dxa"/>
          </w:tcPr>
          <w:p w14:paraId="33C31F3B" w14:textId="73763FC1" w:rsidR="0029322C" w:rsidRPr="008E49C0" w:rsidRDefault="007E63A8" w:rsidP="00023008">
            <w:pPr>
              <w:rPr>
                <w:rFonts w:ascii="Times New Roman" w:hAnsi="Times New Roman" w:cs="Times New Roman"/>
              </w:rPr>
            </w:pPr>
            <w:r w:rsidRPr="008E49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</w:tcPr>
          <w:p w14:paraId="68E4825F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stehenní řízek</w:t>
            </w:r>
          </w:p>
          <w:p w14:paraId="5F91F731" w14:textId="77777777" w:rsidR="0029322C" w:rsidRPr="008E49C0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69435A5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Bez kosti a kůže, mražené bez kůže a kosti.</w:t>
            </w:r>
          </w:p>
          <w:p w14:paraId="7DC50E0E" w14:textId="77777777" w:rsidR="0029322C" w:rsidRPr="008E49C0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B92793" w14:textId="2FAA1B26" w:rsidR="0029322C" w:rsidRPr="008E49C0" w:rsidRDefault="007E63A8" w:rsidP="00023008">
            <w:pPr>
              <w:rPr>
                <w:rFonts w:ascii="Times New Roman" w:hAnsi="Times New Roman" w:cs="Times New Roman"/>
              </w:rPr>
            </w:pPr>
            <w:r w:rsidRPr="008E49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261" w:type="dxa"/>
          </w:tcPr>
          <w:p w14:paraId="584276B8" w14:textId="35661414" w:rsidR="007E63A8" w:rsidRPr="005A538B" w:rsidRDefault="007E63A8" w:rsidP="005A538B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stehenní řízek</w:t>
            </w:r>
          </w:p>
          <w:p w14:paraId="592FE8E0" w14:textId="7FED9415" w:rsidR="0029322C" w:rsidRPr="008E49C0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BE1B56" w14:textId="77777777" w:rsidR="00362B53" w:rsidRPr="008E49C0" w:rsidRDefault="00362B53" w:rsidP="00362B53">
            <w:pPr>
              <w:rPr>
                <w:rFonts w:ascii="Times New Roman" w:hAnsi="Times New Roman" w:cs="Times New Roman"/>
              </w:rPr>
            </w:pPr>
            <w:r w:rsidRPr="008E49C0">
              <w:rPr>
                <w:rFonts w:ascii="Times New Roman" w:hAnsi="Times New Roman" w:cs="Times New Roman"/>
              </w:rPr>
              <w:t>30 dnů</w:t>
            </w:r>
          </w:p>
          <w:p w14:paraId="1E05B53D" w14:textId="77777777" w:rsidR="0029322C" w:rsidRPr="008E49C0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06B329" w14:textId="708265A8" w:rsidR="0029322C" w:rsidRPr="008E49C0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101,90</w:t>
            </w:r>
          </w:p>
        </w:tc>
        <w:tc>
          <w:tcPr>
            <w:tcW w:w="958" w:type="dxa"/>
          </w:tcPr>
          <w:p w14:paraId="0814091C" w14:textId="6E9E7FBF" w:rsidR="0029322C" w:rsidRPr="008E49C0" w:rsidRDefault="007E63A8" w:rsidP="00023008">
            <w:pPr>
              <w:rPr>
                <w:rFonts w:ascii="Times New Roman" w:hAnsi="Times New Roman" w:cs="Times New Roman"/>
              </w:rPr>
            </w:pPr>
            <w:r w:rsidRPr="008E49C0">
              <w:rPr>
                <w:rFonts w:ascii="Times New Roman" w:hAnsi="Times New Roman" w:cs="Times New Roman"/>
              </w:rPr>
              <w:t>12 %</w:t>
            </w:r>
          </w:p>
        </w:tc>
      </w:tr>
      <w:tr w:rsidR="004E3585" w:rsidRPr="00362B53" w14:paraId="63CB2674" w14:textId="77777777" w:rsidTr="004E3585">
        <w:tc>
          <w:tcPr>
            <w:tcW w:w="999" w:type="dxa"/>
          </w:tcPr>
          <w:p w14:paraId="427C437A" w14:textId="7509F032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6" w:type="dxa"/>
          </w:tcPr>
          <w:p w14:paraId="7F130516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roláda</w:t>
            </w:r>
          </w:p>
          <w:p w14:paraId="34356EF8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46B06F0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Mražená.</w:t>
            </w:r>
          </w:p>
          <w:p w14:paraId="00EEFD29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72B1EF" w14:textId="28DA4359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261" w:type="dxa"/>
          </w:tcPr>
          <w:p w14:paraId="08A95EB6" w14:textId="208695C7" w:rsidR="007E63A8" w:rsidRPr="005A538B" w:rsidRDefault="007E63A8" w:rsidP="005A538B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Kuřecí roláda plněná</w:t>
            </w:r>
          </w:p>
          <w:p w14:paraId="2A2105D4" w14:textId="1DD2A490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05A2FF" w14:textId="77777777" w:rsidR="00362B53" w:rsidRPr="005A538B" w:rsidRDefault="00362B53" w:rsidP="00362B53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30 dnů</w:t>
            </w:r>
          </w:p>
          <w:p w14:paraId="4FE95986" w14:textId="77777777" w:rsidR="0029322C" w:rsidRPr="005A538B" w:rsidRDefault="0029322C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1C5CC5" w14:textId="3CEEF3AA" w:rsidR="0029322C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134,90</w:t>
            </w:r>
          </w:p>
        </w:tc>
        <w:tc>
          <w:tcPr>
            <w:tcW w:w="958" w:type="dxa"/>
          </w:tcPr>
          <w:p w14:paraId="491FCB68" w14:textId="203F0F37" w:rsidR="0029322C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12 %</w:t>
            </w:r>
          </w:p>
        </w:tc>
      </w:tr>
      <w:tr w:rsidR="007E63A8" w:rsidRPr="00362B53" w14:paraId="7A12459B" w14:textId="77777777" w:rsidTr="004E3585">
        <w:tc>
          <w:tcPr>
            <w:tcW w:w="999" w:type="dxa"/>
          </w:tcPr>
          <w:p w14:paraId="7FFFD64B" w14:textId="15FCCF46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6" w:type="dxa"/>
          </w:tcPr>
          <w:p w14:paraId="332BFE43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Kančí krkovice</w:t>
            </w:r>
          </w:p>
          <w:p w14:paraId="14CCF42F" w14:textId="77777777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34E568E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538B">
              <w:rPr>
                <w:rFonts w:ascii="Times New Roman" w:hAnsi="Times New Roman" w:cs="Times New Roman"/>
              </w:rPr>
              <w:t>Vykoštěná</w:t>
            </w:r>
            <w:proofErr w:type="spellEnd"/>
            <w:r w:rsidRPr="005A538B">
              <w:rPr>
                <w:rFonts w:ascii="Times New Roman" w:hAnsi="Times New Roman" w:cs="Times New Roman"/>
              </w:rPr>
              <w:t xml:space="preserve"> vepřová krkovice, bez lopatkové chrupavky, bez povrchového tuku, bez krevních sraženin, začištěná od třásní, mražená.</w:t>
            </w:r>
          </w:p>
          <w:p w14:paraId="15C06926" w14:textId="77777777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8E8184" w14:textId="5703C5C0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261" w:type="dxa"/>
          </w:tcPr>
          <w:p w14:paraId="230B6CF6" w14:textId="50DF4285" w:rsidR="007E63A8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Kančí krkovice</w:t>
            </w:r>
          </w:p>
        </w:tc>
        <w:tc>
          <w:tcPr>
            <w:tcW w:w="1559" w:type="dxa"/>
          </w:tcPr>
          <w:p w14:paraId="497251E6" w14:textId="77777777" w:rsidR="00362B53" w:rsidRPr="005A538B" w:rsidRDefault="00362B53" w:rsidP="00362B53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30 dnů</w:t>
            </w:r>
          </w:p>
          <w:p w14:paraId="085FE234" w14:textId="77777777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758748" w14:textId="7F219B3B" w:rsidR="007E63A8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958" w:type="dxa"/>
          </w:tcPr>
          <w:p w14:paraId="74D3BD4E" w14:textId="4811820C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12 %</w:t>
            </w:r>
          </w:p>
        </w:tc>
      </w:tr>
      <w:tr w:rsidR="007E63A8" w:rsidRPr="00362B53" w14:paraId="3E7E1D82" w14:textId="77777777" w:rsidTr="004E3585">
        <w:tc>
          <w:tcPr>
            <w:tcW w:w="999" w:type="dxa"/>
          </w:tcPr>
          <w:p w14:paraId="70FBE871" w14:textId="4AADCBE9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6" w:type="dxa"/>
          </w:tcPr>
          <w:p w14:paraId="237E5221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Jelení maso plec</w:t>
            </w:r>
          </w:p>
          <w:p w14:paraId="0B1136A8" w14:textId="77777777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5F2AE39" w14:textId="77777777" w:rsidR="007E63A8" w:rsidRPr="005A538B" w:rsidRDefault="007E63A8" w:rsidP="007E63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Kuchyňská úprava, začištěné od třásní, bez hlubokých zářezů do svaloviny, zbavené kloubních pouzder a krevních sraženin, mražená.</w:t>
            </w:r>
          </w:p>
          <w:p w14:paraId="2E6A8B65" w14:textId="77777777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727CA7" w14:textId="7B89200A" w:rsidR="007E63A8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261" w:type="dxa"/>
          </w:tcPr>
          <w:p w14:paraId="6B250023" w14:textId="0874DBDA" w:rsidR="007E63A8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Jelení plec</w:t>
            </w:r>
          </w:p>
        </w:tc>
        <w:tc>
          <w:tcPr>
            <w:tcW w:w="1559" w:type="dxa"/>
          </w:tcPr>
          <w:p w14:paraId="53CEE324" w14:textId="77777777" w:rsidR="00362B53" w:rsidRPr="005A538B" w:rsidRDefault="00362B53" w:rsidP="00362B53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30 dnů</w:t>
            </w:r>
          </w:p>
          <w:p w14:paraId="05832705" w14:textId="77777777" w:rsidR="007E63A8" w:rsidRPr="005A538B" w:rsidRDefault="007E63A8" w:rsidP="00023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7C984D" w14:textId="37D5165A" w:rsidR="007E63A8" w:rsidRPr="005A538B" w:rsidRDefault="008E49C0" w:rsidP="00023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167,90</w:t>
            </w:r>
          </w:p>
        </w:tc>
        <w:tc>
          <w:tcPr>
            <w:tcW w:w="958" w:type="dxa"/>
          </w:tcPr>
          <w:p w14:paraId="2C5442E5" w14:textId="74FC00E4" w:rsidR="007E63A8" w:rsidRPr="005A538B" w:rsidRDefault="00362B53" w:rsidP="00023008">
            <w:pPr>
              <w:rPr>
                <w:rFonts w:ascii="Times New Roman" w:hAnsi="Times New Roman" w:cs="Times New Roman"/>
              </w:rPr>
            </w:pPr>
            <w:r w:rsidRPr="005A538B">
              <w:rPr>
                <w:rFonts w:ascii="Times New Roman" w:hAnsi="Times New Roman" w:cs="Times New Roman"/>
              </w:rPr>
              <w:t>12 %</w:t>
            </w:r>
          </w:p>
          <w:p w14:paraId="2F1C6B56" w14:textId="77777777" w:rsidR="00362B53" w:rsidRPr="005A538B" w:rsidRDefault="00362B53" w:rsidP="00023008">
            <w:pPr>
              <w:rPr>
                <w:rFonts w:ascii="Times New Roman" w:hAnsi="Times New Roman" w:cs="Times New Roman"/>
              </w:rPr>
            </w:pPr>
          </w:p>
          <w:p w14:paraId="2DEB7F44" w14:textId="5BAE5BD9" w:rsidR="00362B53" w:rsidRPr="005A538B" w:rsidRDefault="00362B53" w:rsidP="00023008">
            <w:pPr>
              <w:rPr>
                <w:rFonts w:ascii="Times New Roman" w:hAnsi="Times New Roman" w:cs="Times New Roman"/>
              </w:rPr>
            </w:pPr>
          </w:p>
        </w:tc>
      </w:tr>
    </w:tbl>
    <w:p w14:paraId="16D79CB4" w14:textId="77777777" w:rsidR="00350509" w:rsidRDefault="00350509" w:rsidP="00023008"/>
    <w:p w14:paraId="124D17CF" w14:textId="6CA19086" w:rsidR="00BE62D0" w:rsidRDefault="00BE62D0" w:rsidP="00BE62D0">
      <w:r>
        <w:t>** Cena přepočtená za měrnou jednotku (cena za 1 kg), nikoliv cena za celé balení, cenové údaje uvádějte s přesností na 2 desetinná místa</w:t>
      </w:r>
    </w:p>
    <w:p w14:paraId="7DAB3DEA" w14:textId="7EB9254E" w:rsidR="00BE62D0" w:rsidRPr="00BE62D0" w:rsidRDefault="00BE62D0" w:rsidP="00BE62D0">
      <w:pPr>
        <w:tabs>
          <w:tab w:val="left" w:pos="11700"/>
        </w:tabs>
      </w:pP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411B0C6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ED577E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0E9EA6C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577E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B95589E6CBE245419EDA5453BF6367B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1C31173" w14:textId="179B83C5" w:rsidR="00D94725" w:rsidRDefault="00D94725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KD/2940/2025/Do</w:t>
        </w:r>
      </w:p>
    </w:sdtContent>
  </w:sdt>
  <w:p w14:paraId="3A8EBB5A" w14:textId="77777777" w:rsidR="00D94725" w:rsidRDefault="00D947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9D171D5"/>
    <w:multiLevelType w:val="hybridMultilevel"/>
    <w:tmpl w:val="6DBEA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1"/>
  </w:num>
  <w:num w:numId="20">
    <w:abstractNumId w:val="0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2099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0B1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A70"/>
    <w:rsid w:val="002A423C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37F9F"/>
    <w:rsid w:val="00343B9B"/>
    <w:rsid w:val="0034523E"/>
    <w:rsid w:val="00346900"/>
    <w:rsid w:val="00350509"/>
    <w:rsid w:val="00350E53"/>
    <w:rsid w:val="00352CD1"/>
    <w:rsid w:val="003571AB"/>
    <w:rsid w:val="003603C6"/>
    <w:rsid w:val="00362B53"/>
    <w:rsid w:val="00371230"/>
    <w:rsid w:val="003732A5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38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354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E63A8"/>
    <w:rsid w:val="007F0866"/>
    <w:rsid w:val="007F216E"/>
    <w:rsid w:val="007F2D01"/>
    <w:rsid w:val="00801C57"/>
    <w:rsid w:val="00803984"/>
    <w:rsid w:val="00804527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B9A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E49C0"/>
    <w:rsid w:val="008F06D4"/>
    <w:rsid w:val="008F123F"/>
    <w:rsid w:val="008F3B32"/>
    <w:rsid w:val="008F5E25"/>
    <w:rsid w:val="008F658D"/>
    <w:rsid w:val="00903DE4"/>
    <w:rsid w:val="00904E77"/>
    <w:rsid w:val="00914542"/>
    <w:rsid w:val="0092320E"/>
    <w:rsid w:val="00923AEE"/>
    <w:rsid w:val="00926B15"/>
    <w:rsid w:val="009349D0"/>
    <w:rsid w:val="009364A6"/>
    <w:rsid w:val="00941D28"/>
    <w:rsid w:val="00942669"/>
    <w:rsid w:val="009436C7"/>
    <w:rsid w:val="00945D74"/>
    <w:rsid w:val="00950039"/>
    <w:rsid w:val="00956C85"/>
    <w:rsid w:val="00960B1F"/>
    <w:rsid w:val="009704BE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0BE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0EA2"/>
    <w:rsid w:val="00AD3660"/>
    <w:rsid w:val="00AD7170"/>
    <w:rsid w:val="00AE1423"/>
    <w:rsid w:val="00AE1821"/>
    <w:rsid w:val="00AE2234"/>
    <w:rsid w:val="00AF1EB1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150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6E26"/>
    <w:rsid w:val="00BA7DC7"/>
    <w:rsid w:val="00BB5167"/>
    <w:rsid w:val="00BB53C3"/>
    <w:rsid w:val="00BC1018"/>
    <w:rsid w:val="00BC1147"/>
    <w:rsid w:val="00BD066D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FF3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737"/>
    <w:rsid w:val="00D56994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4725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DF5D5C"/>
    <w:rsid w:val="00E02379"/>
    <w:rsid w:val="00E034D5"/>
    <w:rsid w:val="00E04FEC"/>
    <w:rsid w:val="00E052D0"/>
    <w:rsid w:val="00E055EA"/>
    <w:rsid w:val="00E12EB9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6F7D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D5763"/>
    <w:rsid w:val="00ED577E"/>
    <w:rsid w:val="00EE0C75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03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C17C4"/>
    <w:rsid w:val="00FC1DA1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5589E6CBE245419EDA5453BF636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6F470-FE8F-412D-95DF-0EE6C354346D}"/>
      </w:docPartPr>
      <w:docPartBody>
        <w:p w:rsidR="004C768B" w:rsidRDefault="00C909E1" w:rsidP="00C909E1">
          <w:pPr>
            <w:pStyle w:val="B95589E6CBE245419EDA5453BF6367BF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E1"/>
    <w:rsid w:val="004C768B"/>
    <w:rsid w:val="00C9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95589E6CBE245419EDA5453BF6367BF">
    <w:name w:val="B95589E6CBE245419EDA5453BF6367BF"/>
    <w:rsid w:val="00C90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918E86-AC91-4703-AE3C-A01E0D98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3457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KD/2940/2025/Do</dc:title>
  <dc:creator>sV</dc:creator>
  <cp:lastModifiedBy>Dorazilová Tereza</cp:lastModifiedBy>
  <cp:revision>14</cp:revision>
  <cp:lastPrinted>2025-06-23T14:00:00Z</cp:lastPrinted>
  <dcterms:created xsi:type="dcterms:W3CDTF">2025-06-23T13:57:00Z</dcterms:created>
  <dcterms:modified xsi:type="dcterms:W3CDTF">2025-08-07T12:49:00Z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