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41E9852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933ECD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6A762086" w14:textId="6B94AE24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933ECD">
        <w:rPr>
          <w:rFonts w:ascii="Times New Roman" w:hAnsi="Times New Roman" w:cs="Times New Roman"/>
          <w:sz w:val="20"/>
          <w:szCs w:val="20"/>
        </w:rPr>
        <w:t>xxxxxxxxxxxxxxxxxxxxxxxxx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4035AED" w14:textId="2C1F72D6" w:rsidR="00536146" w:rsidRPr="00536146" w:rsidRDefault="00536146" w:rsidP="00536146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536146">
        <w:rPr>
          <w:rFonts w:ascii="Times New Roman" w:hAnsi="Times New Roman" w:cs="Times New Roman"/>
          <w:b/>
          <w:bCs/>
          <w:sz w:val="20"/>
          <w:szCs w:val="20"/>
        </w:rPr>
        <w:t>SEKORES Praha s.r.o.</w:t>
      </w:r>
    </w:p>
    <w:p w14:paraId="3FC41D6D" w14:textId="77777777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70CD1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Pr="00536146">
        <w:rPr>
          <w:rFonts w:ascii="Times New Roman" w:hAnsi="Times New Roman" w:cs="Times New Roman"/>
          <w:sz w:val="20"/>
          <w:szCs w:val="20"/>
        </w:rPr>
        <w:t>Městský soud v Praze, oddíl C, vložka 220245</w:t>
      </w:r>
    </w:p>
    <w:p w14:paraId="61A9A4A7" w14:textId="7214347D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Zastoupená: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ECD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441E9480" w14:textId="08D0B47D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Bošilecká</w:t>
      </w:r>
      <w:r w:rsidR="00046A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545/2</w:t>
      </w:r>
      <w:r w:rsidR="00046A28">
        <w:rPr>
          <w:rFonts w:ascii="Times New Roman" w:hAnsi="Times New Roman" w:cs="Times New Roman"/>
          <w:sz w:val="20"/>
          <w:szCs w:val="20"/>
        </w:rPr>
        <w:t>, 198 00 Praha 9</w:t>
      </w:r>
    </w:p>
    <w:p w14:paraId="6433D9AD" w14:textId="77777777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>
        <w:rPr>
          <w:rFonts w:ascii="Times New Roman" w:hAnsi="Times New Roman" w:cs="Times New Roman"/>
          <w:sz w:val="20"/>
          <w:szCs w:val="20"/>
        </w:rPr>
        <w:t>02541840</w:t>
      </w:r>
      <w:r w:rsidRPr="003F715C">
        <w:rPr>
          <w:rFonts w:ascii="Times New Roman" w:hAnsi="Times New Roman" w:cs="Times New Roman"/>
          <w:sz w:val="20"/>
          <w:szCs w:val="20"/>
        </w:rPr>
        <w:t xml:space="preserve"> DIČ:</w:t>
      </w:r>
      <w:r>
        <w:rPr>
          <w:rFonts w:ascii="Times New Roman" w:hAnsi="Times New Roman" w:cs="Times New Roman"/>
          <w:sz w:val="20"/>
          <w:szCs w:val="20"/>
        </w:rPr>
        <w:t xml:space="preserve"> CZ02541840</w:t>
      </w:r>
    </w:p>
    <w:p w14:paraId="3432A042" w14:textId="7D0634C2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</w:t>
      </w:r>
      <w:r w:rsidRPr="005361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ECD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153AD8B9" w14:textId="6E7D824F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Číslo účtu:</w:t>
      </w:r>
      <w:r w:rsidR="00933E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ECD">
        <w:rPr>
          <w:rFonts w:ascii="Times New Roman" w:hAnsi="Times New Roman" w:cs="Times New Roman"/>
          <w:sz w:val="20"/>
          <w:szCs w:val="20"/>
        </w:rPr>
        <w:t>xxxxxxxxxxxxxxxxxxxxxxxxx</w:t>
      </w:r>
      <w:proofErr w:type="spellEnd"/>
    </w:p>
    <w:p w14:paraId="0D98F565" w14:textId="77777777" w:rsidR="00536146" w:rsidRPr="003F715C" w:rsidRDefault="00536146" w:rsidP="0053614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B7995AB" w14:textId="693DEC19" w:rsidR="00FB5D2A" w:rsidRPr="009F39ED" w:rsidRDefault="008B5C0C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 xml:space="preserve">Předmětem této smlouvy je závazek zhotovitele řádně provést a objednateli předat dílo spočívající v opravě hradebního systému NKP Vyšehrad a souvisejících konstrukcí, a to za podmínek stanovených touto smlouvou o dílo SD/830/2025. Předmět díla je specifikován v příloze č. 1 této smlouvy, přičemž rozsah prací i jednotkové ceny za jejich provedení jsou uvedeny v příloze č. 2. </w:t>
      </w:r>
      <w:r w:rsidR="00FB458F" w:rsidRPr="009F39ED">
        <w:rPr>
          <w:rFonts w:eastAsiaTheme="minorHAnsi"/>
        </w:rPr>
        <w:t xml:space="preserve">Přílohy 1 a 2 jsou nedílnou součástí této smlouvy. </w:t>
      </w:r>
      <w:r w:rsidRPr="009F39ED">
        <w:rPr>
          <w:rFonts w:eastAsiaTheme="minorHAnsi"/>
        </w:rPr>
        <w:t xml:space="preserve">Specifikace díla i jednotkové ceny byly vysoutěženy na profilu zadavatele formou zakázky malého rozsahu č. I16/MO/0003/25, zveřejněné v systému Tender Arena dne </w:t>
      </w:r>
      <w:r w:rsidR="00256FA3" w:rsidRPr="009F39ED">
        <w:rPr>
          <w:rFonts w:eastAsiaTheme="minorHAnsi"/>
          <w:b/>
          <w:bCs/>
        </w:rPr>
        <w:t>2</w:t>
      </w:r>
      <w:r w:rsidR="0030765D">
        <w:rPr>
          <w:rFonts w:eastAsiaTheme="minorHAnsi"/>
          <w:b/>
          <w:bCs/>
        </w:rPr>
        <w:t>9</w:t>
      </w:r>
      <w:r w:rsidR="00256FA3" w:rsidRPr="009F39ED">
        <w:rPr>
          <w:rFonts w:eastAsiaTheme="minorHAnsi"/>
          <w:b/>
          <w:bCs/>
        </w:rPr>
        <w:t>. 6. 2025</w:t>
      </w:r>
      <w:r w:rsidRPr="009F39ED">
        <w:rPr>
          <w:rFonts w:eastAsiaTheme="minorHAnsi"/>
        </w:rPr>
        <w:t>, přičemž přílohy č. 1 i 2 této smlouvy plně odpovídají nabídce zhotovitele podané v rámci uvedeného zadávacího řízení</w:t>
      </w:r>
      <w:r w:rsidR="00400E04" w:rsidRPr="009F39ED">
        <w:rPr>
          <w:rFonts w:eastAsiaTheme="minorHAnsi"/>
        </w:rPr>
        <w:t xml:space="preserve"> (dále jen „nabídka“)</w:t>
      </w:r>
      <w:r w:rsidRPr="009F39ED">
        <w:rPr>
          <w:rFonts w:eastAsiaTheme="minorHAnsi"/>
        </w:rPr>
        <w:t xml:space="preserve">. </w:t>
      </w:r>
    </w:p>
    <w:p w14:paraId="3880BD26" w14:textId="673C316F" w:rsidR="008B5C0C" w:rsidRPr="009F39ED" w:rsidRDefault="008B5C0C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 xml:space="preserve">Práce budou prováděny na základě pokynů objednatele, v jím určených etapách a s ohledem na jeho finanční </w:t>
      </w:r>
      <w:r w:rsidR="00F2787B" w:rsidRPr="009F39ED">
        <w:rPr>
          <w:rFonts w:eastAsiaTheme="minorHAnsi"/>
        </w:rPr>
        <w:t>možnosti,</w:t>
      </w:r>
      <w:r w:rsidR="00417A00" w:rsidRPr="009F39ED">
        <w:rPr>
          <w:rFonts w:eastAsiaTheme="minorHAnsi"/>
        </w:rPr>
        <w:t xml:space="preserve"> a to následujícím způsobem:</w:t>
      </w:r>
    </w:p>
    <w:p w14:paraId="6F5A0ABD" w14:textId="79401A3D" w:rsidR="00C2422D" w:rsidRPr="009F39ED" w:rsidRDefault="00D31803" w:rsidP="00417A00">
      <w:pPr>
        <w:pStyle w:val="Odstavecseseznamem"/>
        <w:widowControl w:val="0"/>
        <w:numPr>
          <w:ilvl w:val="1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 xml:space="preserve">Před zahájením </w:t>
      </w:r>
      <w:r w:rsidR="00F04BE2" w:rsidRPr="009F39ED">
        <w:rPr>
          <w:rFonts w:eastAsiaTheme="minorHAnsi"/>
        </w:rPr>
        <w:t>prací</w:t>
      </w:r>
      <w:r w:rsidRPr="009F39ED">
        <w:rPr>
          <w:rFonts w:eastAsiaTheme="minorHAnsi"/>
        </w:rPr>
        <w:t xml:space="preserve"> </w:t>
      </w:r>
      <w:r w:rsidR="00D75E02" w:rsidRPr="009F39ED">
        <w:rPr>
          <w:rFonts w:eastAsiaTheme="minorHAnsi"/>
        </w:rPr>
        <w:t xml:space="preserve">v daném </w:t>
      </w:r>
      <w:r w:rsidR="009E28ED" w:rsidRPr="009F39ED">
        <w:rPr>
          <w:rFonts w:eastAsiaTheme="minorHAnsi"/>
        </w:rPr>
        <w:t xml:space="preserve">kalendářním </w:t>
      </w:r>
      <w:r w:rsidR="00D75E02" w:rsidRPr="009F39ED">
        <w:rPr>
          <w:rFonts w:eastAsiaTheme="minorHAnsi"/>
        </w:rPr>
        <w:t xml:space="preserve">roce předá objednatel zhotoviteli přehled etap </w:t>
      </w:r>
      <w:r w:rsidR="00A54670" w:rsidRPr="009F39ED">
        <w:rPr>
          <w:rFonts w:eastAsiaTheme="minorHAnsi"/>
        </w:rPr>
        <w:t>včetně grafického za</w:t>
      </w:r>
      <w:r w:rsidR="007D0A32" w:rsidRPr="009F39ED">
        <w:rPr>
          <w:rFonts w:eastAsiaTheme="minorHAnsi"/>
        </w:rPr>
        <w:t xml:space="preserve">značení předpokládaného rozsahu, objemu prací </w:t>
      </w:r>
      <w:r w:rsidR="00646EA9" w:rsidRPr="009F39ED">
        <w:rPr>
          <w:rFonts w:eastAsiaTheme="minorHAnsi"/>
        </w:rPr>
        <w:t>a</w:t>
      </w:r>
      <w:r w:rsidR="007D0A32" w:rsidRPr="009F39ED">
        <w:rPr>
          <w:rFonts w:eastAsiaTheme="minorHAnsi"/>
        </w:rPr>
        <w:t xml:space="preserve"> </w:t>
      </w:r>
      <w:r w:rsidR="00D31370" w:rsidRPr="009F39ED">
        <w:rPr>
          <w:rFonts w:eastAsiaTheme="minorHAnsi"/>
        </w:rPr>
        <w:t xml:space="preserve">předpokládané výše plnění </w:t>
      </w:r>
      <w:r w:rsidR="003A15F0" w:rsidRPr="009F39ED">
        <w:rPr>
          <w:rFonts w:eastAsiaTheme="minorHAnsi"/>
        </w:rPr>
        <w:t xml:space="preserve">v jednotlivých etapách </w:t>
      </w:r>
      <w:r w:rsidR="009E28ED" w:rsidRPr="009F39ED">
        <w:rPr>
          <w:rFonts w:eastAsiaTheme="minorHAnsi"/>
        </w:rPr>
        <w:t xml:space="preserve">daného kalendářního roku </w:t>
      </w:r>
      <w:r w:rsidR="00D31370" w:rsidRPr="009F39ED">
        <w:rPr>
          <w:rFonts w:eastAsiaTheme="minorHAnsi"/>
        </w:rPr>
        <w:t>sesta</w:t>
      </w:r>
      <w:r w:rsidR="003A15F0" w:rsidRPr="009F39ED">
        <w:rPr>
          <w:rFonts w:eastAsiaTheme="minorHAnsi"/>
        </w:rPr>
        <w:t xml:space="preserve">vených </w:t>
      </w:r>
      <w:r w:rsidR="005D0508" w:rsidRPr="009F39ED">
        <w:rPr>
          <w:rFonts w:eastAsiaTheme="minorHAnsi"/>
        </w:rPr>
        <w:t>na základě jednotkových ceny uvedených v příloze č. 2</w:t>
      </w:r>
    </w:p>
    <w:p w14:paraId="2B6BFDEB" w14:textId="77777777" w:rsidR="00DB0B0B" w:rsidRPr="009F39ED" w:rsidRDefault="00B14347" w:rsidP="00417A00">
      <w:pPr>
        <w:pStyle w:val="Odstavecseseznamem"/>
        <w:widowControl w:val="0"/>
        <w:numPr>
          <w:ilvl w:val="1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 xml:space="preserve">Zhotovitel </w:t>
      </w:r>
      <w:r w:rsidR="001E5D1F" w:rsidRPr="009F39ED">
        <w:rPr>
          <w:rFonts w:eastAsiaTheme="minorHAnsi"/>
        </w:rPr>
        <w:t xml:space="preserve">na základě </w:t>
      </w:r>
      <w:r w:rsidR="00B76CEC" w:rsidRPr="009F39ED">
        <w:rPr>
          <w:rFonts w:eastAsiaTheme="minorHAnsi"/>
        </w:rPr>
        <w:t>podkladu dle čl. 1. odst. 2.1. předá objednateli</w:t>
      </w:r>
      <w:r w:rsidR="005B2DE5" w:rsidRPr="009F39ED">
        <w:rPr>
          <w:rFonts w:eastAsiaTheme="minorHAnsi"/>
        </w:rPr>
        <w:t xml:space="preserve"> předpokláda</w:t>
      </w:r>
      <w:r w:rsidR="00F04BE2" w:rsidRPr="009F39ED">
        <w:rPr>
          <w:rFonts w:eastAsiaTheme="minorHAnsi"/>
        </w:rPr>
        <w:t>ný rámcový harmonogram pro jednotlivé zadané etapy</w:t>
      </w:r>
      <w:r w:rsidR="001B23A4" w:rsidRPr="009F39ED">
        <w:rPr>
          <w:rFonts w:eastAsiaTheme="minorHAnsi"/>
        </w:rPr>
        <w:t xml:space="preserve"> včetně </w:t>
      </w:r>
      <w:r w:rsidR="002913EB" w:rsidRPr="009F39ED">
        <w:rPr>
          <w:rFonts w:eastAsiaTheme="minorHAnsi"/>
        </w:rPr>
        <w:t xml:space="preserve">případných oprávněných požadavků </w:t>
      </w:r>
      <w:r w:rsidR="00DB0B0B" w:rsidRPr="009F39ED">
        <w:rPr>
          <w:rFonts w:eastAsiaTheme="minorHAnsi"/>
        </w:rPr>
        <w:t>související s předmětem smlouvy.</w:t>
      </w:r>
    </w:p>
    <w:p w14:paraId="0C445133" w14:textId="2528419F" w:rsidR="00417A00" w:rsidRPr="009F39ED" w:rsidRDefault="00686E17" w:rsidP="00417A00">
      <w:pPr>
        <w:pStyle w:val="Odstavecseseznamem"/>
        <w:widowControl w:val="0"/>
        <w:numPr>
          <w:ilvl w:val="1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>Po akceptaci</w:t>
      </w:r>
      <w:r w:rsidR="00F87E28" w:rsidRPr="009F39ED">
        <w:rPr>
          <w:rFonts w:eastAsiaTheme="minorHAnsi"/>
        </w:rPr>
        <w:t xml:space="preserve"> </w:t>
      </w:r>
      <w:r w:rsidR="003F7D71" w:rsidRPr="009F39ED">
        <w:rPr>
          <w:rFonts w:eastAsiaTheme="minorHAnsi"/>
        </w:rPr>
        <w:t xml:space="preserve">kroků </w:t>
      </w:r>
      <w:r w:rsidR="003C44FC" w:rsidRPr="009F39ED">
        <w:rPr>
          <w:rFonts w:eastAsiaTheme="minorHAnsi"/>
        </w:rPr>
        <w:t>uvedených ve</w:t>
      </w:r>
      <w:r w:rsidR="003F7D71" w:rsidRPr="009F39ED">
        <w:rPr>
          <w:rFonts w:eastAsiaTheme="minorHAnsi"/>
        </w:rPr>
        <w:t xml:space="preserve"> čl.1 odst. 2.1. a 2.2.</w:t>
      </w:r>
      <w:r w:rsidRPr="009F39ED">
        <w:rPr>
          <w:rFonts w:eastAsiaTheme="minorHAnsi"/>
        </w:rPr>
        <w:t xml:space="preserve"> </w:t>
      </w:r>
      <w:r w:rsidR="003F7D71" w:rsidRPr="009F39ED">
        <w:rPr>
          <w:rFonts w:eastAsiaTheme="minorHAnsi"/>
        </w:rPr>
        <w:t xml:space="preserve">oběma </w:t>
      </w:r>
      <w:r w:rsidRPr="009F39ED">
        <w:rPr>
          <w:rFonts w:eastAsiaTheme="minorHAnsi"/>
        </w:rPr>
        <w:t>smluvní</w:t>
      </w:r>
      <w:r w:rsidR="003F7D71" w:rsidRPr="009F39ED">
        <w:rPr>
          <w:rFonts w:eastAsiaTheme="minorHAnsi"/>
        </w:rPr>
        <w:t>mi stranami b</w:t>
      </w:r>
      <w:r w:rsidR="003C44FC" w:rsidRPr="009F39ED">
        <w:rPr>
          <w:rFonts w:eastAsiaTheme="minorHAnsi"/>
        </w:rPr>
        <w:t xml:space="preserve">udou zahájeny práce dle </w:t>
      </w:r>
      <w:r w:rsidR="009675FC" w:rsidRPr="009F39ED">
        <w:rPr>
          <w:rFonts w:eastAsiaTheme="minorHAnsi"/>
        </w:rPr>
        <w:t>předpokládaného rámcového harmonogramu pro každou danou etapu</w:t>
      </w:r>
      <w:r w:rsidR="009E28ED" w:rsidRPr="009F39ED">
        <w:rPr>
          <w:rFonts w:eastAsiaTheme="minorHAnsi"/>
        </w:rPr>
        <w:t xml:space="preserve"> a konány pravidelné kontrolní dny</w:t>
      </w:r>
      <w:r w:rsidR="009675FC" w:rsidRPr="009F39ED">
        <w:rPr>
          <w:rFonts w:eastAsiaTheme="minorHAnsi"/>
        </w:rPr>
        <w:t xml:space="preserve">. </w:t>
      </w:r>
    </w:p>
    <w:p w14:paraId="5DCEEEDD" w14:textId="24B41FA5" w:rsidR="00440D50" w:rsidRPr="009F39ED" w:rsidRDefault="009738B8" w:rsidP="00417A00">
      <w:pPr>
        <w:pStyle w:val="Odstavecseseznamem"/>
        <w:widowControl w:val="0"/>
        <w:numPr>
          <w:ilvl w:val="1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9F39ED">
        <w:rPr>
          <w:rFonts w:eastAsiaTheme="minorHAnsi"/>
        </w:rPr>
        <w:t xml:space="preserve">Po provedení </w:t>
      </w:r>
      <w:r w:rsidR="00E715E7" w:rsidRPr="009F39ED">
        <w:rPr>
          <w:rFonts w:eastAsiaTheme="minorHAnsi"/>
        </w:rPr>
        <w:t>každé kategorie prací dle přílohy č.2</w:t>
      </w:r>
      <w:r w:rsidR="00715982" w:rsidRPr="009F39ED">
        <w:rPr>
          <w:rFonts w:eastAsiaTheme="minorHAnsi"/>
        </w:rPr>
        <w:t xml:space="preserve"> vyzve zhotovitel objednatele ke kontrole prací a </w:t>
      </w:r>
      <w:r w:rsidR="00182AD0" w:rsidRPr="009F39ED">
        <w:rPr>
          <w:rFonts w:eastAsiaTheme="minorHAnsi"/>
        </w:rPr>
        <w:t xml:space="preserve">předá mu </w:t>
      </w:r>
      <w:r w:rsidR="00857884" w:rsidRPr="009F39ED">
        <w:rPr>
          <w:rFonts w:eastAsiaTheme="minorHAnsi"/>
        </w:rPr>
        <w:t xml:space="preserve">seznam odchylek od předpokladu </w:t>
      </w:r>
      <w:r w:rsidR="009E28ED" w:rsidRPr="009F39ED">
        <w:rPr>
          <w:rFonts w:eastAsiaTheme="minorHAnsi"/>
        </w:rPr>
        <w:t xml:space="preserve">objednatele vyvolaných postupem prací </w:t>
      </w:r>
      <w:r w:rsidR="00857884" w:rsidRPr="009F39ED">
        <w:rPr>
          <w:rFonts w:eastAsiaTheme="minorHAnsi"/>
        </w:rPr>
        <w:t>k</w:t>
      </w:r>
      <w:r w:rsidR="00A24DF7" w:rsidRPr="009F39ED">
        <w:rPr>
          <w:rFonts w:eastAsiaTheme="minorHAnsi"/>
        </w:rPr>
        <w:t> </w:t>
      </w:r>
      <w:r w:rsidR="00857884" w:rsidRPr="009F39ED">
        <w:rPr>
          <w:rFonts w:eastAsiaTheme="minorHAnsi"/>
        </w:rPr>
        <w:t>posouzení</w:t>
      </w:r>
      <w:r w:rsidR="00A24DF7" w:rsidRPr="009F39ED">
        <w:rPr>
          <w:rFonts w:eastAsiaTheme="minorHAnsi"/>
        </w:rPr>
        <w:t>. Na základě kontroly předá objednatel zhotoviteli upravený předpoklad a vydá pokyn k</w:t>
      </w:r>
      <w:r w:rsidR="00436227" w:rsidRPr="009F39ED">
        <w:rPr>
          <w:rFonts w:eastAsiaTheme="minorHAnsi"/>
        </w:rPr>
        <w:t xml:space="preserve"> zahájení další kategorie prací dle přílohy 2. </w:t>
      </w:r>
      <w:r w:rsidR="0083079C" w:rsidRPr="009F39ED">
        <w:rPr>
          <w:rFonts w:eastAsiaTheme="minorHAnsi"/>
        </w:rPr>
        <w:t>Zho</w:t>
      </w:r>
      <w:r w:rsidR="005274E7" w:rsidRPr="009F39ED">
        <w:rPr>
          <w:rFonts w:eastAsiaTheme="minorHAnsi"/>
        </w:rPr>
        <w:t xml:space="preserve">tovitel neprodleně aktualizuje předpokládaná </w:t>
      </w:r>
      <w:r w:rsidR="007E6542" w:rsidRPr="009F39ED">
        <w:rPr>
          <w:rFonts w:eastAsiaTheme="minorHAnsi"/>
        </w:rPr>
        <w:t xml:space="preserve">rámcový harmonogram a předá jej objednateli. </w:t>
      </w:r>
    </w:p>
    <w:p w14:paraId="014D7832" w14:textId="63CAC53B" w:rsidR="006B34B9" w:rsidRPr="004F4C34" w:rsidRDefault="00440D50" w:rsidP="00417A00">
      <w:pPr>
        <w:pStyle w:val="Odstavecseseznamem"/>
        <w:widowControl w:val="0"/>
        <w:numPr>
          <w:ilvl w:val="1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lastRenderedPageBreak/>
        <w:t xml:space="preserve">Zhotovitel nezahájí další kategorii prací bez </w:t>
      </w:r>
      <w:r w:rsidR="0044297E" w:rsidRPr="004F4C34">
        <w:rPr>
          <w:rFonts w:eastAsiaTheme="minorHAnsi"/>
        </w:rPr>
        <w:t xml:space="preserve">provedení </w:t>
      </w:r>
      <w:r w:rsidR="009D6DB8" w:rsidRPr="004F4C34">
        <w:rPr>
          <w:rFonts w:eastAsiaTheme="minorHAnsi"/>
        </w:rPr>
        <w:t>úkonů</w:t>
      </w:r>
      <w:r w:rsidR="0044297E" w:rsidRPr="004F4C34">
        <w:rPr>
          <w:rFonts w:eastAsiaTheme="minorHAnsi"/>
        </w:rPr>
        <w:t xml:space="preserve"> </w:t>
      </w:r>
      <w:r w:rsidR="009D6DB8" w:rsidRPr="004F4C34">
        <w:rPr>
          <w:rFonts w:eastAsiaTheme="minorHAnsi"/>
        </w:rPr>
        <w:t>u</w:t>
      </w:r>
      <w:r w:rsidR="0044297E" w:rsidRPr="004F4C34">
        <w:rPr>
          <w:rFonts w:eastAsiaTheme="minorHAnsi"/>
        </w:rPr>
        <w:t>v</w:t>
      </w:r>
      <w:r w:rsidR="009D6DB8" w:rsidRPr="004F4C34">
        <w:rPr>
          <w:rFonts w:eastAsiaTheme="minorHAnsi"/>
        </w:rPr>
        <w:t>edených v</w:t>
      </w:r>
      <w:r w:rsidR="0044297E" w:rsidRPr="004F4C34">
        <w:rPr>
          <w:rFonts w:eastAsiaTheme="minorHAnsi"/>
        </w:rPr>
        <w:t> čl. 1</w:t>
      </w:r>
      <w:r w:rsidR="009D6DB8" w:rsidRPr="004F4C34">
        <w:rPr>
          <w:rFonts w:eastAsiaTheme="minorHAnsi"/>
        </w:rPr>
        <w:t xml:space="preserve"> odst. 2.4.</w:t>
      </w:r>
      <w:r w:rsidR="00436227" w:rsidRPr="004F4C34">
        <w:rPr>
          <w:rFonts w:eastAsiaTheme="minorHAnsi"/>
        </w:rPr>
        <w:t xml:space="preserve"> </w:t>
      </w:r>
      <w:r w:rsidR="00857884" w:rsidRPr="004F4C34">
        <w:rPr>
          <w:rFonts w:eastAsiaTheme="minorHAnsi"/>
        </w:rPr>
        <w:t xml:space="preserve"> </w:t>
      </w:r>
      <w:r w:rsidR="00715982" w:rsidRPr="004F4C34">
        <w:rPr>
          <w:rFonts w:eastAsiaTheme="minorHAnsi"/>
        </w:rPr>
        <w:t xml:space="preserve"> </w:t>
      </w:r>
    </w:p>
    <w:p w14:paraId="4AB2A7AA" w14:textId="08643585" w:rsidR="008C1128" w:rsidRPr="004F4C34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 xml:space="preserve">Zhotovitel se touto smlouvou zavazuje k realizaci tohoto díla </w:t>
      </w:r>
      <w:r w:rsidR="009E28ED" w:rsidRPr="004F4C34">
        <w:rPr>
          <w:rFonts w:eastAsiaTheme="minorHAnsi"/>
        </w:rPr>
        <w:t xml:space="preserve">za uvedených podmínek </w:t>
      </w:r>
      <w:r w:rsidRPr="004F4C34">
        <w:rPr>
          <w:rFonts w:eastAsiaTheme="minorHAnsi"/>
        </w:rPr>
        <w:t>a objednatel k</w:t>
      </w:r>
      <w:r w:rsidR="00694D27" w:rsidRPr="004F4C34">
        <w:rPr>
          <w:rFonts w:eastAsiaTheme="minorHAnsi"/>
        </w:rPr>
        <w:t xml:space="preserve"> </w:t>
      </w:r>
      <w:r w:rsidRPr="004F4C34">
        <w:rPr>
          <w:rFonts w:eastAsiaTheme="minorHAnsi"/>
        </w:rPr>
        <w:t xml:space="preserve">jeho zaplacení. </w:t>
      </w:r>
    </w:p>
    <w:p w14:paraId="1EB34068" w14:textId="2DA89F72" w:rsidR="009C61C4" w:rsidRPr="004F4C34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  <w:r w:rsidR="003D57B0" w:rsidRPr="004F4C34">
        <w:rPr>
          <w:rFonts w:eastAsiaTheme="minorHAnsi"/>
        </w:rPr>
        <w:t>Zhotovitel dále prohlašuje, že se předem seznámil s místem plnění</w:t>
      </w:r>
      <w:r w:rsidR="00F22966" w:rsidRPr="004F4C34">
        <w:rPr>
          <w:rFonts w:eastAsiaTheme="minorHAnsi"/>
        </w:rPr>
        <w:t>, včetně podoby a přístupnosti</w:t>
      </w:r>
      <w:r w:rsidR="00DA1A28" w:rsidRPr="004F4C34">
        <w:rPr>
          <w:rFonts w:eastAsiaTheme="minorHAnsi"/>
        </w:rPr>
        <w:t xml:space="preserve"> hradebního systému a souvisejících </w:t>
      </w:r>
      <w:r w:rsidR="00FA7B11" w:rsidRPr="004F4C34">
        <w:rPr>
          <w:rFonts w:eastAsiaTheme="minorHAnsi"/>
        </w:rPr>
        <w:t>konstrukcí, a</w:t>
      </w:r>
      <w:r w:rsidR="003D57B0" w:rsidRPr="004F4C34">
        <w:rPr>
          <w:rFonts w:eastAsiaTheme="minorHAnsi"/>
        </w:rPr>
        <w:t xml:space="preserve"> charakterem prací, které budou předmětem plnění podle této smlouvy.</w:t>
      </w:r>
    </w:p>
    <w:p w14:paraId="02FC8E02" w14:textId="77777777" w:rsidR="00660BED" w:rsidRPr="004F4C34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4F4C34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4F4C34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4C34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4F4C34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4C34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4F4C34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AF9A900" w14:textId="5FD9976C" w:rsidR="005A5A93" w:rsidRPr="004F4C34" w:rsidRDefault="008C1128" w:rsidP="00FA7B1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4F4C34">
        <w:rPr>
          <w:rFonts w:eastAsiaTheme="minorHAnsi"/>
        </w:rPr>
        <w:t xml:space="preserve">Zhotovitel se zavazuje splnit svůj závazek </w:t>
      </w:r>
      <w:r w:rsidR="003D57B0" w:rsidRPr="004F4C34">
        <w:t xml:space="preserve">v průběhu </w:t>
      </w:r>
      <w:r w:rsidR="005A5A93" w:rsidRPr="004F4C34">
        <w:t xml:space="preserve">4 let ode dne podpisu této smlouvy, nebo do vyčerpání finančního limitu ve výši </w:t>
      </w:r>
      <w:r w:rsidR="00400181">
        <w:t>9</w:t>
      </w:r>
      <w:r w:rsidR="005A5A93" w:rsidRPr="004F4C34">
        <w:t xml:space="preserve"> 000 000 Kč bez DPH, podle toho, co nastane dříve</w:t>
      </w:r>
      <w:r w:rsidR="00F22966" w:rsidRPr="004F4C34">
        <w:t>, a to na základě předpokládaných harmonogramů sjednaných podle čl. I bod 2</w:t>
      </w:r>
      <w:r w:rsidR="005A5A93" w:rsidRPr="004F4C34">
        <w:t>.</w:t>
      </w:r>
    </w:p>
    <w:p w14:paraId="4A92ED44" w14:textId="77777777" w:rsidR="00F22966" w:rsidRPr="004F4C34" w:rsidRDefault="00F22966" w:rsidP="005A5A93">
      <w:pPr>
        <w:widowControl w:val="0"/>
        <w:overflowPunct w:val="0"/>
        <w:autoSpaceDE w:val="0"/>
        <w:ind w:left="360" w:right="147" w:firstLine="348"/>
        <w:textAlignment w:val="baseline"/>
      </w:pPr>
    </w:p>
    <w:p w14:paraId="47C013C8" w14:textId="2EC59235" w:rsidR="00DE7DCE" w:rsidRPr="004F4C34" w:rsidRDefault="00BE74F8" w:rsidP="005A5A93">
      <w:pPr>
        <w:widowControl w:val="0"/>
        <w:overflowPunct w:val="0"/>
        <w:autoSpaceDE w:val="0"/>
        <w:ind w:left="360" w:right="147" w:firstLine="348"/>
        <w:textAlignment w:val="baseline"/>
      </w:pPr>
      <w:r w:rsidRPr="004F4C34">
        <w:t>Dílčí termíny</w:t>
      </w:r>
      <w:r w:rsidR="002037DB" w:rsidRPr="004F4C34">
        <w:t>:</w:t>
      </w:r>
    </w:p>
    <w:p w14:paraId="06E7023B" w14:textId="3565D349" w:rsidR="002037DB" w:rsidRPr="004F4C34" w:rsidRDefault="003C2B53" w:rsidP="005A5A93">
      <w:pPr>
        <w:widowControl w:val="0"/>
        <w:overflowPunct w:val="0"/>
        <w:autoSpaceDE w:val="0"/>
        <w:ind w:left="360" w:right="147" w:firstLine="348"/>
        <w:textAlignment w:val="baseline"/>
      </w:pPr>
      <w:r w:rsidRPr="004F4C34">
        <w:t>Činnosti dle č. 1 odst. 2.1</w:t>
      </w:r>
      <w:r w:rsidR="000929B6" w:rsidRPr="004F4C34">
        <w:t>.</w:t>
      </w:r>
      <w:r w:rsidRPr="004F4C34">
        <w:t xml:space="preserve">: </w:t>
      </w:r>
      <w:r w:rsidRPr="004F4C34">
        <w:tab/>
        <w:t xml:space="preserve">do </w:t>
      </w:r>
      <w:r w:rsidR="000929B6" w:rsidRPr="004F4C34">
        <w:t>konce února daného roku</w:t>
      </w:r>
      <w:r w:rsidR="003D57B0" w:rsidRPr="004F4C34">
        <w:t xml:space="preserve">, v prvním roce platnosti smlouvy do </w:t>
      </w:r>
      <w:r w:rsidR="00F22966" w:rsidRPr="004F4C34">
        <w:t xml:space="preserve">jednoho měsíce od podpisu této smlouvy. </w:t>
      </w:r>
      <w:r w:rsidR="003D57B0" w:rsidRPr="004F4C34">
        <w:t xml:space="preserve"> </w:t>
      </w:r>
    </w:p>
    <w:p w14:paraId="71681BB3" w14:textId="3B21CEC7" w:rsidR="000929B6" w:rsidRPr="004F4C34" w:rsidRDefault="000929B6" w:rsidP="005A5A93">
      <w:pPr>
        <w:widowControl w:val="0"/>
        <w:overflowPunct w:val="0"/>
        <w:autoSpaceDE w:val="0"/>
        <w:ind w:left="360" w:right="147" w:firstLine="348"/>
        <w:textAlignment w:val="baseline"/>
      </w:pPr>
      <w:r w:rsidRPr="004F4C34">
        <w:t>Činnosti dle č. 1 odst. 2.2.:</w:t>
      </w:r>
      <w:r w:rsidRPr="004F4C34">
        <w:tab/>
        <w:t>do konce března daného roku</w:t>
      </w:r>
      <w:r w:rsidR="00F22966" w:rsidRPr="004F4C34">
        <w:t>, v prvním roce platnosti smlouvy do</w:t>
      </w:r>
      <w:r w:rsidRPr="004F4C34">
        <w:t xml:space="preserve"> </w:t>
      </w:r>
      <w:r w:rsidR="00F22966" w:rsidRPr="004F4C34">
        <w:t xml:space="preserve">jednoho měsíce od obdržení přehledu etap od objednatele podle čl. I. bod  2.1. </w:t>
      </w:r>
    </w:p>
    <w:p w14:paraId="19314853" w14:textId="002FE16B" w:rsidR="007E6542" w:rsidRPr="004F4C34" w:rsidRDefault="00BB44BE" w:rsidP="00BB44BE">
      <w:pPr>
        <w:widowControl w:val="0"/>
        <w:overflowPunct w:val="0"/>
        <w:autoSpaceDE w:val="0"/>
        <w:ind w:left="360" w:right="147"/>
        <w:textAlignment w:val="baseline"/>
      </w:pPr>
      <w:r w:rsidRPr="004F4C34">
        <w:t>Ostatní dohodnuté dílčí termíny budou uvedeny v předpokládaných harmonogramech jednotlivých etap plnění.</w:t>
      </w:r>
    </w:p>
    <w:p w14:paraId="06240791" w14:textId="4612ADBE" w:rsidR="00694D27" w:rsidRPr="004F4C34" w:rsidRDefault="008C1128" w:rsidP="005C4D47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4F4C34">
        <w:t>Jestliže z důvodů, které leží prokazatelně na straně objednatele, bude zhotoviteli zabráněno</w:t>
      </w:r>
      <w:r w:rsidR="00694D27" w:rsidRPr="004F4C34">
        <w:t xml:space="preserve"> </w:t>
      </w:r>
      <w:r w:rsidRPr="004F4C34">
        <w:t>v plnění jeho smluvních povinností, nebo nastanou klimatické podmínky nevhodné pro provádění díla, má zhotovitel právo přiměřeně prodloužit sjednanou dobu na provedení</w:t>
      </w:r>
      <w:r w:rsidR="00694D27" w:rsidRPr="004F4C34">
        <w:t xml:space="preserve"> </w:t>
      </w:r>
      <w:r w:rsidR="00F22966" w:rsidRPr="004F4C34">
        <w:t xml:space="preserve">jednotlivé etapy </w:t>
      </w:r>
      <w:r w:rsidR="00F32278" w:rsidRPr="004F4C34">
        <w:t>díla</w:t>
      </w:r>
      <w:r w:rsidRPr="004F4C34">
        <w:t>.</w:t>
      </w:r>
    </w:p>
    <w:p w14:paraId="2F4AF78E" w14:textId="7F7081B1" w:rsidR="008C1128" w:rsidRPr="004F4C34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4F4C34">
        <w:t>V případě, že objednatel požádá zhotovitele o provedení víceprací, které mají prokazatelně</w:t>
      </w:r>
      <w:r w:rsidR="00694D27" w:rsidRPr="004F4C34">
        <w:t xml:space="preserve"> </w:t>
      </w:r>
      <w:r w:rsidRPr="004F4C34">
        <w:t>vliv na časový postup prací,</w:t>
      </w:r>
      <w:r w:rsidR="00BD5C85" w:rsidRPr="004F4C34">
        <w:t xml:space="preserve"> může </w:t>
      </w:r>
      <w:r w:rsidRPr="004F4C34">
        <w:t xml:space="preserve">zhotovitel </w:t>
      </w:r>
      <w:r w:rsidR="00BD5C85" w:rsidRPr="004F4C34">
        <w:t xml:space="preserve">po dohodě s objednatelem přiměřeně posunout termín </w:t>
      </w:r>
      <w:r w:rsidRPr="004F4C34">
        <w:t xml:space="preserve">dokončení </w:t>
      </w:r>
      <w:r w:rsidR="00F22966" w:rsidRPr="004F4C34">
        <w:t xml:space="preserve">jednotlivé etapy </w:t>
      </w:r>
      <w:r w:rsidRPr="004F4C34">
        <w:t>díla.</w:t>
      </w:r>
    </w:p>
    <w:p w14:paraId="1AD16DEF" w14:textId="2F7EC0B0" w:rsidR="00BD5C85" w:rsidRPr="004F4C34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4F4C34">
        <w:t>Změna termínu dokončení díla z důvodů uvedených v čl. II. body 2. a 3. musí být objednateli písemně oznámena bez zbytečného odkladu</w:t>
      </w:r>
      <w:r w:rsidR="005676BB" w:rsidRPr="004F4C34">
        <w:t xml:space="preserve">. </w:t>
      </w:r>
    </w:p>
    <w:p w14:paraId="283AE123" w14:textId="2D4863F1" w:rsidR="00694D27" w:rsidRPr="004F4C34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4F4C34">
        <w:t>Místem plnění je areál Národní kulturní památky Vyšehrad</w:t>
      </w:r>
      <w:r w:rsidR="00F22966" w:rsidRPr="004F4C34">
        <w:t xml:space="preserve"> v Praze 2</w:t>
      </w:r>
      <w:r w:rsidRPr="004F4C34">
        <w:t xml:space="preserve">. </w:t>
      </w:r>
    </w:p>
    <w:p w14:paraId="20E0F039" w14:textId="77777777" w:rsidR="008C1128" w:rsidRPr="004F4C3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4F4C34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4F4C34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4C34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4F4C34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4C34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4F4C34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1350FF58" w:rsidR="005676BB" w:rsidRPr="004F4C34" w:rsidRDefault="00694D27" w:rsidP="002F6BA9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 xml:space="preserve">Cena za dílo byla stanovena na základě </w:t>
      </w:r>
      <w:r w:rsidR="00DA1A28" w:rsidRPr="004F4C34">
        <w:rPr>
          <w:rFonts w:eastAsiaTheme="minorHAnsi"/>
        </w:rPr>
        <w:t xml:space="preserve">položkového </w:t>
      </w:r>
      <w:r w:rsidRPr="004F4C34">
        <w:rPr>
          <w:rFonts w:eastAsiaTheme="minorHAnsi"/>
        </w:rPr>
        <w:t>rozpočtu</w:t>
      </w:r>
      <w:r w:rsidR="005676BB" w:rsidRPr="004F4C34">
        <w:rPr>
          <w:rFonts w:eastAsiaTheme="minorHAnsi"/>
        </w:rPr>
        <w:t xml:space="preserve"> </w:t>
      </w:r>
      <w:r w:rsidR="00DA1A28" w:rsidRPr="004F4C34">
        <w:rPr>
          <w:rFonts w:eastAsiaTheme="minorHAnsi"/>
        </w:rPr>
        <w:t xml:space="preserve">obsahujícího jednotkové ceny za jednotlivé položky plnění smlouvy, </w:t>
      </w:r>
      <w:r w:rsidR="00FB458F" w:rsidRPr="004F4C34">
        <w:rPr>
          <w:rFonts w:eastAsiaTheme="minorHAnsi"/>
        </w:rPr>
        <w:t>položkový rozpočet je přílohou č. 2 této smlouvy. Z</w:t>
      </w:r>
      <w:r w:rsidR="004B1E81" w:rsidRPr="004F4C34">
        <w:rPr>
          <w:rFonts w:eastAsiaTheme="minorHAnsi"/>
        </w:rPr>
        <w:t xml:space="preserve">hotovitel prohlašuje, že </w:t>
      </w:r>
      <w:r w:rsidR="00FB458F" w:rsidRPr="004F4C34">
        <w:rPr>
          <w:rFonts w:eastAsiaTheme="minorHAnsi"/>
        </w:rPr>
        <w:t xml:space="preserve">položkový rozpočet </w:t>
      </w:r>
      <w:r w:rsidR="004B1E81" w:rsidRPr="004F4C34">
        <w:rPr>
          <w:rFonts w:eastAsiaTheme="minorHAnsi"/>
        </w:rPr>
        <w:t xml:space="preserve">v sobě </w:t>
      </w:r>
      <w:r w:rsidR="005676BB" w:rsidRPr="004F4C34">
        <w:rPr>
          <w:rFonts w:eastAsiaTheme="minorHAnsi"/>
        </w:rPr>
        <w:t xml:space="preserve">zahrnuje všechny položky </w:t>
      </w:r>
      <w:r w:rsidR="00DE11F7" w:rsidRPr="004F4C34">
        <w:rPr>
          <w:rFonts w:eastAsiaTheme="minorHAnsi"/>
        </w:rPr>
        <w:t xml:space="preserve">dodávek, prací a služeb </w:t>
      </w:r>
      <w:r w:rsidR="005676BB" w:rsidRPr="004F4C34">
        <w:rPr>
          <w:rFonts w:eastAsiaTheme="minorHAnsi"/>
        </w:rPr>
        <w:t>potřebn</w:t>
      </w:r>
      <w:r w:rsidR="00DE11F7" w:rsidRPr="004F4C34">
        <w:rPr>
          <w:rFonts w:eastAsiaTheme="minorHAnsi"/>
        </w:rPr>
        <w:t>ých</w:t>
      </w:r>
      <w:r w:rsidR="005676BB" w:rsidRPr="004F4C34">
        <w:rPr>
          <w:rFonts w:eastAsiaTheme="minorHAnsi"/>
        </w:rPr>
        <w:t xml:space="preserve"> k</w:t>
      </w:r>
      <w:r w:rsidR="005A0393" w:rsidRPr="004F4C34">
        <w:rPr>
          <w:rFonts w:eastAsiaTheme="minorHAnsi"/>
        </w:rPr>
        <w:t xml:space="preserve"> řádnému a úplnému zhotovení díla s přihlédnutím k místním podmínkám a </w:t>
      </w:r>
      <w:r w:rsidR="0002088F" w:rsidRPr="004F4C34">
        <w:rPr>
          <w:rFonts w:eastAsiaTheme="minorHAnsi"/>
        </w:rPr>
        <w:t>specifikaci prací, které jsou přílohou č. 1</w:t>
      </w:r>
      <w:r w:rsidRPr="004F4C34">
        <w:rPr>
          <w:rFonts w:eastAsiaTheme="minorHAnsi"/>
        </w:rPr>
        <w:t>.</w:t>
      </w:r>
      <w:r w:rsidR="005A0393" w:rsidRPr="004F4C34">
        <w:rPr>
          <w:rFonts w:eastAsiaTheme="minorHAnsi"/>
        </w:rPr>
        <w:t xml:space="preserve"> </w:t>
      </w:r>
    </w:p>
    <w:p w14:paraId="309FDCF9" w14:textId="3720B313" w:rsidR="002F6BA9" w:rsidRPr="004F4C34" w:rsidRDefault="002F6BA9" w:rsidP="00321814">
      <w:pPr>
        <w:pStyle w:val="Odstavecseseznamem"/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 xml:space="preserve">Celková maximální cena za dílo po celou dobu trvání smlouvy činí </w:t>
      </w:r>
      <w:r w:rsidR="00343BEE">
        <w:rPr>
          <w:rFonts w:eastAsiaTheme="minorHAnsi"/>
        </w:rPr>
        <w:t>9</w:t>
      </w:r>
      <w:r w:rsidRPr="004F4C34">
        <w:rPr>
          <w:rFonts w:eastAsiaTheme="minorHAnsi"/>
        </w:rPr>
        <w:t xml:space="preserve">.000.000,- Kč bez DPH, tj. </w:t>
      </w:r>
      <w:r w:rsidR="00912C8E">
        <w:rPr>
          <w:rFonts w:eastAsiaTheme="minorHAnsi"/>
        </w:rPr>
        <w:t>10</w:t>
      </w:r>
      <w:r w:rsidRPr="004F4C34">
        <w:rPr>
          <w:rFonts w:eastAsiaTheme="minorHAnsi"/>
        </w:rPr>
        <w:t>.</w:t>
      </w:r>
      <w:r w:rsidR="00912C8E">
        <w:rPr>
          <w:rFonts w:eastAsiaTheme="minorHAnsi"/>
        </w:rPr>
        <w:t>89</w:t>
      </w:r>
      <w:r w:rsidRPr="004F4C34">
        <w:rPr>
          <w:rFonts w:eastAsiaTheme="minorHAnsi"/>
        </w:rPr>
        <w:t>0.000,- Kč včetně DPH (21 % DPH činí 1.</w:t>
      </w:r>
      <w:r w:rsidR="00912C8E">
        <w:rPr>
          <w:rFonts w:eastAsiaTheme="minorHAnsi"/>
        </w:rPr>
        <w:t>89</w:t>
      </w:r>
      <w:r w:rsidRPr="004F4C34">
        <w:rPr>
          <w:rFonts w:eastAsiaTheme="minorHAnsi"/>
        </w:rPr>
        <w:t>0.000,- Kč). Objednatel uhradí cenu za dílo postupně na základě faktur vystavených zhotovitelem</w:t>
      </w:r>
      <w:r w:rsidR="00707F3B" w:rsidRPr="004F4C34">
        <w:rPr>
          <w:rFonts w:eastAsiaTheme="minorHAnsi"/>
        </w:rPr>
        <w:t xml:space="preserve"> v souladu s čl. IV.</w:t>
      </w:r>
      <w:r w:rsidRPr="004F4C34">
        <w:rPr>
          <w:rFonts w:eastAsiaTheme="minorHAnsi"/>
        </w:rPr>
        <w:t xml:space="preserve">, a to </w:t>
      </w:r>
      <w:r w:rsidR="00707F3B" w:rsidRPr="004F4C34">
        <w:rPr>
          <w:rFonts w:eastAsiaTheme="minorHAnsi"/>
        </w:rPr>
        <w:t xml:space="preserve">v součtu </w:t>
      </w:r>
      <w:r w:rsidRPr="004F4C34">
        <w:rPr>
          <w:rFonts w:eastAsiaTheme="minorHAnsi"/>
        </w:rPr>
        <w:t>až do výše ujednané maximální ceny. Cena bude stanovena na základě skutečně provedených prací a v souladu s jednotkovými cenami uvedenými v příloze č. 2 této smlouvy.</w:t>
      </w:r>
    </w:p>
    <w:p w14:paraId="535D0256" w14:textId="17FEC28F" w:rsidR="00F3598B" w:rsidRPr="004F4C34" w:rsidRDefault="00694D27" w:rsidP="002F6BA9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4F4C34">
        <w:rPr>
          <w:rFonts w:eastAsiaTheme="minorHAnsi"/>
        </w:rPr>
        <w:t>Uvedená cena je cenou maximální, pokud se nezmění smluvní rozsah</w:t>
      </w:r>
      <w:r w:rsidR="003F715C" w:rsidRPr="004F4C34">
        <w:rPr>
          <w:rFonts w:eastAsiaTheme="minorHAnsi"/>
        </w:rPr>
        <w:t xml:space="preserve"> </w:t>
      </w:r>
      <w:r w:rsidR="005A0393" w:rsidRPr="004F4C34">
        <w:rPr>
          <w:rFonts w:eastAsiaTheme="minorHAnsi"/>
        </w:rPr>
        <w:t xml:space="preserve">díla </w:t>
      </w:r>
      <w:r w:rsidRPr="004F4C34">
        <w:rPr>
          <w:rFonts w:eastAsiaTheme="minorHAnsi"/>
        </w:rPr>
        <w:t xml:space="preserve">nebo sazba DPH. Náklady </w:t>
      </w:r>
      <w:r w:rsidR="005A0393" w:rsidRPr="004F4C34">
        <w:rPr>
          <w:rFonts w:eastAsiaTheme="minorHAnsi"/>
        </w:rPr>
        <w:t xml:space="preserve">související s provedením díla, zejména </w:t>
      </w:r>
      <w:r w:rsidRPr="004F4C34">
        <w:rPr>
          <w:rFonts w:eastAsiaTheme="minorHAnsi"/>
        </w:rPr>
        <w:t>na dopravu na místo stavby, náklady na ochranná a bezpečnostní opatření</w:t>
      </w:r>
      <w:r w:rsidR="005A0393" w:rsidRPr="004F4C34">
        <w:rPr>
          <w:rFonts w:eastAsiaTheme="minorHAnsi"/>
        </w:rPr>
        <w:t>, pojištění včetně pojištění odpovědnosti, spotřeba vody a energií</w:t>
      </w:r>
      <w:r w:rsidRPr="004F4C34">
        <w:rPr>
          <w:rFonts w:eastAsiaTheme="minorHAnsi"/>
        </w:rPr>
        <w:t xml:space="preserve"> jakož i náklady na denní </w:t>
      </w:r>
      <w:r w:rsidR="005A0393" w:rsidRPr="004F4C34">
        <w:rPr>
          <w:rFonts w:eastAsiaTheme="minorHAnsi"/>
        </w:rPr>
        <w:t xml:space="preserve">i závěrečný </w:t>
      </w:r>
      <w:r w:rsidRPr="004F4C34">
        <w:rPr>
          <w:rFonts w:eastAsiaTheme="minorHAnsi"/>
        </w:rPr>
        <w:t>úklid staveniště</w:t>
      </w:r>
      <w:r w:rsidR="005A0393" w:rsidRPr="004F4C34">
        <w:rPr>
          <w:rFonts w:eastAsiaTheme="minorHAnsi"/>
        </w:rPr>
        <w:t xml:space="preserve"> a odvoz odpadů</w:t>
      </w:r>
      <w:r w:rsidRPr="004F4C34">
        <w:rPr>
          <w:rFonts w:eastAsiaTheme="minorHAnsi"/>
        </w:rPr>
        <w:t xml:space="preserve"> jsou zahrnuty v cenách </w:t>
      </w:r>
      <w:r w:rsidR="00FB458F" w:rsidRPr="004F4C34">
        <w:rPr>
          <w:rFonts w:eastAsiaTheme="minorHAnsi"/>
        </w:rPr>
        <w:t>za jednotlivé položky v položkovém rozpočtu</w:t>
      </w:r>
      <w:r w:rsidRPr="004F4C34">
        <w:rPr>
          <w:rFonts w:eastAsiaTheme="minorHAnsi"/>
        </w:rPr>
        <w:t xml:space="preserve">. </w:t>
      </w:r>
      <w:r w:rsidR="004B1E81" w:rsidRPr="004F4C34">
        <w:rPr>
          <w:rFonts w:eastAsiaTheme="minorHAnsi"/>
        </w:rPr>
        <w:t>Pokud v průběhu provádění díla vyvstane potřeba dodávk</w:t>
      </w:r>
      <w:r w:rsidR="004B294F" w:rsidRPr="004F4C34">
        <w:rPr>
          <w:rFonts w:eastAsiaTheme="minorHAnsi"/>
        </w:rPr>
        <w:t>y</w:t>
      </w:r>
      <w:r w:rsidR="004B1E81" w:rsidRPr="004F4C34">
        <w:rPr>
          <w:rFonts w:eastAsiaTheme="minorHAnsi"/>
        </w:rPr>
        <w:t>, pr</w:t>
      </w:r>
      <w:r w:rsidR="004B294F" w:rsidRPr="004F4C34">
        <w:rPr>
          <w:rFonts w:eastAsiaTheme="minorHAnsi"/>
        </w:rPr>
        <w:t>á</w:t>
      </w:r>
      <w:r w:rsidR="004B1E81" w:rsidRPr="004F4C34">
        <w:rPr>
          <w:rFonts w:eastAsiaTheme="minorHAnsi"/>
        </w:rPr>
        <w:t>c</w:t>
      </w:r>
      <w:r w:rsidR="004B294F" w:rsidRPr="004F4C34">
        <w:rPr>
          <w:rFonts w:eastAsiaTheme="minorHAnsi"/>
        </w:rPr>
        <w:t>e</w:t>
      </w:r>
      <w:r w:rsidR="004B1E81" w:rsidRPr="004F4C34">
        <w:rPr>
          <w:rFonts w:eastAsiaTheme="minorHAnsi"/>
        </w:rPr>
        <w:t xml:space="preserve"> či služb</w:t>
      </w:r>
      <w:r w:rsidR="004B294F" w:rsidRPr="004F4C34">
        <w:rPr>
          <w:rFonts w:eastAsiaTheme="minorHAnsi"/>
        </w:rPr>
        <w:t>y</w:t>
      </w:r>
      <w:r w:rsidR="004B1E81" w:rsidRPr="004F4C34">
        <w:rPr>
          <w:rFonts w:eastAsiaTheme="minorHAnsi"/>
        </w:rPr>
        <w:t xml:space="preserve"> v </w:t>
      </w:r>
      <w:r w:rsidR="00FB458F" w:rsidRPr="004F4C34">
        <w:rPr>
          <w:rFonts w:eastAsiaTheme="minorHAnsi"/>
        </w:rPr>
        <w:t xml:space="preserve">položkovém </w:t>
      </w:r>
      <w:r w:rsidR="004B1E81" w:rsidRPr="004F4C34">
        <w:rPr>
          <w:rFonts w:eastAsiaTheme="minorHAnsi"/>
        </w:rPr>
        <w:t xml:space="preserve">rozpočtu neuvedená, ač podle objednatelem poskytnutých podkladů měla být do </w:t>
      </w:r>
      <w:r w:rsidR="004B294F" w:rsidRPr="004F4C34">
        <w:rPr>
          <w:rFonts w:eastAsiaTheme="minorHAnsi"/>
        </w:rPr>
        <w:t xml:space="preserve">nabídkového </w:t>
      </w:r>
      <w:r w:rsidR="004B1E81" w:rsidRPr="004F4C34">
        <w:rPr>
          <w:rFonts w:eastAsiaTheme="minorHAnsi"/>
        </w:rPr>
        <w:t xml:space="preserve">rozpočtu zahrnuta, </w:t>
      </w:r>
      <w:r w:rsidR="004B294F" w:rsidRPr="004F4C34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199FE9AC" w14:textId="237A9F40" w:rsidR="00FD2153" w:rsidRPr="004F4C34" w:rsidRDefault="00694D27" w:rsidP="002F6BA9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4F4C34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jinou technicky srozumitelnou formou.</w:t>
      </w:r>
      <w:r w:rsidR="0064317A" w:rsidRPr="004F4C34">
        <w:t xml:space="preserve"> </w:t>
      </w:r>
      <w:r w:rsidR="00916876" w:rsidRPr="004F4C34">
        <w:t xml:space="preserve">Vícepráce nebudou objednatelem hrazeny, pokud nebyly předem písemně schváleny s uvedením ceny a </w:t>
      </w:r>
      <w:r w:rsidR="00916876" w:rsidRPr="004F4C34">
        <w:lastRenderedPageBreak/>
        <w:t>termínu provedení</w:t>
      </w:r>
      <w:r w:rsidR="00912972" w:rsidRPr="004F4C34">
        <w:t xml:space="preserve">. </w:t>
      </w:r>
      <w:r w:rsidR="0064317A" w:rsidRPr="004F4C34">
        <w:t>Cena za tyto vícepráce se započítává do celkové maximální ceny za dílo sjednané ve smlouvě, pokud smluvní strany písemně neuvedou jinak.</w:t>
      </w:r>
      <w:r w:rsidR="00916876" w:rsidRPr="004F4C34">
        <w:t xml:space="preserve"> </w:t>
      </w:r>
    </w:p>
    <w:p w14:paraId="27C59A79" w14:textId="453226E1" w:rsidR="00694D27" w:rsidRPr="004F4C34" w:rsidRDefault="00694D27" w:rsidP="002F6BA9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4F4C34">
        <w:t>Cena za požadované vícepráce bude stanovena</w:t>
      </w:r>
      <w:r w:rsidR="00F32278" w:rsidRPr="004F4C34">
        <w:t>,</w:t>
      </w:r>
      <w:r w:rsidRPr="004F4C34">
        <w:t xml:space="preserve"> </w:t>
      </w:r>
      <w:r w:rsidR="00F32278" w:rsidRPr="004F4C34">
        <w:t xml:space="preserve">nebude-li dohodnuto jinak, </w:t>
      </w:r>
      <w:r w:rsidRPr="004F4C34">
        <w:t>dle jednotkových cen z</w:t>
      </w:r>
      <w:r w:rsidR="00FB458F" w:rsidRPr="004F4C34">
        <w:t> položkového rozpočtu</w:t>
      </w:r>
      <w:r w:rsidRPr="004F4C34">
        <w:t>. Vícepráce, které se v</w:t>
      </w:r>
      <w:r w:rsidR="00FB458F" w:rsidRPr="004F4C34">
        <w:t xml:space="preserve"> položkovém rozpočtu </w:t>
      </w:r>
      <w:r w:rsidRPr="004F4C34">
        <w:t>nevyskytovaly, budou oceněny dle stejného cenového podkladu jako ceny v původní nabídce</w:t>
      </w:r>
      <w:r w:rsidR="00400E04" w:rsidRPr="004F4C34">
        <w:t>, maximálně cenou obvyklou</w:t>
      </w:r>
      <w:r w:rsidRPr="004F4C34">
        <w:t>.</w:t>
      </w:r>
    </w:p>
    <w:p w14:paraId="69FB51AE" w14:textId="3559B504" w:rsidR="00C228C7" w:rsidRPr="004F4C34" w:rsidRDefault="00C228C7" w:rsidP="002F6BA9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4F4C34">
        <w:t>Zhotovitel bere na vědomí a výslovně souhlasí s tím, že sjednaná cena za dílo je pevná a neměnná. Zhotovitel není oprávněn požadovat zvýšení ceny z důvodu změny cen materiálů, mezd, energií, inflace, nedostatku pracovní síly ani z jiných obdobných důvodů vzniklých po podpisu této smlouvy. Smluvní cena může být měněna pouze v případech výslovně uvedených v této smlouvě.</w:t>
      </w:r>
    </w:p>
    <w:p w14:paraId="5FBC025E" w14:textId="47B143AA" w:rsidR="00753C1D" w:rsidRPr="004F4C34" w:rsidRDefault="00753C1D" w:rsidP="002F6BA9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4F4C34">
        <w:t xml:space="preserve">Zhotovitel nese odpovědnost za úplnost své nabídky </w:t>
      </w:r>
      <w:r w:rsidR="00400E04" w:rsidRPr="004F4C34">
        <w:t>na</w:t>
      </w:r>
      <w:r w:rsidR="000338A2" w:rsidRPr="004F4C34">
        <w:t xml:space="preserve"> </w:t>
      </w:r>
      <w:r w:rsidR="00321814" w:rsidRPr="004F4C34">
        <w:t>základě,</w:t>
      </w:r>
      <w:r w:rsidR="00400E04" w:rsidRPr="004F4C34">
        <w:t xml:space="preserve"> které byl sjednán položkový rozpočet, </w:t>
      </w:r>
      <w:r w:rsidRPr="004F4C34">
        <w:t>ve vztahu ke všem zadávacím podkladům</w:t>
      </w:r>
      <w:r w:rsidR="00400E04" w:rsidRPr="004F4C34">
        <w:t xml:space="preserve"> a fyzické prohlídky místa plnění smlouvy</w:t>
      </w:r>
      <w:r w:rsidRPr="004F4C34">
        <w:t>. Veškeré práce, dodávky nebo služby, které nejsou výslovně uvedeny v</w:t>
      </w:r>
      <w:r w:rsidR="00400E04" w:rsidRPr="004F4C34">
        <w:t> položkovém rozpočtu</w:t>
      </w:r>
      <w:r w:rsidRPr="004F4C34">
        <w:t>, avšak jsou nezbytné pro řádné, bezpečné a funkční dokončení díla a vyplývají ze zadávací dokumentace, technických norem nebo zákonných požadavků, provede zhotovitel na svůj náklad, bez nároku na zvýšení ceny díla.</w:t>
      </w:r>
    </w:p>
    <w:p w14:paraId="32F0341A" w14:textId="509F8794" w:rsidR="00694D27" w:rsidRPr="004F4C34" w:rsidRDefault="00694D27" w:rsidP="002F6BA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3F2D3935" w:rsidR="00FD2153" w:rsidRPr="004F4C34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rPr>
          <w:rFonts w:eastAsiaTheme="minorHAnsi"/>
        </w:rPr>
        <w:t xml:space="preserve">Zhotovitel bude fakturovat </w:t>
      </w:r>
      <w:r w:rsidR="00F32278" w:rsidRPr="004F4C34">
        <w:rPr>
          <w:rFonts w:eastAsiaTheme="minorHAnsi"/>
        </w:rPr>
        <w:t xml:space="preserve">cenu díla postupně </w:t>
      </w:r>
      <w:r w:rsidRPr="004F4C34">
        <w:rPr>
          <w:rFonts w:eastAsiaTheme="minorHAnsi"/>
        </w:rPr>
        <w:t>dle skutečně provedených prací</w:t>
      </w:r>
      <w:r w:rsidR="00A12BB4" w:rsidRPr="004F4C34">
        <w:rPr>
          <w:rFonts w:eastAsiaTheme="minorHAnsi"/>
        </w:rPr>
        <w:t xml:space="preserve"> v zadané </w:t>
      </w:r>
      <w:r w:rsidR="00EB0F6A" w:rsidRPr="004F4C34">
        <w:rPr>
          <w:rFonts w:eastAsiaTheme="minorHAnsi"/>
        </w:rPr>
        <w:t>etapě,</w:t>
      </w:r>
      <w:r w:rsidRPr="004F4C34">
        <w:rPr>
          <w:rFonts w:eastAsiaTheme="minorHAnsi"/>
        </w:rPr>
        <w:t xml:space="preserve"> a to do výše 90% celkové ceny.</w:t>
      </w:r>
    </w:p>
    <w:p w14:paraId="23233F41" w14:textId="2A04EE33" w:rsidR="00FD2153" w:rsidRPr="004F4C34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>Konečná faktura</w:t>
      </w:r>
      <w:r w:rsidR="00F32278" w:rsidRPr="004F4C34">
        <w:t xml:space="preserve"> s vyúčtováním provedených prací</w:t>
      </w:r>
      <w:r w:rsidR="00A12BB4" w:rsidRPr="004F4C34">
        <w:t xml:space="preserve"> v dané etapě</w:t>
      </w:r>
      <w:r w:rsidRPr="004F4C34">
        <w:t xml:space="preserve"> do výše 100% celkové ceny </w:t>
      </w:r>
      <w:r w:rsidR="00F32278" w:rsidRPr="004F4C34">
        <w:t xml:space="preserve">bude vystavena </w:t>
      </w:r>
      <w:r w:rsidR="005A0393" w:rsidRPr="004F4C34">
        <w:t xml:space="preserve">a </w:t>
      </w:r>
      <w:r w:rsidRPr="004F4C34">
        <w:t>bude objednatelem proplacena po předání díla a odstranění případných vad a nedodělků.</w:t>
      </w:r>
    </w:p>
    <w:p w14:paraId="058102D5" w14:textId="102ECF4C" w:rsidR="00712133" w:rsidRPr="004F4C34" w:rsidRDefault="00712133" w:rsidP="00712133">
      <w:pPr>
        <w:pStyle w:val="Odstavecseseznamem"/>
        <w:numPr>
          <w:ilvl w:val="0"/>
          <w:numId w:val="31"/>
        </w:numPr>
      </w:pPr>
      <w:r w:rsidRPr="004F4C34">
        <w:t xml:space="preserve">Faktura bude zaslána elektronicky na adresu: </w:t>
      </w:r>
      <w:proofErr w:type="spellStart"/>
      <w:r w:rsidR="00933ECD">
        <w:t>xxxxxxxxxxxxxxxxxxxxxxx</w:t>
      </w:r>
      <w:proofErr w:type="spellEnd"/>
      <w:r w:rsidR="00933ECD">
        <w:t xml:space="preserve"> </w:t>
      </w:r>
      <w:r w:rsidRPr="004F4C34">
        <w:t>nebo do datové schránky č. h528pgw včetně všech příloh.</w:t>
      </w:r>
      <w:r w:rsidR="00CC61ED" w:rsidRPr="004F4C34">
        <w:t xml:space="preserve"> </w:t>
      </w:r>
      <w:r w:rsidR="00A1772C" w:rsidRPr="004F4C34">
        <w:t xml:space="preserve">Poslední faktura v kalendářním roce bude vystavena nejpozději do 20.12. daného roku. </w:t>
      </w:r>
      <w:r w:rsidRPr="004F4C34">
        <w:t xml:space="preserve">  </w:t>
      </w:r>
    </w:p>
    <w:p w14:paraId="5586E73C" w14:textId="0FF3844A" w:rsidR="00E92B37" w:rsidRPr="004F4C34" w:rsidRDefault="00E92B37" w:rsidP="0037614C">
      <w:pPr>
        <w:widowControl w:val="0"/>
        <w:tabs>
          <w:tab w:val="left" w:pos="100"/>
          <w:tab w:val="left" w:pos="100"/>
          <w:tab w:val="left" w:pos="142"/>
        </w:tabs>
        <w:suppressAutoHyphens/>
        <w:overflowPunct w:val="0"/>
        <w:autoSpaceDE w:val="0"/>
        <w:ind w:left="360" w:right="147" w:hanging="360"/>
        <w:jc w:val="both"/>
        <w:textAlignment w:val="baseline"/>
      </w:pPr>
      <w:r w:rsidRPr="004F4C34">
        <w:t xml:space="preserve">4. </w:t>
      </w:r>
      <w:r w:rsidRPr="004F4C34">
        <w:tab/>
        <w:t>Úhradu provede objednatel převodním příkazem na</w:t>
      </w:r>
      <w:r w:rsidR="00707F3B" w:rsidRPr="004F4C34">
        <w:t xml:space="preserve"> bankovní</w:t>
      </w:r>
      <w:r w:rsidRPr="004F4C34">
        <w:t xml:space="preserve"> účet zhotovitele </w:t>
      </w:r>
      <w:r w:rsidR="00707F3B" w:rsidRPr="004F4C34">
        <w:t xml:space="preserve">vedený v České republice </w:t>
      </w:r>
      <w:r w:rsidRPr="004F4C34">
        <w:t>na základě řádně vystavených faktur, a to do 14 dnů ode dne jejich doručení. Při pochybnostech se má za to, že faktura byla doručena třetím pracovním dnem po jejím prokazatelném odeslání na adresu příjemce.</w:t>
      </w:r>
      <w:r w:rsidR="0037614C" w:rsidRPr="004F4C34">
        <w:t xml:space="preserve"> </w:t>
      </w:r>
      <w:r w:rsidRPr="004F4C34">
        <w:t>Faktura musí obsahovat veškeré zákonné a smluvní náležitosti. V případě, že faktura tyto náležitosti nesplňuje, je objednatel oprávněn ji vrátit zhotoviteli k přepracování, přičemž lhůta splatnosti začne běžet znovu až ode dne doručení opravené faktury objednateli.</w:t>
      </w:r>
    </w:p>
    <w:p w14:paraId="0F002757" w14:textId="77777777" w:rsidR="00FD2153" w:rsidRPr="003F715C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35A35DA0" w:rsidR="00FD2153" w:rsidRPr="004F4C34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rPr>
          <w:rFonts w:eastAsiaTheme="minorHAnsi"/>
        </w:rPr>
        <w:t xml:space="preserve">V případě prodlení zhotovitele s dokončením </w:t>
      </w:r>
      <w:r w:rsidR="000E6693" w:rsidRPr="004F4C34">
        <w:rPr>
          <w:rFonts w:eastAsiaTheme="minorHAnsi"/>
        </w:rPr>
        <w:t xml:space="preserve">části </w:t>
      </w:r>
      <w:r w:rsidRPr="004F4C34">
        <w:rPr>
          <w:rFonts w:eastAsiaTheme="minorHAnsi"/>
        </w:rPr>
        <w:t xml:space="preserve">díla </w:t>
      </w:r>
      <w:r w:rsidR="000E6693" w:rsidRPr="004F4C34">
        <w:rPr>
          <w:rFonts w:eastAsiaTheme="minorHAnsi"/>
        </w:rPr>
        <w:t>(etapy dle čl. I. smlouvy</w:t>
      </w:r>
      <w:r w:rsidR="000338A2" w:rsidRPr="004F4C34">
        <w:rPr>
          <w:rFonts w:eastAsiaTheme="minorHAnsi"/>
        </w:rPr>
        <w:t xml:space="preserve"> a sjednaného harmonogramu</w:t>
      </w:r>
      <w:r w:rsidR="000E6693" w:rsidRPr="004F4C34">
        <w:rPr>
          <w:rFonts w:eastAsiaTheme="minorHAnsi"/>
        </w:rPr>
        <w:t xml:space="preserve">) </w:t>
      </w:r>
      <w:r w:rsidRPr="004F4C34">
        <w:rPr>
          <w:rFonts w:eastAsiaTheme="minorHAnsi"/>
        </w:rPr>
        <w:t xml:space="preserve">se sjednává smluvní pokuta zhotoviteli ve výši 0,05% z celkové ceny </w:t>
      </w:r>
      <w:r w:rsidR="000E6693" w:rsidRPr="004F4C34">
        <w:rPr>
          <w:rFonts w:eastAsiaTheme="minorHAnsi"/>
        </w:rPr>
        <w:t xml:space="preserve">za tuto etapu </w:t>
      </w:r>
      <w:r w:rsidRPr="004F4C34">
        <w:rPr>
          <w:rFonts w:eastAsiaTheme="minorHAnsi"/>
        </w:rPr>
        <w:t>díla</w:t>
      </w:r>
      <w:r w:rsidR="008A39DC" w:rsidRPr="004F4C34">
        <w:rPr>
          <w:rFonts w:eastAsiaTheme="minorHAnsi"/>
        </w:rPr>
        <w:t xml:space="preserve"> bez DPH</w:t>
      </w:r>
      <w:r w:rsidRPr="004F4C34">
        <w:rPr>
          <w:rFonts w:eastAsiaTheme="minorHAnsi"/>
        </w:rPr>
        <w:t>, za každý den prodlení.</w:t>
      </w:r>
    </w:p>
    <w:p w14:paraId="66A6208E" w14:textId="5D5EA7B7" w:rsidR="00FD2153" w:rsidRPr="004F4C34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 xml:space="preserve">V případě prodlení objednatele s úhradou faktury se sjednává smluvní pokuta objednateli ve výši 0,05% z ceny </w:t>
      </w:r>
      <w:r w:rsidR="008A39DC" w:rsidRPr="004F4C34">
        <w:t xml:space="preserve">díla bez DPH podle </w:t>
      </w:r>
      <w:r w:rsidRPr="004F4C34">
        <w:t>příslušné faktury za každý den prodlení.</w:t>
      </w:r>
    </w:p>
    <w:p w14:paraId="4A25C938" w14:textId="0114A117" w:rsidR="0053704A" w:rsidRPr="004F4C34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>V případě porušení povinnosti zhotovitele podle čl. VII. této smlouvy se sjednává smluvní pokuta ve výši 5.000,-Kč za každé jednotlivé porušení smlouvy</w:t>
      </w:r>
      <w:r w:rsidR="000338A2" w:rsidRPr="004F4C34">
        <w:t>.</w:t>
      </w:r>
    </w:p>
    <w:p w14:paraId="752E3104" w14:textId="458D9DD6" w:rsidR="00C1430A" w:rsidRPr="004F4C34" w:rsidRDefault="00C1430A" w:rsidP="00C1430A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>V případě prodlení zhotovitele s odstraněním vady v záruční době dle čl. IX této smlouvy se sjednává smluvní pokuta ve výši 1.000,- Kč za každý den prodlení.</w:t>
      </w:r>
    </w:p>
    <w:p w14:paraId="35A30901" w14:textId="081B6709" w:rsidR="00C1430A" w:rsidRPr="004F4C34" w:rsidRDefault="00C1430A" w:rsidP="00C1430A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>V případě, že objednatel zajistí odstranění vady v záruční době namísto zhotovitele, je oprávněn náklady na odstranění jednostranně započíst vůči pohledávkám zhotovitele, zejména vůči dosud neuhrazeným fakturám.</w:t>
      </w:r>
    </w:p>
    <w:p w14:paraId="00EAB2FF" w14:textId="487F0805" w:rsidR="00FD2153" w:rsidRPr="004F4C34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4F4C34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B35D419" w14:textId="0BF5E0DC" w:rsidR="00FD2153" w:rsidRPr="004F4C34" w:rsidRDefault="00FD2153" w:rsidP="00325D33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bCs/>
        </w:rPr>
      </w:pPr>
      <w:r w:rsidRPr="004F4C34">
        <w:rPr>
          <w:rFonts w:eastAsiaTheme="minorHAnsi"/>
        </w:rPr>
        <w:t>Objednatel předá zhotoviteli zápisem prostor staveniště</w:t>
      </w:r>
      <w:r w:rsidR="00DE11F7" w:rsidRPr="004F4C34">
        <w:rPr>
          <w:rFonts w:eastAsiaTheme="minorHAnsi"/>
        </w:rPr>
        <w:t>, a to nejpozději v den zahájení prací</w:t>
      </w:r>
      <w:r w:rsidRPr="004F4C34">
        <w:rPr>
          <w:rFonts w:eastAsiaTheme="minorHAnsi"/>
        </w:rPr>
        <w:t>. Zároveň poskytne zhotoviteli prostor pro uložení drobného materiálu, popřípadě zajistí další specifické podmínky dohodnuté při převzetí pracoviště</w:t>
      </w:r>
      <w:r w:rsidR="00543344" w:rsidRPr="004F4C34">
        <w:rPr>
          <w:rFonts w:eastAsiaTheme="minorHAnsi"/>
        </w:rPr>
        <w:t>.</w:t>
      </w:r>
      <w:r w:rsidR="000338A2" w:rsidRPr="004F4C34">
        <w:rPr>
          <w:rFonts w:eastAsiaTheme="minorHAnsi"/>
        </w:rPr>
        <w:t xml:space="preserve"> Objednatel neodpovídá za uložený materiál nebo jiné věci zhotovitele, zhotovitel si je zajistí na své náklady a odpovědnost. </w:t>
      </w:r>
    </w:p>
    <w:p w14:paraId="1BB68D15" w14:textId="030723E0" w:rsidR="00C3541D" w:rsidRPr="004F4C34" w:rsidRDefault="00C3541D" w:rsidP="00325D33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bCs/>
        </w:rPr>
      </w:pPr>
      <w:r w:rsidRPr="004F4C34">
        <w:rPr>
          <w:rFonts w:eastAsiaTheme="minorHAnsi"/>
        </w:rPr>
        <w:lastRenderedPageBreak/>
        <w:t>Objednatel není povinen vyčerpat celou maximální cenu díla v době trvání této smlouvy. Zadání jednotlivých etap se bude řídit potřebou opravy jednotlivých částí hradeb, kterou si vyhodnotí objednatel</w:t>
      </w:r>
      <w:r w:rsidR="00252D2C" w:rsidRPr="004F4C34">
        <w:rPr>
          <w:rFonts w:eastAsiaTheme="minorHAnsi"/>
        </w:rPr>
        <w:t>,</w:t>
      </w:r>
      <w:r w:rsidRPr="004F4C34">
        <w:rPr>
          <w:rFonts w:eastAsiaTheme="minorHAnsi"/>
        </w:rPr>
        <w:t xml:space="preserve"> a finančními možnostmi objednatele</w:t>
      </w:r>
      <w:r w:rsidR="00252D2C" w:rsidRPr="004F4C34">
        <w:rPr>
          <w:rFonts w:eastAsiaTheme="minorHAnsi"/>
        </w:rPr>
        <w:t xml:space="preserve">. </w:t>
      </w:r>
    </w:p>
    <w:p w14:paraId="1932A6A5" w14:textId="51AEC7A0" w:rsidR="00252D2C" w:rsidRPr="004F4C34" w:rsidRDefault="00252D2C" w:rsidP="00325D33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bCs/>
        </w:rPr>
      </w:pPr>
      <w:r w:rsidRPr="004F4C34">
        <w:rPr>
          <w:rFonts w:eastAsiaTheme="minorHAnsi"/>
        </w:rPr>
        <w:t xml:space="preserve">Objednatel je povinen poskytovat zhotoviteli potřebnou součinnost při provádění díla. </w:t>
      </w:r>
    </w:p>
    <w:p w14:paraId="4D738EDD" w14:textId="77777777" w:rsidR="000338A2" w:rsidRPr="000338A2" w:rsidRDefault="000338A2" w:rsidP="000338A2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jc w:val="both"/>
        <w:textAlignment w:val="baseline"/>
        <w:rPr>
          <w:bCs/>
        </w:rPr>
      </w:pPr>
    </w:p>
    <w:p w14:paraId="45888426" w14:textId="6B16926E" w:rsidR="00FD2153" w:rsidRPr="00092307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2307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3F715C" w:rsidRDefault="00090059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438BFBF8" w14:textId="3A255E73" w:rsidR="00141B9D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155EF927" w14:textId="77777777" w:rsidR="00141B9D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20710697" w14:textId="35CD77F6" w:rsidR="00141B9D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  <w:r w:rsidR="000338A2">
        <w:t xml:space="preserve"> </w:t>
      </w:r>
    </w:p>
    <w:p w14:paraId="0D1B223F" w14:textId="77777777" w:rsidR="00482A2F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22735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11B0C1F1" w14:textId="0C8718C2" w:rsidR="00A972D6" w:rsidRPr="004F4C34" w:rsidRDefault="00141B9D" w:rsidP="00C762BF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4F4C34">
        <w:t>v</w:t>
      </w:r>
      <w:r w:rsidR="00FD2153" w:rsidRPr="004F4C34">
        <w:t xml:space="preserve">yklidit </w:t>
      </w:r>
      <w:r w:rsidR="000338A2" w:rsidRPr="004F4C34">
        <w:t xml:space="preserve">a předat </w:t>
      </w:r>
      <w:r w:rsidR="00FD2153" w:rsidRPr="004F4C34">
        <w:t>staveniště do 1 týdne dne po předání dokončeného díla objednateli.</w:t>
      </w:r>
    </w:p>
    <w:p w14:paraId="55796EE2" w14:textId="77777777" w:rsidR="00FD2153" w:rsidRPr="004F4C34" w:rsidRDefault="00FD2153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4F4C34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4F4C34" w:rsidRDefault="00FD2153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4F4C34">
        <w:t>Zhotovitel je oprávněn předat řádně ukončené dílo před smluvním termínem.</w:t>
      </w:r>
    </w:p>
    <w:p w14:paraId="2AF46479" w14:textId="6B9C2932" w:rsidR="00FD2153" w:rsidRPr="004F4C34" w:rsidRDefault="00FD2153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4F4C34">
        <w:t>Zhotovitel řádně zajistí pracoviště tak, aby činnost na pracovišti nezatěžovala okolí nadměrným hlukem a prašností.</w:t>
      </w:r>
      <w:r w:rsidR="00782321" w:rsidRPr="004F4C34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719472EB" w14:textId="2389B2A4" w:rsidR="00411F06" w:rsidRPr="004F4C34" w:rsidRDefault="00411F06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4F4C34">
        <w:t>Zhotovitel je povinen provádět práce tak, aby nebyl narušen provoz areálu NKP Vyšehrad a přístup veřejnosti, nebude-li dohodnuto jinak. Omezení vstupu je možné pouze po předchozím písemném souhlasu objednatele.</w:t>
      </w:r>
    </w:p>
    <w:p w14:paraId="3F590D32" w14:textId="1A1B78C2" w:rsidR="00FD2153" w:rsidRPr="003F715C" w:rsidRDefault="00FD2153" w:rsidP="0022735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3290B80D" w14:textId="3B624909" w:rsidR="000B48E5" w:rsidRDefault="000B48E5" w:rsidP="00227350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</w:p>
    <w:p w14:paraId="43CE041C" w14:textId="6DE79E5A" w:rsidR="00227350" w:rsidRPr="00375A55" w:rsidRDefault="00A13739" w:rsidP="00697111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227350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563A2D9C" w14:textId="48335BCB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Zhotovitel se zavazuje předat objednateli řádně provedené dílo </w:t>
      </w:r>
      <w:r w:rsidR="003D6B42" w:rsidRPr="004F4C34">
        <w:rPr>
          <w:rFonts w:eastAsiaTheme="minorHAnsi"/>
        </w:rPr>
        <w:t xml:space="preserve">nebo jeho ucelenou část </w:t>
      </w:r>
      <w:r w:rsidRPr="003F715C">
        <w:rPr>
          <w:rFonts w:eastAsiaTheme="minorHAnsi"/>
        </w:rPr>
        <w:t>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22735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562C5670" w14:textId="77777777" w:rsidR="00092307" w:rsidRDefault="00092307" w:rsidP="00B51E35">
      <w:pPr>
        <w:tabs>
          <w:tab w:val="left" w:pos="2520"/>
        </w:tabs>
        <w:suppressAutoHyphens/>
        <w:jc w:val="both"/>
      </w:pPr>
    </w:p>
    <w:p w14:paraId="6A5DDFC8" w14:textId="77777777" w:rsidR="00092307" w:rsidRDefault="00092307" w:rsidP="00B51E35">
      <w:pPr>
        <w:tabs>
          <w:tab w:val="left" w:pos="2520"/>
        </w:tabs>
        <w:suppressAutoHyphens/>
        <w:jc w:val="both"/>
      </w:pPr>
    </w:p>
    <w:p w14:paraId="1CD96CFC" w14:textId="77777777" w:rsidR="008F16ED" w:rsidRPr="003F715C" w:rsidRDefault="008F16ED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IX.</w:t>
      </w:r>
    </w:p>
    <w:p w14:paraId="6CC99413" w14:textId="1093320F" w:rsidR="00E603E1" w:rsidRDefault="00E603E1" w:rsidP="00E603E1">
      <w:pPr>
        <w:pStyle w:val="Bezmezer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227350">
      <w:pPr>
        <w:tabs>
          <w:tab w:val="left" w:pos="6840"/>
        </w:tabs>
        <w:suppressAutoHyphens/>
        <w:ind w:left="360" w:hanging="360"/>
        <w:jc w:val="both"/>
      </w:pPr>
    </w:p>
    <w:p w14:paraId="79105E5E" w14:textId="3EF38670" w:rsidR="00E603E1" w:rsidRPr="004F4C34" w:rsidRDefault="00FD2153" w:rsidP="00227350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 xml:space="preserve">Zhotovitel ručí za úplné a kvalitní provedení a funkci předmětu smlouvy </w:t>
      </w:r>
      <w:r w:rsidR="00B2254C" w:rsidRPr="004F4C34">
        <w:rPr>
          <w:rFonts w:eastAsiaTheme="minorHAnsi"/>
        </w:rPr>
        <w:t xml:space="preserve">a že si zachová obvyklé vlastnosti díla, zejména vlastnosti uvedené </w:t>
      </w:r>
      <w:r w:rsidR="00321814" w:rsidRPr="004F4C34">
        <w:rPr>
          <w:rFonts w:eastAsiaTheme="minorHAnsi"/>
        </w:rPr>
        <w:t>v ustanoveních</w:t>
      </w:r>
      <w:r w:rsidR="00B2254C" w:rsidRPr="004F4C34">
        <w:rPr>
          <w:rFonts w:eastAsiaTheme="minorHAnsi"/>
        </w:rPr>
        <w:t xml:space="preserve"> této smlouvy, </w:t>
      </w:r>
      <w:r w:rsidRPr="004F4C34">
        <w:rPr>
          <w:rFonts w:eastAsiaTheme="minorHAnsi"/>
        </w:rPr>
        <w:t>ČSN</w:t>
      </w:r>
      <w:r w:rsidR="00B2254C" w:rsidRPr="004F4C34">
        <w:rPr>
          <w:rFonts w:eastAsiaTheme="minorHAnsi"/>
        </w:rPr>
        <w:t xml:space="preserve"> a</w:t>
      </w:r>
      <w:r w:rsidRPr="004F4C34">
        <w:rPr>
          <w:rFonts w:eastAsiaTheme="minorHAnsi"/>
        </w:rPr>
        <w:t xml:space="preserve"> jiných obecně závazných předpis</w:t>
      </w:r>
      <w:r w:rsidR="00B2254C" w:rsidRPr="004F4C34">
        <w:rPr>
          <w:rFonts w:eastAsiaTheme="minorHAnsi"/>
        </w:rPr>
        <w:t>ech</w:t>
      </w:r>
      <w:r w:rsidRPr="004F4C34">
        <w:rPr>
          <w:rFonts w:eastAsiaTheme="minorHAnsi"/>
        </w:rPr>
        <w:t xml:space="preserve"> </w:t>
      </w:r>
      <w:r w:rsidR="003D6B42" w:rsidRPr="004F4C34">
        <w:rPr>
          <w:rFonts w:eastAsiaTheme="minorHAnsi"/>
        </w:rPr>
        <w:t xml:space="preserve">nebo vlastnosti obvyklé </w:t>
      </w:r>
      <w:r w:rsidRPr="004F4C34">
        <w:rPr>
          <w:rFonts w:eastAsiaTheme="minorHAnsi"/>
        </w:rPr>
        <w:t xml:space="preserve">po dobu </w:t>
      </w:r>
      <w:r w:rsidR="00B2254C" w:rsidRPr="004F4C34">
        <w:rPr>
          <w:rFonts w:eastAsiaTheme="minorHAnsi"/>
        </w:rPr>
        <w:t xml:space="preserve">60 (šedesáti) </w:t>
      </w:r>
      <w:r w:rsidRPr="004F4C34">
        <w:rPr>
          <w:rFonts w:eastAsiaTheme="minorHAnsi"/>
        </w:rPr>
        <w:t xml:space="preserve">měsíců ode dne předání dokončeného </w:t>
      </w:r>
      <w:r w:rsidR="00227350" w:rsidRPr="004F4C34">
        <w:rPr>
          <w:rFonts w:eastAsiaTheme="minorHAnsi"/>
        </w:rPr>
        <w:t xml:space="preserve">díla </w:t>
      </w:r>
      <w:r w:rsidR="003D6B42" w:rsidRPr="004F4C34">
        <w:rPr>
          <w:rFonts w:eastAsiaTheme="minorHAnsi"/>
        </w:rPr>
        <w:t xml:space="preserve">nebo jeho části </w:t>
      </w:r>
      <w:r w:rsidR="00227350" w:rsidRPr="004F4C34">
        <w:rPr>
          <w:rFonts w:eastAsiaTheme="minorHAnsi"/>
        </w:rPr>
        <w:t>objednateli</w:t>
      </w:r>
      <w:r w:rsidRPr="004F4C34">
        <w:rPr>
          <w:rFonts w:eastAsiaTheme="minorHAnsi"/>
        </w:rPr>
        <w:t>.</w:t>
      </w:r>
    </w:p>
    <w:p w14:paraId="528D0983" w14:textId="250A6802" w:rsidR="00394ED6" w:rsidRPr="004F4C34" w:rsidRDefault="00FD2153" w:rsidP="00C20B1D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F4C34">
        <w:rPr>
          <w:rFonts w:eastAsiaTheme="minorHAnsi"/>
        </w:rPr>
        <w:t>Veškeré zjištěné vady v průběhu záruky budou odstraněny neprodleně</w:t>
      </w:r>
      <w:r w:rsidR="00782321" w:rsidRPr="004F4C34">
        <w:rPr>
          <w:rFonts w:eastAsiaTheme="minorHAnsi"/>
        </w:rPr>
        <w:t xml:space="preserve"> </w:t>
      </w:r>
      <w:r w:rsidR="003D6B42" w:rsidRPr="004F4C34">
        <w:rPr>
          <w:rFonts w:eastAsiaTheme="minorHAnsi"/>
        </w:rPr>
        <w:t xml:space="preserve">Zhotovitelem </w:t>
      </w:r>
      <w:r w:rsidR="00782321" w:rsidRPr="004F4C34">
        <w:rPr>
          <w:rFonts w:eastAsiaTheme="minorHAnsi"/>
        </w:rPr>
        <w:t>na náklady zhotovitele</w:t>
      </w:r>
      <w:r w:rsidRPr="004F4C34">
        <w:rPr>
          <w:rFonts w:eastAsiaTheme="minorHAnsi"/>
        </w:rPr>
        <w:t xml:space="preserve"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</w:t>
      </w:r>
      <w:r w:rsidR="00394ED6" w:rsidRPr="004F4C34">
        <w:t>V případě, že zhotovitel vady ve stanovené lhůtě neodstraní, je povinen zaplatit objednateli smluvní pokutu ve výši 1.000,- Kč za každý započatý den prodlení s odstraněním vady. Právo objednatele na náhradu škody tím není dotčeno.</w:t>
      </w:r>
    </w:p>
    <w:p w14:paraId="2A10914F" w14:textId="055E25C8" w:rsidR="005921D7" w:rsidRPr="00D927B3" w:rsidRDefault="006E5A25" w:rsidP="00D927B3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  <w:color w:val="4472C4" w:themeColor="accent1"/>
        </w:rPr>
      </w:pPr>
      <w:r w:rsidRPr="004F4C34">
        <w:t>Nepřistoupí-li zhotovitel k odstranění vady do 10 dnů od výzvy objednatele, je objednatel oprávněn odstranit vadu na náklady zhotovitele. Pokud v době nápravy existují ze strany objednatele dosud neuhrazené faktury zhotovitele, je objednatel oprávněn tyto náklady jednostranně započíst vůči těmto pohledávkám zhotovitele</w:t>
      </w:r>
      <w:r w:rsidRPr="00D927B3">
        <w:rPr>
          <w:color w:val="4472C4" w:themeColor="accent1"/>
        </w:rPr>
        <w:t>.</w:t>
      </w: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7B3F789B" w14:textId="7641C62A" w:rsidR="00B51E35" w:rsidRPr="003F715C" w:rsidRDefault="00B51E35" w:rsidP="00B51E35">
      <w:pPr>
        <w:ind w:firstLine="360"/>
      </w:pPr>
      <w:r w:rsidRPr="003F715C">
        <w:t>Kontaktní osobou za objednatele je ve věci</w:t>
      </w:r>
      <w:r w:rsidR="008A39DC">
        <w:t xml:space="preserve"> </w:t>
      </w:r>
      <w:r w:rsidR="008A39DC" w:rsidRPr="004F4C34">
        <w:t>plnění</w:t>
      </w:r>
      <w:r w:rsidRPr="004F4C34">
        <w:t xml:space="preserve"> té</w:t>
      </w:r>
      <w:r w:rsidRPr="003F715C">
        <w:t xml:space="preserve">to smlouvy: </w:t>
      </w:r>
      <w:proofErr w:type="spellStart"/>
      <w:r w:rsidR="00933ECD">
        <w:t>xxxxxxxxxxxxx</w:t>
      </w:r>
      <w:r w:rsidR="00AC2F2A">
        <w:t>xxxxxxx</w:t>
      </w:r>
      <w:r w:rsidR="00933ECD">
        <w:t>xxxxxx</w:t>
      </w:r>
      <w:proofErr w:type="spellEnd"/>
    </w:p>
    <w:p w14:paraId="4D02D98E" w14:textId="787FC92B" w:rsidR="00B51E35" w:rsidRDefault="00B51E35" w:rsidP="00B51E35">
      <w:pPr>
        <w:ind w:firstLine="360"/>
      </w:pPr>
      <w:bookmarkStart w:id="1" w:name="_Hlk58309782"/>
      <w:r w:rsidRPr="003F715C">
        <w:t xml:space="preserve">e-mail: </w:t>
      </w:r>
      <w:proofErr w:type="spellStart"/>
      <w:r w:rsidR="00933ECD">
        <w:t>xxxxxxxxxxxxxxxxxxxx</w:t>
      </w:r>
      <w:proofErr w:type="spellEnd"/>
      <w:r w:rsidRPr="003F715C">
        <w:t xml:space="preserve">, tel.: </w:t>
      </w:r>
      <w:proofErr w:type="spellStart"/>
      <w:r w:rsidR="00933ECD">
        <w:t>xxxxxxx</w:t>
      </w:r>
      <w:r w:rsidR="00AC2F2A">
        <w:t>x</w:t>
      </w:r>
      <w:r w:rsidR="00933ECD">
        <w:t>xxxxxxxx</w:t>
      </w:r>
      <w:r w:rsidR="00AC2F2A">
        <w:t>xx</w:t>
      </w:r>
      <w:proofErr w:type="spellEnd"/>
    </w:p>
    <w:p w14:paraId="4A3F37C8" w14:textId="77777777" w:rsidR="00536146" w:rsidRPr="003F715C" w:rsidRDefault="00536146" w:rsidP="00B51E35">
      <w:pPr>
        <w:ind w:firstLine="360"/>
      </w:pPr>
    </w:p>
    <w:bookmarkEnd w:id="1"/>
    <w:p w14:paraId="626D4A1F" w14:textId="6BFA32E7" w:rsidR="00543C39" w:rsidRPr="003F715C" w:rsidRDefault="00543C39" w:rsidP="00543C39">
      <w:pPr>
        <w:ind w:firstLine="360"/>
      </w:pPr>
      <w:r w:rsidRPr="003F715C">
        <w:t xml:space="preserve">Technický dozor </w:t>
      </w:r>
      <w:r w:rsidR="00704B98" w:rsidRPr="003F715C">
        <w:t>objednatele:</w:t>
      </w:r>
      <w:r w:rsidRPr="003F715C">
        <w:t xml:space="preserve"> </w:t>
      </w:r>
      <w:proofErr w:type="spellStart"/>
      <w:r w:rsidR="00933ECD">
        <w:t>xxxxxxxxxxxx</w:t>
      </w:r>
      <w:r w:rsidR="00AC2F2A">
        <w:t>x</w:t>
      </w:r>
      <w:r w:rsidR="00933ECD">
        <w:t>xxxxxxxxxxx</w:t>
      </w:r>
      <w:proofErr w:type="spellEnd"/>
    </w:p>
    <w:p w14:paraId="19E3C8B9" w14:textId="59555D32" w:rsidR="00543C39" w:rsidRDefault="00543C39" w:rsidP="00B51E35">
      <w:pPr>
        <w:ind w:firstLine="360"/>
      </w:pPr>
      <w:r w:rsidRPr="003F715C">
        <w:t xml:space="preserve">e-mail: </w:t>
      </w:r>
      <w:proofErr w:type="spellStart"/>
      <w:r w:rsidR="00933ECD">
        <w:t>xxxxxxxxxxxxxxxxxxxx</w:t>
      </w:r>
      <w:proofErr w:type="spellEnd"/>
      <w:r w:rsidRPr="003F715C">
        <w:t xml:space="preserve">, tel.: </w:t>
      </w:r>
      <w:proofErr w:type="spellStart"/>
      <w:r w:rsidR="00933ECD">
        <w:t>xxxxx</w:t>
      </w:r>
      <w:r w:rsidR="00AC2F2A">
        <w:t>xx</w:t>
      </w:r>
      <w:r w:rsidR="00933ECD">
        <w:t>x</w:t>
      </w:r>
      <w:r w:rsidR="00AC2F2A">
        <w:t>x</w:t>
      </w:r>
      <w:r w:rsidR="00933ECD">
        <w:t>xxxxxxxxx</w:t>
      </w:r>
      <w:proofErr w:type="spellEnd"/>
    </w:p>
    <w:p w14:paraId="11D99BDF" w14:textId="77777777" w:rsidR="00536146" w:rsidRPr="003F715C" w:rsidRDefault="00536146" w:rsidP="00B51E35">
      <w:pPr>
        <w:ind w:firstLine="360"/>
      </w:pPr>
    </w:p>
    <w:p w14:paraId="20E94906" w14:textId="6998E22E" w:rsidR="00536146" w:rsidRPr="003F715C" w:rsidRDefault="00536146" w:rsidP="00536146">
      <w:pPr>
        <w:ind w:firstLine="360"/>
      </w:pPr>
      <w:r w:rsidRPr="003F715C">
        <w:t>Kontaktní osobou za zhotovitele je ve věci této smlouvy:</w:t>
      </w:r>
      <w:r>
        <w:t xml:space="preserve"> </w:t>
      </w:r>
      <w:proofErr w:type="spellStart"/>
      <w:r w:rsidR="00933ECD">
        <w:t>xxxxxxxxxxxxxxxxx</w:t>
      </w:r>
      <w:r w:rsidR="00AC2F2A">
        <w:t>xxxxxxx</w:t>
      </w:r>
      <w:r w:rsidR="00933ECD">
        <w:t>xxxxxxxx</w:t>
      </w:r>
      <w:proofErr w:type="spellEnd"/>
    </w:p>
    <w:p w14:paraId="30A33489" w14:textId="496A3532" w:rsidR="00536146" w:rsidRPr="003F715C" w:rsidRDefault="00536146" w:rsidP="00536146">
      <w:pPr>
        <w:ind w:firstLine="360"/>
      </w:pPr>
      <w:r w:rsidRPr="003F715C">
        <w:t xml:space="preserve">e-mail: </w:t>
      </w:r>
      <w:proofErr w:type="spellStart"/>
      <w:r w:rsidR="00933ECD">
        <w:t>xxxxxxxxxxxx</w:t>
      </w:r>
      <w:proofErr w:type="spellEnd"/>
      <w:r w:rsidRPr="003F715C">
        <w:t xml:space="preserve">, tel.: </w:t>
      </w:r>
      <w:proofErr w:type="spellStart"/>
      <w:r w:rsidR="00933ECD">
        <w:t>xxxxxxxxxxxxxxxxxxxxxxxx</w:t>
      </w:r>
      <w:proofErr w:type="spellEnd"/>
    </w:p>
    <w:p w14:paraId="55F68D1C" w14:textId="1E11835D" w:rsidR="00B51E35" w:rsidRPr="003F715C" w:rsidRDefault="00B51E35" w:rsidP="00B51E35">
      <w:pPr>
        <w:ind w:firstLine="360"/>
      </w:pPr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08780971" w:rsidR="00B51E35" w:rsidRPr="00E707C2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707C2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E707C2">
        <w:rPr>
          <w:rFonts w:eastAsiaTheme="minorHAnsi"/>
        </w:rPr>
        <w:t xml:space="preserve">právních předpisů, </w:t>
      </w:r>
      <w:r w:rsidRPr="00E707C2">
        <w:rPr>
          <w:rFonts w:eastAsiaTheme="minorHAnsi"/>
        </w:rPr>
        <w:t>norem a běžných stavebních zvyklostí, v souladu s požadavky zástupců orgánů památkové péče a v souladu s</w:t>
      </w:r>
      <w:r w:rsidR="00C02E8C" w:rsidRPr="00E707C2">
        <w:rPr>
          <w:rFonts w:eastAsiaTheme="minorHAnsi"/>
        </w:rPr>
        <w:t>e</w:t>
      </w:r>
      <w:r w:rsidRPr="00E707C2">
        <w:rPr>
          <w:rFonts w:eastAsiaTheme="minorHAnsi"/>
        </w:rPr>
        <w:t> </w:t>
      </w:r>
      <w:r w:rsidR="00C02E8C" w:rsidRPr="00E707C2">
        <w:rPr>
          <w:rFonts w:eastAsiaTheme="minorHAnsi"/>
        </w:rPr>
        <w:t>specifikací prací, která je přílohou č. 1</w:t>
      </w:r>
    </w:p>
    <w:p w14:paraId="1D537073" w14:textId="40393854" w:rsidR="00B51E35" w:rsidRPr="00E707C2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E707C2">
        <w:t>Zhotovitel prohlašuje, že je pojištěn proti případným škodám způsobeným v rámci své činnosti při provádění díla, včetně pojištění odpovědnosti za škody způsobené třetím osobám</w:t>
      </w:r>
      <w:r w:rsidR="008A39DC" w:rsidRPr="00E707C2">
        <w:t>, a to v přiměřeném rozsahu</w:t>
      </w:r>
      <w:r w:rsidRPr="00E707C2">
        <w:t>.</w:t>
      </w:r>
    </w:p>
    <w:p w14:paraId="72729300" w14:textId="55FABF1C" w:rsidR="00FD2153" w:rsidRPr="00E707C2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707C2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E707C2">
        <w:rPr>
          <w:rFonts w:eastAsiaTheme="minorHAnsi"/>
        </w:rPr>
        <w:t xml:space="preserve">, </w:t>
      </w:r>
      <w:r w:rsidRPr="00E707C2">
        <w:rPr>
          <w:rFonts w:eastAsiaTheme="minorHAnsi"/>
        </w:rPr>
        <w:t xml:space="preserve">pak nelze uplatnit sankce dle čl. V. a čl. </w:t>
      </w:r>
      <w:r w:rsidR="0074235A" w:rsidRPr="00E707C2">
        <w:rPr>
          <w:rFonts w:eastAsiaTheme="minorHAnsi"/>
        </w:rPr>
        <w:t>I</w:t>
      </w:r>
      <w:r w:rsidRPr="00E707C2">
        <w:rPr>
          <w:rFonts w:eastAsiaTheme="minorHAnsi"/>
        </w:rPr>
        <w:t>X. této smlouvy.</w:t>
      </w:r>
    </w:p>
    <w:p w14:paraId="4F179201" w14:textId="51C6E298" w:rsidR="00F13540" w:rsidRPr="00E707C2" w:rsidRDefault="00F13540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707C2">
        <w:t>Smluvní strany výslovně sjednávají, že ustanovení této smlouvy nevytváří žádné právo zhotovitele na jednostrannou změnu smluvní ceny v důsledku vnějších ekonomických okolností, jako jsou inflace, růst cen energií či surovin.</w:t>
      </w:r>
    </w:p>
    <w:p w14:paraId="307E652E" w14:textId="1B647B13" w:rsidR="00FD2153" w:rsidRPr="00E707C2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52DEFEE" w14:textId="77777777" w:rsidR="008A39DC" w:rsidRPr="008F16ED" w:rsidRDefault="008A39DC" w:rsidP="008A39DC">
      <w:pPr>
        <w:pStyle w:val="Bezmezer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16ED">
        <w:rPr>
          <w:rFonts w:ascii="Times New Roman" w:eastAsia="Times New Roman" w:hAnsi="Times New Roman" w:cs="Times New Roman"/>
          <w:b/>
          <w:sz w:val="20"/>
          <w:szCs w:val="20"/>
        </w:rPr>
        <w:t xml:space="preserve">Odstoupení od smlouvy </w:t>
      </w:r>
    </w:p>
    <w:p w14:paraId="55298C1C" w14:textId="77777777" w:rsidR="008A39DC" w:rsidRDefault="008A39DC" w:rsidP="008A39DC">
      <w:pPr>
        <w:pStyle w:val="Bezmezer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</w:p>
    <w:p w14:paraId="697D6B6A" w14:textId="58ECAA56" w:rsidR="008A39DC" w:rsidRPr="008F16ED" w:rsidRDefault="008A39DC" w:rsidP="008A39DC">
      <w:pPr>
        <w:widowControl w:val="0"/>
        <w:numPr>
          <w:ilvl w:val="0"/>
          <w:numId w:val="4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  <w:strike/>
        </w:rPr>
      </w:pPr>
      <w:r w:rsidRPr="008F16ED">
        <w:rPr>
          <w:rFonts w:eastAsiaTheme="minorHAnsi"/>
        </w:rPr>
        <w:t xml:space="preserve">Objednatel je oprávněn odstoupit od </w:t>
      </w:r>
      <w:r w:rsidR="005011F4" w:rsidRPr="008F16ED">
        <w:rPr>
          <w:rFonts w:eastAsiaTheme="minorHAnsi"/>
        </w:rPr>
        <w:t xml:space="preserve">této </w:t>
      </w:r>
      <w:r w:rsidRPr="008F16ED">
        <w:rPr>
          <w:rFonts w:eastAsiaTheme="minorHAnsi"/>
        </w:rPr>
        <w:t>smlouvy v případě, že zhotovitel opakovaně nebo podstatným způsobem poruší povinnosti podle této smlouvy</w:t>
      </w:r>
      <w:bookmarkStart w:id="2" w:name="_Hlk201066657"/>
      <w:r w:rsidRPr="008F16ED">
        <w:rPr>
          <w:rFonts w:eastAsiaTheme="minorHAnsi"/>
        </w:rPr>
        <w:t xml:space="preserve">. Za porušení povinnosti podle této smlouvy se považuje zejména pokud zhotovitel </w:t>
      </w:r>
      <w:bookmarkEnd w:id="2"/>
      <w:r w:rsidRPr="008F16ED">
        <w:rPr>
          <w:rFonts w:eastAsiaTheme="minorHAnsi"/>
        </w:rPr>
        <w:t>nesplní termíny</w:t>
      </w:r>
      <w:r w:rsidR="00DD2BA8" w:rsidRPr="008F16ED">
        <w:rPr>
          <w:rFonts w:eastAsiaTheme="minorHAnsi"/>
        </w:rPr>
        <w:t xml:space="preserve"> dokončení</w:t>
      </w:r>
      <w:r w:rsidRPr="008F16ED">
        <w:rPr>
          <w:rFonts w:eastAsiaTheme="minorHAnsi"/>
        </w:rPr>
        <w:t xml:space="preserve"> jednotlivých etap prací podle </w:t>
      </w:r>
      <w:r w:rsidR="00DD2BA8" w:rsidRPr="008F16ED">
        <w:rPr>
          <w:rFonts w:eastAsiaTheme="minorHAnsi"/>
        </w:rPr>
        <w:t>sjednaného harmonogramu</w:t>
      </w:r>
      <w:r w:rsidRPr="008F16ED">
        <w:rPr>
          <w:rFonts w:eastAsiaTheme="minorHAnsi"/>
        </w:rPr>
        <w:t>, přestože celková doba plnění smlouvy uvedená v čl. II nebyla překročena</w:t>
      </w:r>
      <w:r w:rsidR="000F1655" w:rsidRPr="008F16ED">
        <w:rPr>
          <w:rFonts w:eastAsiaTheme="minorHAnsi"/>
        </w:rPr>
        <w:t xml:space="preserve"> nebo termín </w:t>
      </w:r>
      <w:r w:rsidR="000F1655" w:rsidRPr="008F16ED">
        <w:rPr>
          <w:rFonts w:eastAsiaTheme="minorHAnsi"/>
        </w:rPr>
        <w:lastRenderedPageBreak/>
        <w:t>odstranění závad</w:t>
      </w:r>
      <w:r w:rsidR="00252D2C" w:rsidRPr="008F16ED">
        <w:rPr>
          <w:rFonts w:eastAsiaTheme="minorHAnsi"/>
        </w:rPr>
        <w:t>y</w:t>
      </w:r>
      <w:r w:rsidR="000F1655" w:rsidRPr="008F16ED">
        <w:rPr>
          <w:rFonts w:eastAsiaTheme="minorHAnsi"/>
        </w:rPr>
        <w:t xml:space="preserve"> díla</w:t>
      </w:r>
      <w:r w:rsidRPr="008F16ED">
        <w:rPr>
          <w:rFonts w:eastAsiaTheme="minorHAnsi"/>
        </w:rPr>
        <w:t xml:space="preserve">. Opakovaným nesplněním se rozumí prodlení s </w:t>
      </w:r>
      <w:r w:rsidR="005011F4" w:rsidRPr="008F16ED">
        <w:rPr>
          <w:rFonts w:eastAsiaTheme="minorHAnsi"/>
        </w:rPr>
        <w:t xml:space="preserve">dokončením </w:t>
      </w:r>
      <w:r w:rsidRPr="008F16ED">
        <w:rPr>
          <w:rFonts w:eastAsiaTheme="minorHAnsi"/>
        </w:rPr>
        <w:t xml:space="preserve">více než dvou po sobě jdoucích etap nebo více než tří etap v průběhu 12 po sobě jdoucích měsíců. </w:t>
      </w:r>
      <w:r w:rsidR="00DD2BA8" w:rsidRPr="008F16ED">
        <w:rPr>
          <w:rFonts w:eastAsiaTheme="minorHAnsi"/>
        </w:rPr>
        <w:t xml:space="preserve">Dále se za porušení povinnosti podle této smlouvy se </w:t>
      </w:r>
      <w:r w:rsidR="000F1655" w:rsidRPr="008F16ED">
        <w:rPr>
          <w:rFonts w:eastAsiaTheme="minorHAnsi"/>
        </w:rPr>
        <w:t xml:space="preserve">také </w:t>
      </w:r>
      <w:r w:rsidR="00DD2BA8" w:rsidRPr="008F16ED">
        <w:rPr>
          <w:rFonts w:eastAsiaTheme="minorHAnsi"/>
        </w:rPr>
        <w:t>považuje</w:t>
      </w:r>
      <w:r w:rsidR="000C3B24" w:rsidRPr="008F16ED">
        <w:rPr>
          <w:rFonts w:eastAsiaTheme="minorHAnsi"/>
        </w:rPr>
        <w:t xml:space="preserve">, </w:t>
      </w:r>
      <w:r w:rsidR="00DD2BA8" w:rsidRPr="008F16ED">
        <w:rPr>
          <w:rFonts w:eastAsiaTheme="minorHAnsi"/>
        </w:rPr>
        <w:t>pokud zhotovitel poruší povinnosti uvedené v čl. VII.</w:t>
      </w:r>
      <w:r w:rsidR="000C3B24" w:rsidRPr="008F16ED">
        <w:rPr>
          <w:rFonts w:eastAsiaTheme="minorHAnsi"/>
        </w:rPr>
        <w:t xml:space="preserve"> a</w:t>
      </w:r>
      <w:r w:rsidR="000F1655" w:rsidRPr="008F16ED">
        <w:rPr>
          <w:rFonts w:eastAsiaTheme="minorHAnsi"/>
        </w:rPr>
        <w:t xml:space="preserve"> IX. </w:t>
      </w:r>
      <w:r w:rsidR="00DD2BA8" w:rsidRPr="008F16ED">
        <w:rPr>
          <w:rFonts w:eastAsiaTheme="minorHAnsi"/>
        </w:rPr>
        <w:t xml:space="preserve"> Smlouvy. </w:t>
      </w:r>
      <w:r w:rsidRPr="008F16ED">
        <w:rPr>
          <w:rFonts w:eastAsiaTheme="minorHAnsi"/>
        </w:rPr>
        <w:t>Objednatel doručí zhotoviteli výzvu k nápravě, ve které stanoví přiměřenou lhůtu k</w:t>
      </w:r>
      <w:r w:rsidR="00DD2BA8" w:rsidRPr="008F16ED">
        <w:rPr>
          <w:rFonts w:eastAsiaTheme="minorHAnsi"/>
        </w:rPr>
        <w:t> </w:t>
      </w:r>
      <w:r w:rsidRPr="008F16ED">
        <w:rPr>
          <w:rFonts w:eastAsiaTheme="minorHAnsi"/>
        </w:rPr>
        <w:t>odstranění</w:t>
      </w:r>
      <w:r w:rsidR="00DD2BA8" w:rsidRPr="008F16ED">
        <w:rPr>
          <w:rFonts w:eastAsiaTheme="minorHAnsi"/>
        </w:rPr>
        <w:t xml:space="preserve"> pochybení nebo</w:t>
      </w:r>
      <w:r w:rsidRPr="008F16ED">
        <w:rPr>
          <w:rFonts w:eastAsiaTheme="minorHAnsi"/>
        </w:rPr>
        <w:t xml:space="preserve"> prodlení; neodstraní-li zhotovitel pochybení nebo prodlení v této lhůtě, má objednatel právo</w:t>
      </w:r>
      <w:r w:rsidR="00DD2BA8" w:rsidRPr="008F16ED">
        <w:rPr>
          <w:rFonts w:eastAsiaTheme="minorHAnsi"/>
        </w:rPr>
        <w:t xml:space="preserve"> od smlouvy odstoupit.</w:t>
      </w:r>
    </w:p>
    <w:p w14:paraId="499FEF24" w14:textId="77777777" w:rsidR="005011F4" w:rsidRPr="008F16ED" w:rsidRDefault="008A39DC" w:rsidP="008A39DC">
      <w:pPr>
        <w:widowControl w:val="0"/>
        <w:numPr>
          <w:ilvl w:val="0"/>
          <w:numId w:val="4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F16ED">
        <w:t xml:space="preserve">Objednatel je oprávněn od této smlouvy </w:t>
      </w:r>
      <w:r w:rsidR="00DD2BA8" w:rsidRPr="008F16ED">
        <w:t xml:space="preserve">také </w:t>
      </w:r>
      <w:r w:rsidRPr="008F16ED">
        <w:t xml:space="preserve">odstoupit, pokud zhotovitel bez řádného a doloženého důvodu nepokročí s prováděním prací po dobu delší než 30 (třicet) po sobě jdoucích kalendářních dnů, a to i v případě, že tím zatím nedošlo k porušení celkového termínu dokončení díla podle článku II této smlouvy. </w:t>
      </w:r>
    </w:p>
    <w:p w14:paraId="41FF0827" w14:textId="1FF07493" w:rsidR="005011F4" w:rsidRPr="008F16ED" w:rsidRDefault="005011F4" w:rsidP="008A39DC">
      <w:pPr>
        <w:widowControl w:val="0"/>
        <w:numPr>
          <w:ilvl w:val="0"/>
          <w:numId w:val="4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F16ED">
        <w:t>Zhotovitel je oprávněn od této smlouvy odstoupit, pokud objednatel bude v prodlení s úhradou splatné faktury za provedenou část díla delší než 15 pracovních dní</w:t>
      </w:r>
      <w:r w:rsidR="00E871C9" w:rsidRPr="008F16ED">
        <w:t xml:space="preserve"> a k úhradě nedošlo ani po</w:t>
      </w:r>
      <w:r w:rsidRPr="008F16ED">
        <w:t xml:space="preserve"> </w:t>
      </w:r>
      <w:r w:rsidR="000F1655" w:rsidRPr="008F16ED">
        <w:t>písemn</w:t>
      </w:r>
      <w:r w:rsidR="00E871C9" w:rsidRPr="008F16ED">
        <w:t>é</w:t>
      </w:r>
      <w:r w:rsidR="000F1655" w:rsidRPr="008F16ED">
        <w:t xml:space="preserve"> </w:t>
      </w:r>
      <w:r w:rsidRPr="008F16ED">
        <w:t>výzv</w:t>
      </w:r>
      <w:r w:rsidR="00E871C9" w:rsidRPr="008F16ED">
        <w:t>ě zhotovitele</w:t>
      </w:r>
      <w:r w:rsidRPr="008F16ED">
        <w:t xml:space="preserve"> k nápravě </w:t>
      </w:r>
      <w:r w:rsidR="00E871C9" w:rsidRPr="008F16ED">
        <w:t xml:space="preserve">doručené objednateli </w:t>
      </w:r>
      <w:r w:rsidR="000F1655" w:rsidRPr="008F16ED">
        <w:t>nejméně</w:t>
      </w:r>
      <w:r w:rsidRPr="008F16ED">
        <w:t xml:space="preserve"> 5 pracovních dní před </w:t>
      </w:r>
      <w:r w:rsidR="000F1655" w:rsidRPr="008F16ED">
        <w:t xml:space="preserve">odstoupením od smlouvy. </w:t>
      </w:r>
    </w:p>
    <w:p w14:paraId="21EBE370" w14:textId="77777777" w:rsidR="000F1655" w:rsidRPr="008F16ED" w:rsidRDefault="008A39DC" w:rsidP="008A39DC">
      <w:pPr>
        <w:widowControl w:val="0"/>
        <w:numPr>
          <w:ilvl w:val="0"/>
          <w:numId w:val="4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F16ED">
        <w:t xml:space="preserve">Oznámení o odstoupení </w:t>
      </w:r>
      <w:r w:rsidR="005011F4" w:rsidRPr="008F16ED">
        <w:t xml:space="preserve">od smlouvy </w:t>
      </w:r>
      <w:r w:rsidRPr="008F16ED">
        <w:t>musí být učiněno písemně a doručeno druhé smluvní straně.</w:t>
      </w:r>
      <w:r w:rsidR="005011F4" w:rsidRPr="008F16ED">
        <w:rPr>
          <w:rFonts w:eastAsiaTheme="minorHAnsi"/>
        </w:rPr>
        <w:t xml:space="preserve"> </w:t>
      </w:r>
    </w:p>
    <w:p w14:paraId="0B8EB893" w14:textId="42CBDD0C" w:rsidR="008A39DC" w:rsidRPr="008F16ED" w:rsidRDefault="005011F4" w:rsidP="008A39DC">
      <w:pPr>
        <w:widowControl w:val="0"/>
        <w:numPr>
          <w:ilvl w:val="0"/>
          <w:numId w:val="4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F16ED">
        <w:rPr>
          <w:rFonts w:eastAsiaTheme="minorHAnsi"/>
        </w:rPr>
        <w:t xml:space="preserve">Zhotovitel je povinen v případě odstoupení od smlouvy provádění díla, nebude-li dohodnuto jinak, ukončit tak, aby byla zachována funkčnost a použitelnost dosud provedených částí díla a předat tyto části díla včetně staveniště bez zbytečného odkladu objednateli. Po předání provedených částí díla a staveniště provedou zhotovitel a objednatel vyúčtování.    </w:t>
      </w:r>
    </w:p>
    <w:p w14:paraId="18AB4FE7" w14:textId="0473E709" w:rsidR="008A39DC" w:rsidRPr="008F16ED" w:rsidRDefault="008A39DC" w:rsidP="008A39DC">
      <w:pPr>
        <w:pStyle w:val="Bezmez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ECEB22" w14:textId="77777777" w:rsidR="008A39DC" w:rsidRDefault="008A39DC" w:rsidP="008A39DC">
      <w:pPr>
        <w:pStyle w:val="Bezmez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</w:p>
    <w:p w14:paraId="5C1BBEE7" w14:textId="2CD1E7A2" w:rsidR="008A39DC" w:rsidRPr="008F16ED" w:rsidRDefault="008A39DC" w:rsidP="008A39DC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16ED">
        <w:rPr>
          <w:rFonts w:ascii="Times New Roman" w:eastAsia="Times New Roman" w:hAnsi="Times New Roman" w:cs="Times New Roman"/>
          <w:b/>
          <w:sz w:val="20"/>
          <w:szCs w:val="20"/>
        </w:rPr>
        <w:t>Článek XIII.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1C71B359" w14:textId="65731598" w:rsidR="00BA5B08" w:rsidRPr="008F16ED" w:rsidRDefault="00BA5B08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8F16ED">
        <w:t xml:space="preserve">Smluvní strany se dohodly, že případné spory vzniklé z této smlouvy nebo v souvislosti s ní, budou nejprve řešeny smírně. Nedojde-li k dohodě do 30 dnů ode dne doručení písemné výzvy druhé straně, </w:t>
      </w:r>
      <w:r w:rsidR="004A0914" w:rsidRPr="008F16ED">
        <w:t xml:space="preserve">strany se dohodly, že </w:t>
      </w:r>
      <w:r w:rsidRPr="008F16ED">
        <w:t>bude spor řešen u místně příslušného soudu podle sídla objednatele.</w:t>
      </w:r>
    </w:p>
    <w:p w14:paraId="262EC871" w14:textId="77777777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8F16ED">
        <w:rPr>
          <w:rFonts w:eastAsiaTheme="minorHAnsi"/>
        </w:rPr>
        <w:t>Práva a povinnosti smluvních stran z této smlouvy přecházejí na jejich právní nástupce</w:t>
      </w:r>
      <w:r w:rsidRPr="003F715C">
        <w:rPr>
          <w:rFonts w:eastAsiaTheme="minorHAnsi"/>
        </w:rPr>
        <w:t>.</w:t>
      </w:r>
    </w:p>
    <w:p w14:paraId="37888C84" w14:textId="767BA010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2BC10844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227350" w:rsidRPr="003F715C">
        <w:t>že skutečnosti</w:t>
      </w:r>
      <w:r w:rsidRPr="003F715C">
        <w:t xml:space="preserve"> uvedené </w:t>
      </w:r>
      <w:r w:rsidR="00D8499F" w:rsidRPr="003F715C">
        <w:t>v této</w:t>
      </w:r>
      <w:r w:rsidRPr="003F715C"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D8499F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 xml:space="preserve">Smluvní strany tímto prohlašují, že neexistuje žádné ústní ujednání, žádná smlouva či řízení týkající se některé smluvní strany, které by nepříznivě ovlivnilo splnění závazků vyplývajících z této smlouvy. Zároveň </w:t>
      </w:r>
      <w:r w:rsidRPr="00D8499F">
        <w:t>svým podpisem potvrzují, že veškerá prohlášení a dokumenty podle této smlouvy jsou pravdivá, úplná, přesná, platná a právně vynutitelná.</w:t>
      </w:r>
      <w:r w:rsidR="00F3598B" w:rsidRPr="00D8499F">
        <w:t xml:space="preserve"> </w:t>
      </w:r>
    </w:p>
    <w:p w14:paraId="024171A9" w14:textId="068A6CF9" w:rsidR="00F3598B" w:rsidRPr="00D523EB" w:rsidRDefault="00F3598B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  <w:rPr>
          <w:color w:val="4472C4" w:themeColor="accent1"/>
        </w:rPr>
      </w:pPr>
      <w:r w:rsidRPr="00D8499F">
        <w:t xml:space="preserve">Tato </w:t>
      </w:r>
      <w:r w:rsidRPr="003F715C">
        <w:t>smlouva je vyhotovena ve dvou stejnopisech s platností originálu, z nichž každá ze smluvních stran obdrží jeden.</w:t>
      </w:r>
      <w:r w:rsidR="005A3E60" w:rsidRPr="005A3E60">
        <w:t xml:space="preserve"> </w:t>
      </w:r>
    </w:p>
    <w:p w14:paraId="001F137E" w14:textId="23B21F90" w:rsidR="006C6943" w:rsidRDefault="00B51E35" w:rsidP="00D8499F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6C5CF398" w14:textId="77777777" w:rsidR="00D523EB" w:rsidRPr="008F16ED" w:rsidRDefault="00D523EB" w:rsidP="00D8499F">
      <w:pPr>
        <w:pStyle w:val="Odstavecseseznamem"/>
        <w:numPr>
          <w:ilvl w:val="0"/>
          <w:numId w:val="14"/>
        </w:numPr>
        <w:jc w:val="both"/>
      </w:pPr>
      <w:r w:rsidRPr="008F16ED">
        <w:t>Smlouva nabývá platnosti dnem jejího podpisu oběma smluvními stranami a účinnosti dnem jejího zveřejnění v registru smluv, v souladu se zákonem č. 340/2015 Sb., o registru smluv, ve znění pozdějších předpisů.</w:t>
      </w:r>
    </w:p>
    <w:p w14:paraId="51F35D17" w14:textId="77777777" w:rsidR="00D523EB" w:rsidRPr="00D8499F" w:rsidRDefault="00D523EB" w:rsidP="00D8499F">
      <w:pPr>
        <w:pStyle w:val="Odstavecseseznamem"/>
        <w:widowControl w:val="0"/>
        <w:ind w:left="360" w:right="147"/>
        <w:jc w:val="both"/>
        <w:rPr>
          <w:color w:val="4472C4" w:themeColor="accent1"/>
        </w:rPr>
      </w:pP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0E09B896" w:rsidR="006C6943" w:rsidRPr="003F715C" w:rsidRDefault="006C6943" w:rsidP="006C6943">
      <w:r w:rsidRPr="003F715C">
        <w:t>V Praze dne</w:t>
      </w:r>
      <w:r w:rsidR="00933ECD">
        <w:t xml:space="preserve"> 22.8.2025</w:t>
      </w:r>
      <w:r w:rsidRPr="003F715C">
        <w:tab/>
      </w:r>
      <w:r w:rsidRPr="003F715C">
        <w:tab/>
      </w:r>
      <w:r w:rsidRPr="003F715C">
        <w:tab/>
      </w:r>
      <w:r w:rsidR="00933ECD">
        <w:tab/>
      </w:r>
      <w:r w:rsidRPr="003F715C">
        <w:t xml:space="preserve">V Praze dne </w:t>
      </w:r>
      <w:r w:rsidR="00933ECD">
        <w:t>21.8.2025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1A8B43DB" w14:textId="13349E19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</w:t>
      </w:r>
      <w:r w:rsidRPr="003F715C">
        <w:rPr>
          <w:b/>
          <w:bCs/>
        </w:rPr>
        <w:t xml:space="preserve"> </w:t>
      </w:r>
      <w:proofErr w:type="spellStart"/>
      <w:r w:rsidR="00933ECD">
        <w:rPr>
          <w:b/>
          <w:bCs/>
        </w:rPr>
        <w:t>xxxxxxxxxxxxxxxxxx</w:t>
      </w:r>
      <w:proofErr w:type="spellEnd"/>
      <w:r w:rsidR="002B03DC" w:rsidRPr="003F715C">
        <w:rPr>
          <w:b/>
          <w:bCs/>
        </w:rPr>
        <w:t xml:space="preserve">                                  </w:t>
      </w:r>
      <w:r w:rsidRPr="003F715C">
        <w:rPr>
          <w:b/>
          <w:bCs/>
        </w:rPr>
        <w:t xml:space="preserve">                                   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0C177C3E" w14:textId="27FA641F" w:rsidR="009C61C4" w:rsidRPr="008F16ED" w:rsidRDefault="009C61C4" w:rsidP="005D50ED">
      <w:pPr>
        <w:rPr>
          <w:bCs/>
        </w:rPr>
      </w:pPr>
      <w:r w:rsidRPr="008F16ED">
        <w:rPr>
          <w:bCs/>
        </w:rPr>
        <w:t xml:space="preserve">Příloha č. 1 – </w:t>
      </w:r>
      <w:r w:rsidR="00710E6F" w:rsidRPr="008F16ED">
        <w:rPr>
          <w:bCs/>
        </w:rPr>
        <w:t>Specifikace prací</w:t>
      </w:r>
    </w:p>
    <w:p w14:paraId="3E7FAE84" w14:textId="7913F614" w:rsidR="009C61C4" w:rsidRPr="008F16ED" w:rsidRDefault="009C61C4" w:rsidP="005D50ED">
      <w:pPr>
        <w:rPr>
          <w:bCs/>
        </w:rPr>
      </w:pPr>
      <w:r w:rsidRPr="008F16ED">
        <w:rPr>
          <w:bCs/>
        </w:rPr>
        <w:t xml:space="preserve">Příloha č. 2 – </w:t>
      </w:r>
      <w:r w:rsidR="00EC6657" w:rsidRPr="008F16ED">
        <w:rPr>
          <w:bCs/>
        </w:rPr>
        <w:t xml:space="preserve">Jednotkové ceny </w:t>
      </w:r>
      <w:r w:rsidR="005B2333" w:rsidRPr="008F16ED">
        <w:rPr>
          <w:bCs/>
        </w:rPr>
        <w:t>za specifikované práce</w:t>
      </w:r>
    </w:p>
    <w:p w14:paraId="3A83D02E" w14:textId="661A3F76" w:rsidR="005A0393" w:rsidRPr="008F16ED" w:rsidRDefault="005A0393" w:rsidP="005D50ED">
      <w:pPr>
        <w:rPr>
          <w:bCs/>
        </w:rPr>
      </w:pPr>
    </w:p>
    <w:sectPr w:rsidR="005A0393" w:rsidRPr="008F16ED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CA28" w14:textId="77777777" w:rsidR="00194880" w:rsidRDefault="00194880" w:rsidP="004F24B2">
      <w:r>
        <w:separator/>
      </w:r>
    </w:p>
  </w:endnote>
  <w:endnote w:type="continuationSeparator" w:id="0">
    <w:p w14:paraId="759B0C69" w14:textId="77777777" w:rsidR="00194880" w:rsidRDefault="00194880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7F75" w14:textId="77777777" w:rsidR="00194880" w:rsidRDefault="00194880" w:rsidP="004F24B2">
      <w:r>
        <w:separator/>
      </w:r>
    </w:p>
  </w:footnote>
  <w:footnote w:type="continuationSeparator" w:id="0">
    <w:p w14:paraId="7BBF8344" w14:textId="77777777" w:rsidR="00194880" w:rsidRDefault="00194880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0589240D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 w:rsidRPr="000A6829">
      <w:rPr>
        <w:sz w:val="20"/>
      </w:rPr>
      <w:t>:</w:t>
    </w:r>
    <w:r w:rsidRPr="000A6829">
      <w:rPr>
        <w:sz w:val="20"/>
      </w:rPr>
      <w:t xml:space="preserve"> </w:t>
    </w:r>
    <w:r w:rsidRPr="000A6829">
      <w:rPr>
        <w:b/>
        <w:bCs/>
        <w:szCs w:val="24"/>
      </w:rPr>
      <w:t>S</w:t>
    </w:r>
    <w:r w:rsidR="008C1128" w:rsidRPr="000A6829">
      <w:rPr>
        <w:b/>
        <w:bCs/>
        <w:szCs w:val="24"/>
      </w:rPr>
      <w:t>D</w:t>
    </w:r>
    <w:r w:rsidRPr="000A6829">
      <w:rPr>
        <w:b/>
        <w:bCs/>
        <w:szCs w:val="24"/>
      </w:rPr>
      <w:t>/</w:t>
    </w:r>
    <w:r w:rsidR="000A6829" w:rsidRPr="000A6829">
      <w:rPr>
        <w:b/>
        <w:bCs/>
        <w:szCs w:val="24"/>
      </w:rPr>
      <w:t>830</w:t>
    </w:r>
    <w:r w:rsidRPr="000A6829">
      <w:rPr>
        <w:b/>
        <w:bCs/>
        <w:szCs w:val="24"/>
      </w:rPr>
      <w:t>/202</w:t>
    </w:r>
    <w:r w:rsidR="000A6829" w:rsidRPr="000A6829">
      <w:rPr>
        <w:b/>
        <w:bCs/>
        <w:szCs w:val="24"/>
      </w:rPr>
      <w:t>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4ECC6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78639F"/>
    <w:multiLevelType w:val="hybridMultilevel"/>
    <w:tmpl w:val="2C84123A"/>
    <w:lvl w:ilvl="0" w:tplc="95D6E066">
      <w:start w:val="1"/>
      <w:numFmt w:val="decimal"/>
      <w:lvlText w:val="%1."/>
      <w:lvlJc w:val="left"/>
      <w:pPr>
        <w:ind w:left="4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9B7F50"/>
    <w:multiLevelType w:val="hybridMultilevel"/>
    <w:tmpl w:val="2CCC1C9A"/>
    <w:lvl w:ilvl="0" w:tplc="6BBA5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411E7D"/>
    <w:multiLevelType w:val="multilevel"/>
    <w:tmpl w:val="D1868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7230633">
    <w:abstractNumId w:val="11"/>
  </w:num>
  <w:num w:numId="2" w16cid:durableId="1194029211">
    <w:abstractNumId w:val="10"/>
  </w:num>
  <w:num w:numId="3" w16cid:durableId="889263823">
    <w:abstractNumId w:val="33"/>
  </w:num>
  <w:num w:numId="4" w16cid:durableId="125006311">
    <w:abstractNumId w:val="23"/>
  </w:num>
  <w:num w:numId="5" w16cid:durableId="42095602">
    <w:abstractNumId w:val="25"/>
  </w:num>
  <w:num w:numId="6" w16cid:durableId="3165622">
    <w:abstractNumId w:val="18"/>
  </w:num>
  <w:num w:numId="7" w16cid:durableId="734859035">
    <w:abstractNumId w:val="22"/>
  </w:num>
  <w:num w:numId="8" w16cid:durableId="106773400">
    <w:abstractNumId w:val="19"/>
  </w:num>
  <w:num w:numId="9" w16cid:durableId="841777080">
    <w:abstractNumId w:val="26"/>
  </w:num>
  <w:num w:numId="10" w16cid:durableId="1537767653">
    <w:abstractNumId w:val="32"/>
  </w:num>
  <w:num w:numId="11" w16cid:durableId="365908951">
    <w:abstractNumId w:val="27"/>
  </w:num>
  <w:num w:numId="12" w16cid:durableId="137385762">
    <w:abstractNumId w:val="28"/>
  </w:num>
  <w:num w:numId="13" w16cid:durableId="291639629">
    <w:abstractNumId w:val="1"/>
  </w:num>
  <w:num w:numId="14" w16cid:durableId="1709841654">
    <w:abstractNumId w:val="2"/>
  </w:num>
  <w:num w:numId="15" w16cid:durableId="1793477923">
    <w:abstractNumId w:val="34"/>
  </w:num>
  <w:num w:numId="16" w16cid:durableId="72817474">
    <w:abstractNumId w:val="17"/>
  </w:num>
  <w:num w:numId="17" w16cid:durableId="240219923">
    <w:abstractNumId w:val="13"/>
  </w:num>
  <w:num w:numId="18" w16cid:durableId="154153383">
    <w:abstractNumId w:val="5"/>
  </w:num>
  <w:num w:numId="19" w16cid:durableId="1003780211">
    <w:abstractNumId w:val="39"/>
  </w:num>
  <w:num w:numId="20" w16cid:durableId="944113319">
    <w:abstractNumId w:val="15"/>
  </w:num>
  <w:num w:numId="21" w16cid:durableId="1297224535">
    <w:abstractNumId w:val="40"/>
  </w:num>
  <w:num w:numId="22" w16cid:durableId="37752204">
    <w:abstractNumId w:val="12"/>
  </w:num>
  <w:num w:numId="23" w16cid:durableId="1707874039">
    <w:abstractNumId w:val="9"/>
  </w:num>
  <w:num w:numId="24" w16cid:durableId="1917786224">
    <w:abstractNumId w:val="0"/>
  </w:num>
  <w:num w:numId="25" w16cid:durableId="1146314372">
    <w:abstractNumId w:val="21"/>
  </w:num>
  <w:num w:numId="26" w16cid:durableId="813526645">
    <w:abstractNumId w:val="38"/>
  </w:num>
  <w:num w:numId="27" w16cid:durableId="983969305">
    <w:abstractNumId w:val="35"/>
  </w:num>
  <w:num w:numId="28" w16cid:durableId="1810590652">
    <w:abstractNumId w:val="20"/>
  </w:num>
  <w:num w:numId="29" w16cid:durableId="228342082">
    <w:abstractNumId w:val="29"/>
  </w:num>
  <w:num w:numId="30" w16cid:durableId="2107771911">
    <w:abstractNumId w:val="31"/>
  </w:num>
  <w:num w:numId="31" w16cid:durableId="2012291350">
    <w:abstractNumId w:val="6"/>
  </w:num>
  <w:num w:numId="32" w16cid:durableId="878471713">
    <w:abstractNumId w:val="30"/>
  </w:num>
  <w:num w:numId="33" w16cid:durableId="160852841">
    <w:abstractNumId w:val="24"/>
  </w:num>
  <w:num w:numId="34" w16cid:durableId="1490554771">
    <w:abstractNumId w:val="3"/>
  </w:num>
  <w:num w:numId="35" w16cid:durableId="1509522725">
    <w:abstractNumId w:val="7"/>
  </w:num>
  <w:num w:numId="36" w16cid:durableId="945769914">
    <w:abstractNumId w:val="37"/>
  </w:num>
  <w:num w:numId="37" w16cid:durableId="966619160">
    <w:abstractNumId w:val="16"/>
  </w:num>
  <w:num w:numId="38" w16cid:durableId="1184781257">
    <w:abstractNumId w:val="14"/>
  </w:num>
  <w:num w:numId="39" w16cid:durableId="1951929664">
    <w:abstractNumId w:val="36"/>
  </w:num>
  <w:num w:numId="40" w16cid:durableId="16929930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4953729">
    <w:abstractNumId w:val="8"/>
  </w:num>
  <w:num w:numId="42" w16cid:durableId="80611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2088F"/>
    <w:rsid w:val="00023BCB"/>
    <w:rsid w:val="000338A2"/>
    <w:rsid w:val="000351AB"/>
    <w:rsid w:val="00046A28"/>
    <w:rsid w:val="00060F6B"/>
    <w:rsid w:val="00065799"/>
    <w:rsid w:val="000838BE"/>
    <w:rsid w:val="00090059"/>
    <w:rsid w:val="00092307"/>
    <w:rsid w:val="000929B6"/>
    <w:rsid w:val="000A04DE"/>
    <w:rsid w:val="000A2D8A"/>
    <w:rsid w:val="000A6829"/>
    <w:rsid w:val="000B48E5"/>
    <w:rsid w:val="000B75D2"/>
    <w:rsid w:val="000B765D"/>
    <w:rsid w:val="000C1C4B"/>
    <w:rsid w:val="000C2C21"/>
    <w:rsid w:val="000C3B24"/>
    <w:rsid w:val="000C4E66"/>
    <w:rsid w:val="000E6693"/>
    <w:rsid w:val="000E6B70"/>
    <w:rsid w:val="000F1655"/>
    <w:rsid w:val="00100805"/>
    <w:rsid w:val="001155AC"/>
    <w:rsid w:val="00116EE3"/>
    <w:rsid w:val="001214C0"/>
    <w:rsid w:val="00141B9D"/>
    <w:rsid w:val="001505B9"/>
    <w:rsid w:val="001728FE"/>
    <w:rsid w:val="00181720"/>
    <w:rsid w:val="00181741"/>
    <w:rsid w:val="00182AD0"/>
    <w:rsid w:val="00185FF3"/>
    <w:rsid w:val="00187C24"/>
    <w:rsid w:val="00190877"/>
    <w:rsid w:val="00192897"/>
    <w:rsid w:val="001940A1"/>
    <w:rsid w:val="00194880"/>
    <w:rsid w:val="00194AF5"/>
    <w:rsid w:val="00195B8E"/>
    <w:rsid w:val="00197080"/>
    <w:rsid w:val="001B23A4"/>
    <w:rsid w:val="001B64C6"/>
    <w:rsid w:val="001C7805"/>
    <w:rsid w:val="001E2489"/>
    <w:rsid w:val="001E5D1F"/>
    <w:rsid w:val="001F3222"/>
    <w:rsid w:val="002037DB"/>
    <w:rsid w:val="002043B1"/>
    <w:rsid w:val="0021251D"/>
    <w:rsid w:val="00223468"/>
    <w:rsid w:val="00227350"/>
    <w:rsid w:val="00252D2C"/>
    <w:rsid w:val="002540B6"/>
    <w:rsid w:val="00256FA3"/>
    <w:rsid w:val="002634D7"/>
    <w:rsid w:val="00277A13"/>
    <w:rsid w:val="00290E12"/>
    <w:rsid w:val="002913EB"/>
    <w:rsid w:val="002A1A13"/>
    <w:rsid w:val="002B03DC"/>
    <w:rsid w:val="002D4FDF"/>
    <w:rsid w:val="002D5379"/>
    <w:rsid w:val="002E25EC"/>
    <w:rsid w:val="002E5A49"/>
    <w:rsid w:val="002F6BA9"/>
    <w:rsid w:val="00300B92"/>
    <w:rsid w:val="0030765D"/>
    <w:rsid w:val="00321814"/>
    <w:rsid w:val="00343BEE"/>
    <w:rsid w:val="0034673E"/>
    <w:rsid w:val="003650B4"/>
    <w:rsid w:val="00375A55"/>
    <w:rsid w:val="0037614C"/>
    <w:rsid w:val="00383C49"/>
    <w:rsid w:val="00394ED6"/>
    <w:rsid w:val="00397919"/>
    <w:rsid w:val="003A15F0"/>
    <w:rsid w:val="003A3239"/>
    <w:rsid w:val="003A3B1C"/>
    <w:rsid w:val="003A5812"/>
    <w:rsid w:val="003B5AF4"/>
    <w:rsid w:val="003C2B53"/>
    <w:rsid w:val="003C44FC"/>
    <w:rsid w:val="003D57B0"/>
    <w:rsid w:val="003D6B42"/>
    <w:rsid w:val="003E74F7"/>
    <w:rsid w:val="003F715C"/>
    <w:rsid w:val="003F7D71"/>
    <w:rsid w:val="00400181"/>
    <w:rsid w:val="00400E04"/>
    <w:rsid w:val="00411F06"/>
    <w:rsid w:val="00411FFC"/>
    <w:rsid w:val="00417A00"/>
    <w:rsid w:val="00421B33"/>
    <w:rsid w:val="0042762B"/>
    <w:rsid w:val="00433A52"/>
    <w:rsid w:val="004347B5"/>
    <w:rsid w:val="00436227"/>
    <w:rsid w:val="004367C9"/>
    <w:rsid w:val="00440D50"/>
    <w:rsid w:val="0044297E"/>
    <w:rsid w:val="00450E1A"/>
    <w:rsid w:val="00474EA1"/>
    <w:rsid w:val="00482A2F"/>
    <w:rsid w:val="004905FE"/>
    <w:rsid w:val="00496AE6"/>
    <w:rsid w:val="004A0914"/>
    <w:rsid w:val="004A41CC"/>
    <w:rsid w:val="004A67B7"/>
    <w:rsid w:val="004B1E81"/>
    <w:rsid w:val="004B294F"/>
    <w:rsid w:val="004C1708"/>
    <w:rsid w:val="004E15F9"/>
    <w:rsid w:val="004F24B2"/>
    <w:rsid w:val="004F2671"/>
    <w:rsid w:val="004F4C34"/>
    <w:rsid w:val="004F551E"/>
    <w:rsid w:val="004F7018"/>
    <w:rsid w:val="00500841"/>
    <w:rsid w:val="005011F4"/>
    <w:rsid w:val="00517E7C"/>
    <w:rsid w:val="005274E7"/>
    <w:rsid w:val="00536146"/>
    <w:rsid w:val="0053704A"/>
    <w:rsid w:val="00543344"/>
    <w:rsid w:val="00543C39"/>
    <w:rsid w:val="005655B2"/>
    <w:rsid w:val="005676BB"/>
    <w:rsid w:val="00581BFC"/>
    <w:rsid w:val="00591E74"/>
    <w:rsid w:val="005921D7"/>
    <w:rsid w:val="00595B94"/>
    <w:rsid w:val="005A0393"/>
    <w:rsid w:val="005A1AD6"/>
    <w:rsid w:val="005A3E60"/>
    <w:rsid w:val="005A5A93"/>
    <w:rsid w:val="005B2333"/>
    <w:rsid w:val="005B2DE5"/>
    <w:rsid w:val="005B6DBF"/>
    <w:rsid w:val="005C4D47"/>
    <w:rsid w:val="005D0508"/>
    <w:rsid w:val="005D50ED"/>
    <w:rsid w:val="005E184E"/>
    <w:rsid w:val="00606C87"/>
    <w:rsid w:val="00622F03"/>
    <w:rsid w:val="0064317A"/>
    <w:rsid w:val="00643DD6"/>
    <w:rsid w:val="00646EA9"/>
    <w:rsid w:val="00660BED"/>
    <w:rsid w:val="00686E17"/>
    <w:rsid w:val="00694D27"/>
    <w:rsid w:val="00697111"/>
    <w:rsid w:val="006B160F"/>
    <w:rsid w:val="006B19FF"/>
    <w:rsid w:val="006B34B9"/>
    <w:rsid w:val="006B4BC9"/>
    <w:rsid w:val="006C17E5"/>
    <w:rsid w:val="006C36AC"/>
    <w:rsid w:val="006C6943"/>
    <w:rsid w:val="006E09D2"/>
    <w:rsid w:val="006E496B"/>
    <w:rsid w:val="006E5A25"/>
    <w:rsid w:val="00704B98"/>
    <w:rsid w:val="007054C5"/>
    <w:rsid w:val="00707F3B"/>
    <w:rsid w:val="00710E6F"/>
    <w:rsid w:val="00712133"/>
    <w:rsid w:val="007158BB"/>
    <w:rsid w:val="00715982"/>
    <w:rsid w:val="007167DF"/>
    <w:rsid w:val="00720D1E"/>
    <w:rsid w:val="0074235A"/>
    <w:rsid w:val="007429A9"/>
    <w:rsid w:val="0075315C"/>
    <w:rsid w:val="00753C1D"/>
    <w:rsid w:val="00755769"/>
    <w:rsid w:val="00763238"/>
    <w:rsid w:val="00782321"/>
    <w:rsid w:val="00790603"/>
    <w:rsid w:val="007959C8"/>
    <w:rsid w:val="007A5B2B"/>
    <w:rsid w:val="007B1DD1"/>
    <w:rsid w:val="007B43DD"/>
    <w:rsid w:val="007B5E10"/>
    <w:rsid w:val="007D0A32"/>
    <w:rsid w:val="007D0BA5"/>
    <w:rsid w:val="007D5F40"/>
    <w:rsid w:val="007E2902"/>
    <w:rsid w:val="007E6542"/>
    <w:rsid w:val="007F3360"/>
    <w:rsid w:val="007F5080"/>
    <w:rsid w:val="008105BD"/>
    <w:rsid w:val="0082098F"/>
    <w:rsid w:val="0083079C"/>
    <w:rsid w:val="00831AEF"/>
    <w:rsid w:val="00857884"/>
    <w:rsid w:val="008767A2"/>
    <w:rsid w:val="008878B0"/>
    <w:rsid w:val="00887E3D"/>
    <w:rsid w:val="008A39DC"/>
    <w:rsid w:val="008B5C0C"/>
    <w:rsid w:val="008B6937"/>
    <w:rsid w:val="008C1128"/>
    <w:rsid w:val="008D271C"/>
    <w:rsid w:val="008D6F35"/>
    <w:rsid w:val="008F16ED"/>
    <w:rsid w:val="00912972"/>
    <w:rsid w:val="00912C8E"/>
    <w:rsid w:val="00916876"/>
    <w:rsid w:val="00933ECD"/>
    <w:rsid w:val="00965070"/>
    <w:rsid w:val="009675FC"/>
    <w:rsid w:val="009738B8"/>
    <w:rsid w:val="0099203D"/>
    <w:rsid w:val="0099660A"/>
    <w:rsid w:val="009A62AD"/>
    <w:rsid w:val="009C61C4"/>
    <w:rsid w:val="009D6DB8"/>
    <w:rsid w:val="009D735E"/>
    <w:rsid w:val="009E00FC"/>
    <w:rsid w:val="009E28ED"/>
    <w:rsid w:val="009E6B6C"/>
    <w:rsid w:val="009F066F"/>
    <w:rsid w:val="009F35F1"/>
    <w:rsid w:val="009F39ED"/>
    <w:rsid w:val="00A12BB4"/>
    <w:rsid w:val="00A13739"/>
    <w:rsid w:val="00A1772C"/>
    <w:rsid w:val="00A24DF7"/>
    <w:rsid w:val="00A276AE"/>
    <w:rsid w:val="00A311C9"/>
    <w:rsid w:val="00A31A93"/>
    <w:rsid w:val="00A35D1C"/>
    <w:rsid w:val="00A42FB7"/>
    <w:rsid w:val="00A52585"/>
    <w:rsid w:val="00A54670"/>
    <w:rsid w:val="00A56C9D"/>
    <w:rsid w:val="00A625D9"/>
    <w:rsid w:val="00A716D9"/>
    <w:rsid w:val="00A86449"/>
    <w:rsid w:val="00A972D6"/>
    <w:rsid w:val="00AA7215"/>
    <w:rsid w:val="00AB1031"/>
    <w:rsid w:val="00AB6125"/>
    <w:rsid w:val="00AC2F2A"/>
    <w:rsid w:val="00AC78D5"/>
    <w:rsid w:val="00AE4B6F"/>
    <w:rsid w:val="00AF2135"/>
    <w:rsid w:val="00AF2B10"/>
    <w:rsid w:val="00AF36AA"/>
    <w:rsid w:val="00B02DD5"/>
    <w:rsid w:val="00B0332E"/>
    <w:rsid w:val="00B136A5"/>
    <w:rsid w:val="00B14347"/>
    <w:rsid w:val="00B15536"/>
    <w:rsid w:val="00B20145"/>
    <w:rsid w:val="00B2254C"/>
    <w:rsid w:val="00B26B3C"/>
    <w:rsid w:val="00B27702"/>
    <w:rsid w:val="00B40CC0"/>
    <w:rsid w:val="00B51E35"/>
    <w:rsid w:val="00B65C22"/>
    <w:rsid w:val="00B65CB7"/>
    <w:rsid w:val="00B75B7A"/>
    <w:rsid w:val="00B76CEC"/>
    <w:rsid w:val="00B85D3C"/>
    <w:rsid w:val="00B8745D"/>
    <w:rsid w:val="00B87AA9"/>
    <w:rsid w:val="00B94E61"/>
    <w:rsid w:val="00BA0A54"/>
    <w:rsid w:val="00BA5B08"/>
    <w:rsid w:val="00BB44BE"/>
    <w:rsid w:val="00BC1E62"/>
    <w:rsid w:val="00BC20AB"/>
    <w:rsid w:val="00BD178D"/>
    <w:rsid w:val="00BD3677"/>
    <w:rsid w:val="00BD5C85"/>
    <w:rsid w:val="00BE4F04"/>
    <w:rsid w:val="00BE74F8"/>
    <w:rsid w:val="00C02E8C"/>
    <w:rsid w:val="00C0474A"/>
    <w:rsid w:val="00C1430A"/>
    <w:rsid w:val="00C146D0"/>
    <w:rsid w:val="00C20B1D"/>
    <w:rsid w:val="00C214C1"/>
    <w:rsid w:val="00C228C7"/>
    <w:rsid w:val="00C2422D"/>
    <w:rsid w:val="00C24E0F"/>
    <w:rsid w:val="00C3541D"/>
    <w:rsid w:val="00C3590A"/>
    <w:rsid w:val="00C533BC"/>
    <w:rsid w:val="00C762BF"/>
    <w:rsid w:val="00C8316C"/>
    <w:rsid w:val="00C929A8"/>
    <w:rsid w:val="00CA1790"/>
    <w:rsid w:val="00CA3D88"/>
    <w:rsid w:val="00CB50CD"/>
    <w:rsid w:val="00CC2B38"/>
    <w:rsid w:val="00CC61ED"/>
    <w:rsid w:val="00CD6F3A"/>
    <w:rsid w:val="00CF21F9"/>
    <w:rsid w:val="00CF4659"/>
    <w:rsid w:val="00D219E8"/>
    <w:rsid w:val="00D21D26"/>
    <w:rsid w:val="00D240D3"/>
    <w:rsid w:val="00D31370"/>
    <w:rsid w:val="00D31803"/>
    <w:rsid w:val="00D333FC"/>
    <w:rsid w:val="00D36945"/>
    <w:rsid w:val="00D523EB"/>
    <w:rsid w:val="00D53CB2"/>
    <w:rsid w:val="00D64E3C"/>
    <w:rsid w:val="00D75E02"/>
    <w:rsid w:val="00D8057C"/>
    <w:rsid w:val="00D833C5"/>
    <w:rsid w:val="00D8499F"/>
    <w:rsid w:val="00D927B3"/>
    <w:rsid w:val="00DA1A28"/>
    <w:rsid w:val="00DB0B0B"/>
    <w:rsid w:val="00DB18FE"/>
    <w:rsid w:val="00DB70FB"/>
    <w:rsid w:val="00DB7F02"/>
    <w:rsid w:val="00DC4A78"/>
    <w:rsid w:val="00DD2BA8"/>
    <w:rsid w:val="00DD5A4D"/>
    <w:rsid w:val="00DE11F7"/>
    <w:rsid w:val="00DE7DCE"/>
    <w:rsid w:val="00DF3A98"/>
    <w:rsid w:val="00E33ADA"/>
    <w:rsid w:val="00E3739C"/>
    <w:rsid w:val="00E55BCF"/>
    <w:rsid w:val="00E603E1"/>
    <w:rsid w:val="00E707C2"/>
    <w:rsid w:val="00E715E7"/>
    <w:rsid w:val="00E721E2"/>
    <w:rsid w:val="00E73B69"/>
    <w:rsid w:val="00E871C9"/>
    <w:rsid w:val="00E92B37"/>
    <w:rsid w:val="00EA035A"/>
    <w:rsid w:val="00EB0EF6"/>
    <w:rsid w:val="00EB0F6A"/>
    <w:rsid w:val="00EB2EB8"/>
    <w:rsid w:val="00EC41CB"/>
    <w:rsid w:val="00EC6657"/>
    <w:rsid w:val="00EF2C16"/>
    <w:rsid w:val="00EF3D86"/>
    <w:rsid w:val="00EF58D0"/>
    <w:rsid w:val="00F04BE2"/>
    <w:rsid w:val="00F077C9"/>
    <w:rsid w:val="00F13540"/>
    <w:rsid w:val="00F22644"/>
    <w:rsid w:val="00F22966"/>
    <w:rsid w:val="00F2787B"/>
    <w:rsid w:val="00F32278"/>
    <w:rsid w:val="00F3598B"/>
    <w:rsid w:val="00F37552"/>
    <w:rsid w:val="00F658BA"/>
    <w:rsid w:val="00F74174"/>
    <w:rsid w:val="00F85E9B"/>
    <w:rsid w:val="00F87E28"/>
    <w:rsid w:val="00F94EBC"/>
    <w:rsid w:val="00FA7B11"/>
    <w:rsid w:val="00FB2458"/>
    <w:rsid w:val="00FB37C3"/>
    <w:rsid w:val="00FB458F"/>
    <w:rsid w:val="00FB5D2A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7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A13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348C4-9350-4DE5-A2C9-4B6A2B43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3316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5</cp:revision>
  <cp:lastPrinted>2025-08-25T10:53:00Z</cp:lastPrinted>
  <dcterms:created xsi:type="dcterms:W3CDTF">2025-09-03T07:13:00Z</dcterms:created>
  <dcterms:modified xsi:type="dcterms:W3CDTF">2025-09-03T12:44:00Z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