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E052D76" w:rsidR="006135FA" w:rsidRDefault="006135FA" w:rsidP="00330437">
      <w:pPr>
        <w:pStyle w:val="Styl2popisknzvusmlouvy"/>
        <w:spacing w:after="480"/>
      </w:pPr>
      <w:r>
        <w:t>č.</w:t>
      </w:r>
      <w:r w:rsidR="00B436F2">
        <w:t>S-0011/69793000/2025</w:t>
      </w:r>
    </w:p>
    <w:p w14:paraId="6D608593" w14:textId="77777777" w:rsidR="00B436F2" w:rsidRPr="00FC3D6A" w:rsidRDefault="00B436F2" w:rsidP="00B436F2">
      <w:pPr>
        <w:pStyle w:val="Styl3-Smluvnstranytun"/>
        <w:rPr>
          <w:highlight w:val="yellow"/>
        </w:rPr>
      </w:pPr>
      <w:r w:rsidRPr="00FC3D6A">
        <w:t xml:space="preserve">Střední odborná škola a Střední odborné učiliště, Mladá Boleslav, Jičínská 762 </w:t>
      </w:r>
      <w:r w:rsidRPr="00FC3D6A">
        <w:br/>
      </w:r>
      <w:r w:rsidRPr="00FC3D6A">
        <w:rPr>
          <w:b w:val="0"/>
          <w:bCs/>
        </w:rPr>
        <w:t>Sídlo:</w:t>
      </w:r>
      <w:r w:rsidRPr="00FC3D6A">
        <w:rPr>
          <w:rFonts w:ascii="Arial" w:hAnsi="Arial" w:cs="Arial"/>
        </w:rPr>
        <w:t xml:space="preserve"> </w:t>
      </w:r>
      <w:r w:rsidRPr="00FC3D6A">
        <w:rPr>
          <w:b w:val="0"/>
          <w:bCs/>
        </w:rPr>
        <w:t>Jičínská 762, 293 01 Mladá Boleslav</w:t>
      </w:r>
    </w:p>
    <w:p w14:paraId="2AF14367" w14:textId="77777777" w:rsidR="00B436F2" w:rsidRDefault="00B436F2" w:rsidP="00B436F2">
      <w:pPr>
        <w:pStyle w:val="Styl3-Smluvnstranytun"/>
        <w:rPr>
          <w:b w:val="0"/>
          <w:highlight w:val="yellow"/>
        </w:rPr>
      </w:pPr>
      <w:r>
        <w:rPr>
          <w:b w:val="0"/>
        </w:rPr>
        <w:t>IČO: 69793000</w:t>
      </w:r>
    </w:p>
    <w:p w14:paraId="04B38895" w14:textId="77777777" w:rsidR="00B436F2" w:rsidRDefault="00B436F2" w:rsidP="00B436F2">
      <w:pPr>
        <w:pStyle w:val="Styl3-Smluvnstrany"/>
      </w:pPr>
      <w:r w:rsidRPr="00FC3D6A">
        <w:t>zastoupený:</w:t>
      </w:r>
      <w:r>
        <w:t xml:space="preserve"> </w:t>
      </w:r>
      <w:r w:rsidRPr="00FC3D6A">
        <w:t>RNDr. Jiří Šlégl</w:t>
      </w:r>
    </w:p>
    <w:p w14:paraId="768B7E83" w14:textId="77777777" w:rsidR="00B436F2" w:rsidRDefault="00B436F2" w:rsidP="00B436F2">
      <w:pPr>
        <w:pStyle w:val="Styl3-Smluvnstrany"/>
      </w:pPr>
      <w:r>
        <w:t xml:space="preserve">bankovní spojení: </w:t>
      </w:r>
      <w:r w:rsidRPr="001F6C23">
        <w:rPr>
          <w:highlight w:val="black"/>
        </w:rPr>
        <w:t>Komerční banka, a.s., 17538181/0100</w:t>
      </w:r>
    </w:p>
    <w:p w14:paraId="6081653E" w14:textId="77777777" w:rsidR="00B436F2" w:rsidRDefault="00B436F2" w:rsidP="00B436F2">
      <w:pPr>
        <w:pStyle w:val="Styl3-Smluvnstrany"/>
      </w:pPr>
      <w:r>
        <w:t xml:space="preserve">ID datové schránky: </w:t>
      </w:r>
      <w:r w:rsidRPr="001F6C23">
        <w:rPr>
          <w:highlight w:val="black"/>
        </w:rPr>
        <w:t>2b7x7e3</w:t>
      </w:r>
    </w:p>
    <w:p w14:paraId="5F15ECE3" w14:textId="77777777" w:rsidR="00B436F2" w:rsidRDefault="00B436F2" w:rsidP="00B436F2">
      <w:pPr>
        <w:pStyle w:val="Styl3-Smluvnstrany"/>
      </w:pPr>
      <w:r>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1F6C23">
        <w:rPr>
          <w:highlight w:val="black"/>
        </w:rPr>
        <w:t>Raiffeisenbank a.s., 2583258001/5500</w:t>
      </w:r>
    </w:p>
    <w:p w14:paraId="5A2144EC" w14:textId="77777777" w:rsidR="001D67D0" w:rsidRDefault="001D67D0" w:rsidP="001D67D0">
      <w:pPr>
        <w:pStyle w:val="Styl3-Smluvnstrany"/>
      </w:pPr>
      <w:r>
        <w:t xml:space="preserve">ID datové schránky: </w:t>
      </w:r>
      <w:r w:rsidRPr="001F6C23">
        <w:rPr>
          <w:highlight w:val="black"/>
        </w:rPr>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084C7AE5"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B436F2">
        <w:rPr>
          <w:lang w:eastAsia="en-US"/>
        </w:rPr>
        <w:t>20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4F90FE7D" w:rsidR="0006399F" w:rsidRDefault="00DD0D04" w:rsidP="0006399F">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B436F2">
        <w:rPr>
          <w:lang w:eastAsia="en-US"/>
        </w:rPr>
        <w:t>6</w:t>
      </w:r>
      <w:r w:rsidR="0006399F" w:rsidRPr="007C5ED4">
        <w:rPr>
          <w:lang w:eastAsia="en-US"/>
        </w:rPr>
        <w:t xml:space="preserve"> ks podle technické specifikace uvedené v Příloze č. 1 této Smlouvy</w:t>
      </w:r>
      <w:r w:rsidR="0006399F">
        <w:rPr>
          <w:lang w:eastAsia="en-US"/>
        </w:rPr>
        <w:t>,</w:t>
      </w:r>
    </w:p>
    <w:p w14:paraId="52CF0148" w14:textId="4AB4A7D8" w:rsidR="00C93AF3" w:rsidRPr="00C93AF3" w:rsidRDefault="00DD0D04" w:rsidP="002A6F32">
      <w:pPr>
        <w:pStyle w:val="Nadpis3"/>
        <w:rPr>
          <w:lang w:eastAsia="en-US"/>
        </w:rPr>
      </w:pPr>
      <w:r>
        <w:rPr>
          <w:b/>
          <w:lang w:eastAsia="en-US"/>
        </w:rPr>
        <w:lastRenderedPageBreak/>
        <w:t>P</w:t>
      </w:r>
      <w:r w:rsidR="005D0E98">
        <w:rPr>
          <w:b/>
          <w:lang w:eastAsia="en-US"/>
        </w:rPr>
        <w:t xml:space="preserve">říslušenství II </w:t>
      </w:r>
      <w:r w:rsidR="005D0E98" w:rsidRPr="005D0E98">
        <w:rPr>
          <w:lang w:eastAsia="en-US"/>
        </w:rPr>
        <w:t xml:space="preserve">v množství </w:t>
      </w:r>
      <w:r w:rsidR="00B436F2">
        <w:rPr>
          <w:lang w:eastAsia="en-US"/>
        </w:rPr>
        <w:t>20</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61038A8A"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BA5F91" w:rsidRPr="00B436F2">
        <w:rPr>
          <w:iCs/>
          <w:szCs w:val="24"/>
          <w:lang w:eastAsia="en-US"/>
        </w:rPr>
        <w:t>193 610,00</w:t>
      </w:r>
      <w:r w:rsidR="00BA5F91">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7"/>
        <w:gridCol w:w="1526"/>
        <w:gridCol w:w="1163"/>
        <w:gridCol w:w="1296"/>
      </w:tblGrid>
      <w:tr w:rsidR="006135FA" w:rsidRPr="007D4A7D" w14:paraId="713E52E5" w14:textId="77777777" w:rsidTr="00B436F2">
        <w:trPr>
          <w:trHeight w:val="614"/>
          <w:jc w:val="center"/>
        </w:trPr>
        <w:tc>
          <w:tcPr>
            <w:tcW w:w="1940"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72"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93"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995"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B436F2">
        <w:trPr>
          <w:trHeight w:val="511"/>
          <w:jc w:val="center"/>
        </w:trPr>
        <w:tc>
          <w:tcPr>
            <w:tcW w:w="1940" w:type="pct"/>
            <w:vAlign w:val="center"/>
          </w:tcPr>
          <w:p w14:paraId="7EFF1EC3" w14:textId="77777777" w:rsidR="00DA6575" w:rsidRPr="00040CA1" w:rsidRDefault="00DA6575" w:rsidP="00DA6575">
            <w:pPr>
              <w:jc w:val="center"/>
              <w:rPr>
                <w:bCs/>
              </w:rPr>
            </w:pPr>
            <w:r>
              <w:rPr>
                <w:b/>
                <w:bCs/>
              </w:rPr>
              <w:t>Počítač I</w:t>
            </w:r>
          </w:p>
        </w:tc>
        <w:tc>
          <w:tcPr>
            <w:tcW w:w="1172" w:type="pct"/>
            <w:vAlign w:val="center"/>
          </w:tcPr>
          <w:p w14:paraId="1C4C1D8C" w14:textId="156267D3" w:rsidR="00DA6575" w:rsidRPr="00E3392F" w:rsidRDefault="00E3392F" w:rsidP="00DA6575">
            <w:pPr>
              <w:jc w:val="center"/>
            </w:pPr>
            <w:r w:rsidRPr="00E3392F">
              <w:t>8941,00</w:t>
            </w:r>
          </w:p>
        </w:tc>
        <w:tc>
          <w:tcPr>
            <w:tcW w:w="893" w:type="pct"/>
            <w:vAlign w:val="center"/>
          </w:tcPr>
          <w:p w14:paraId="2F163D55" w14:textId="326EBBC7" w:rsidR="00DA6575" w:rsidRPr="00040CA1" w:rsidRDefault="00B436F2" w:rsidP="00DA6575">
            <w:pPr>
              <w:jc w:val="center"/>
            </w:pPr>
            <w:r>
              <w:t>20</w:t>
            </w:r>
            <w:r w:rsidR="00DA6575">
              <w:t xml:space="preserve"> ks</w:t>
            </w:r>
          </w:p>
        </w:tc>
        <w:tc>
          <w:tcPr>
            <w:tcW w:w="995" w:type="pct"/>
            <w:vAlign w:val="center"/>
          </w:tcPr>
          <w:p w14:paraId="033BA592" w14:textId="4CDB06FE" w:rsidR="00DA6575" w:rsidRPr="00B436F2" w:rsidRDefault="00B436F2" w:rsidP="00DA6575">
            <w:pPr>
              <w:jc w:val="center"/>
              <w:rPr>
                <w:iCs/>
              </w:rPr>
            </w:pPr>
            <w:r w:rsidRPr="00B436F2">
              <w:rPr>
                <w:iCs/>
                <w:lang w:eastAsia="en-US"/>
              </w:rPr>
              <w:t>178 820,00</w:t>
            </w:r>
          </w:p>
        </w:tc>
      </w:tr>
      <w:tr w:rsidR="00DA6575" w:rsidRPr="007D4A7D" w14:paraId="6C40798E" w14:textId="77777777" w:rsidTr="00B436F2">
        <w:trPr>
          <w:trHeight w:val="511"/>
          <w:jc w:val="center"/>
        </w:trPr>
        <w:tc>
          <w:tcPr>
            <w:tcW w:w="1940" w:type="pct"/>
            <w:vAlign w:val="center"/>
          </w:tcPr>
          <w:p w14:paraId="48929081" w14:textId="77777777" w:rsidR="00DA6575" w:rsidRDefault="00DA6575" w:rsidP="00DA6575">
            <w:pPr>
              <w:jc w:val="center"/>
              <w:rPr>
                <w:b/>
                <w:bCs/>
              </w:rPr>
            </w:pPr>
            <w:r>
              <w:rPr>
                <w:b/>
                <w:bCs/>
              </w:rPr>
              <w:t>Monitor I</w:t>
            </w:r>
          </w:p>
        </w:tc>
        <w:tc>
          <w:tcPr>
            <w:tcW w:w="1172" w:type="pct"/>
            <w:vAlign w:val="center"/>
          </w:tcPr>
          <w:p w14:paraId="39BE7A6F" w14:textId="2FDDBEDC" w:rsidR="00DA6575" w:rsidRPr="00BE7107" w:rsidRDefault="00DA6575" w:rsidP="00DA6575">
            <w:pPr>
              <w:jc w:val="center"/>
              <w:rPr>
                <w:i/>
                <w:sz w:val="16"/>
                <w:szCs w:val="16"/>
                <w:highlight w:val="yellow"/>
                <w:lang w:eastAsia="en-US"/>
              </w:rPr>
            </w:pPr>
            <w:r w:rsidRPr="00292A75">
              <w:rPr>
                <w:rFonts w:cs="Calibri"/>
              </w:rPr>
              <w:t>1 710,00</w:t>
            </w:r>
          </w:p>
        </w:tc>
        <w:tc>
          <w:tcPr>
            <w:tcW w:w="893" w:type="pct"/>
            <w:vAlign w:val="center"/>
          </w:tcPr>
          <w:p w14:paraId="5B6BB86F" w14:textId="4B2BDC74" w:rsidR="00DA6575" w:rsidRDefault="00B436F2" w:rsidP="00DA6575">
            <w:pPr>
              <w:jc w:val="center"/>
            </w:pPr>
            <w:r>
              <w:t>6</w:t>
            </w:r>
            <w:r w:rsidR="00DA6575">
              <w:t xml:space="preserve"> ks</w:t>
            </w:r>
          </w:p>
        </w:tc>
        <w:tc>
          <w:tcPr>
            <w:tcW w:w="995" w:type="pct"/>
            <w:vAlign w:val="center"/>
          </w:tcPr>
          <w:p w14:paraId="4E8F586F" w14:textId="2F516950" w:rsidR="00DA6575" w:rsidRPr="00B436F2" w:rsidRDefault="00B436F2" w:rsidP="00DA6575">
            <w:pPr>
              <w:jc w:val="center"/>
              <w:rPr>
                <w:iCs/>
                <w:highlight w:val="yellow"/>
                <w:lang w:eastAsia="en-US"/>
              </w:rPr>
            </w:pPr>
            <w:r>
              <w:rPr>
                <w:iCs/>
                <w:lang w:eastAsia="en-US"/>
              </w:rPr>
              <w:t xml:space="preserve"> </w:t>
            </w:r>
            <w:r w:rsidRPr="00B436F2">
              <w:rPr>
                <w:iCs/>
                <w:lang w:eastAsia="en-US"/>
              </w:rPr>
              <w:t>10 260,00</w:t>
            </w:r>
          </w:p>
        </w:tc>
      </w:tr>
      <w:tr w:rsidR="00DA6575" w:rsidRPr="007D4A7D" w14:paraId="57DD25F0" w14:textId="77777777" w:rsidTr="00B436F2">
        <w:trPr>
          <w:trHeight w:val="511"/>
          <w:jc w:val="center"/>
        </w:trPr>
        <w:tc>
          <w:tcPr>
            <w:tcW w:w="1940" w:type="pct"/>
            <w:vAlign w:val="center"/>
          </w:tcPr>
          <w:p w14:paraId="00755879" w14:textId="77777777" w:rsidR="00DA6575" w:rsidRDefault="00DA6575" w:rsidP="00DA6575">
            <w:pPr>
              <w:jc w:val="center"/>
              <w:rPr>
                <w:b/>
                <w:bCs/>
              </w:rPr>
            </w:pPr>
            <w:r>
              <w:rPr>
                <w:b/>
                <w:bCs/>
              </w:rPr>
              <w:t>Příslušenství II</w:t>
            </w:r>
          </w:p>
        </w:tc>
        <w:tc>
          <w:tcPr>
            <w:tcW w:w="1172"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893" w:type="pct"/>
            <w:vAlign w:val="center"/>
          </w:tcPr>
          <w:p w14:paraId="2E50F547" w14:textId="204A7124" w:rsidR="00DA6575" w:rsidRDefault="00B436F2" w:rsidP="00DA6575">
            <w:pPr>
              <w:jc w:val="center"/>
            </w:pPr>
            <w:r>
              <w:t>20</w:t>
            </w:r>
            <w:r w:rsidR="00DA6575">
              <w:t xml:space="preserve"> ks</w:t>
            </w:r>
          </w:p>
        </w:tc>
        <w:tc>
          <w:tcPr>
            <w:tcW w:w="995" w:type="pct"/>
            <w:vAlign w:val="center"/>
          </w:tcPr>
          <w:p w14:paraId="72DE5E86" w14:textId="6A89FF3D" w:rsidR="00DA6575" w:rsidRPr="00B436F2" w:rsidRDefault="00B436F2" w:rsidP="00DA6575">
            <w:pPr>
              <w:jc w:val="center"/>
              <w:rPr>
                <w:iCs/>
                <w:highlight w:val="yellow"/>
                <w:lang w:eastAsia="en-US"/>
              </w:rPr>
            </w:pPr>
            <w:r w:rsidRPr="00B436F2">
              <w:rPr>
                <w:iCs/>
                <w:lang w:eastAsia="en-US"/>
              </w:rPr>
              <w:t>4 080,00</w:t>
            </w:r>
          </w:p>
        </w:tc>
      </w:tr>
      <w:tr w:rsidR="00DA6575" w:rsidRPr="007D4A7D" w14:paraId="61179649" w14:textId="77777777" w:rsidTr="00B436F2">
        <w:trPr>
          <w:trHeight w:val="652"/>
          <w:jc w:val="center"/>
        </w:trPr>
        <w:tc>
          <w:tcPr>
            <w:tcW w:w="1940" w:type="pct"/>
            <w:vAlign w:val="center"/>
          </w:tcPr>
          <w:p w14:paraId="5A0555F5" w14:textId="77777777" w:rsidR="00DA6575" w:rsidRDefault="00DA6575" w:rsidP="00DA6575">
            <w:pPr>
              <w:jc w:val="center"/>
              <w:rPr>
                <w:b/>
                <w:bCs/>
              </w:rPr>
            </w:pPr>
            <w:r>
              <w:rPr>
                <w:b/>
                <w:bCs/>
              </w:rPr>
              <w:t>Kupní cena</w:t>
            </w:r>
          </w:p>
        </w:tc>
        <w:tc>
          <w:tcPr>
            <w:tcW w:w="3060" w:type="pct"/>
            <w:gridSpan w:val="3"/>
            <w:vAlign w:val="center"/>
          </w:tcPr>
          <w:p w14:paraId="19BF75D1" w14:textId="59EC7EB0" w:rsidR="00DA6575" w:rsidRPr="00B436F2" w:rsidRDefault="00B436F2" w:rsidP="00DA6575">
            <w:pPr>
              <w:jc w:val="center"/>
              <w:rPr>
                <w:iCs/>
                <w:highlight w:val="yellow"/>
                <w:lang w:eastAsia="en-US"/>
              </w:rPr>
            </w:pPr>
            <w:r w:rsidRPr="00B436F2">
              <w:rPr>
                <w:iCs/>
                <w:lang w:eastAsia="en-US"/>
              </w:rPr>
              <w:t>193 610,00</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w:t>
      </w:r>
      <w:r>
        <w:lastRenderedPageBreak/>
        <w:t>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lastRenderedPageBreak/>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1F6C23">
        <w:rPr>
          <w:i/>
          <w:highlight w:val="black"/>
        </w:rPr>
        <w:t>222264451</w:t>
      </w:r>
      <w:r w:rsidR="001D67D0" w:rsidRPr="00FE4DF8">
        <w:rPr>
          <w:i/>
        </w:rPr>
        <w:t xml:space="preserve"> </w:t>
      </w:r>
      <w:r w:rsidR="001D67D0">
        <w:t>a nejpozději bezprostředně poté i písemně prostřednictvím e</w:t>
      </w:r>
      <w:r w:rsidR="001D67D0">
        <w:noBreakHyphen/>
        <w:t xml:space="preserve">mailové zprávy zaslané na adresu </w:t>
      </w:r>
      <w:r w:rsidR="001D67D0" w:rsidRPr="001F6C23">
        <w:rPr>
          <w:i/>
          <w:highlight w:val="black"/>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1F6C23">
        <w:rPr>
          <w:i/>
          <w:highlight w:val="black"/>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958D549" w14:textId="77777777" w:rsidR="00BA5F91" w:rsidRDefault="00BA5F91" w:rsidP="00BA5F91">
      <w:pPr>
        <w:pStyle w:val="Nadpis3"/>
      </w:pPr>
      <w:r>
        <w:t xml:space="preserve">Kupující: </w:t>
      </w:r>
      <w:r w:rsidRPr="00533DC0">
        <w:rPr>
          <w:bCs w:val="0"/>
          <w:i/>
          <w:iCs/>
        </w:rPr>
        <w:t>Střední odborná škola a Střední odborné učiliště, Mladá Boleslav, Jičínská 762</w:t>
      </w:r>
    </w:p>
    <w:p w14:paraId="6FFB24C3" w14:textId="77777777" w:rsidR="00BA5F91" w:rsidRPr="00533DC0" w:rsidRDefault="00BA5F91" w:rsidP="00BA5F91">
      <w:pPr>
        <w:pStyle w:val="Nadpis2bezslovn"/>
        <w:ind w:left="1080"/>
        <w:rPr>
          <w:bCs w:val="0"/>
          <w:i/>
          <w:iCs/>
          <w:highlight w:val="magenta"/>
        </w:rPr>
      </w:pPr>
      <w:r>
        <w:t>Jméno: RNDr. Jiří Šlégl</w:t>
      </w:r>
    </w:p>
    <w:p w14:paraId="10BE457A" w14:textId="77777777" w:rsidR="00BA5F91" w:rsidRDefault="00BA5F91" w:rsidP="00BA5F91">
      <w:pPr>
        <w:pStyle w:val="Nadpis2bezslovn"/>
        <w:ind w:left="1080"/>
      </w:pPr>
      <w:r>
        <w:t xml:space="preserve">Adresa: </w:t>
      </w:r>
      <w:r w:rsidRPr="00533DC0">
        <w:t>Jičínská 762, 293 01 Mladá Boleslav</w:t>
      </w:r>
    </w:p>
    <w:p w14:paraId="6E7C1DE1" w14:textId="77777777" w:rsidR="00BA5F91" w:rsidRDefault="00BA5F91" w:rsidP="00BA5F91">
      <w:pPr>
        <w:pStyle w:val="Nadpis2bezslovn"/>
        <w:ind w:left="1080"/>
      </w:pPr>
      <w:r>
        <w:t xml:space="preserve">E-mail: </w:t>
      </w:r>
      <w:r w:rsidRPr="001F6C23">
        <w:rPr>
          <w:highlight w:val="black"/>
        </w:rPr>
        <w:t>slegl@odbskmb.cz</w:t>
      </w:r>
    </w:p>
    <w:p w14:paraId="2A93224C" w14:textId="77777777" w:rsidR="00BA5F91" w:rsidRDefault="00BA5F91" w:rsidP="00BA5F91">
      <w:pPr>
        <w:pStyle w:val="Nadpis2bezslovn"/>
        <w:ind w:left="1080"/>
      </w:pPr>
      <w:r>
        <w:t xml:space="preserve">Datová schránka: </w:t>
      </w:r>
      <w:r w:rsidRPr="001F6C23">
        <w:rPr>
          <w:highlight w:val="black"/>
        </w:rPr>
        <w:t>2b7x7e3</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 xml:space="preserve">E-mail: </w:t>
      </w:r>
      <w:r w:rsidRPr="001F6C23">
        <w:rPr>
          <w:highlight w:val="black"/>
        </w:rPr>
        <w:t>jtoman@opencc.eu</w:t>
      </w:r>
    </w:p>
    <w:p w14:paraId="56730707" w14:textId="77777777" w:rsidR="001D67D0" w:rsidRDefault="001D67D0" w:rsidP="001D67D0">
      <w:pPr>
        <w:pStyle w:val="Nadpis2bezslovn"/>
        <w:ind w:left="1080"/>
      </w:pPr>
      <w:r>
        <w:t xml:space="preserve">Datová schránka: </w:t>
      </w:r>
      <w:r w:rsidRPr="001F6C23">
        <w:rPr>
          <w:highlight w:val="black"/>
        </w:rPr>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74841C2A" w14:textId="77777777" w:rsidR="00BA5F91" w:rsidRDefault="00BA5F91" w:rsidP="00BA5F91">
      <w:pPr>
        <w:pStyle w:val="Nadpis3"/>
        <w:keepNext/>
        <w:keepLines/>
      </w:pPr>
      <w:r>
        <w:t xml:space="preserve">Kontaktní osobou Kupujícího </w:t>
      </w:r>
      <w:r w:rsidRPr="00533DC0">
        <w:rPr>
          <w:i/>
          <w:iCs/>
        </w:rPr>
        <w:t>je RNDr. Josef Lhoťan</w:t>
      </w:r>
      <w:r>
        <w:t xml:space="preserve">, e-mail </w:t>
      </w:r>
      <w:r w:rsidRPr="001F6C23">
        <w:rPr>
          <w:i/>
          <w:iCs/>
          <w:color w:val="0D0D0D" w:themeColor="text1" w:themeTint="F2"/>
          <w:highlight w:val="black"/>
          <w:u w:val="single"/>
        </w:rPr>
        <w:t>lhotan@odbskmb.cz</w:t>
      </w:r>
      <w:r w:rsidRPr="00533DC0">
        <w:rPr>
          <w:u w:val="single"/>
        </w:rPr>
        <w:t>,</w:t>
      </w:r>
      <w:r>
        <w:t xml:space="preserve"> </w:t>
      </w:r>
      <w:r w:rsidRPr="001F6C23">
        <w:rPr>
          <w:i/>
          <w:iCs/>
          <w:highlight w:val="black"/>
        </w:rPr>
        <w:t>605 253 793</w:t>
      </w:r>
      <w:r>
        <w:t xml:space="preserve">, 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8" w:history="1">
        <w:r w:rsidR="001D67D0" w:rsidRPr="001F6C23">
          <w:rPr>
            <w:rStyle w:val="Hypertextovodkaz"/>
            <w:iCs/>
            <w:color w:val="0D0D0D" w:themeColor="text1" w:themeTint="F2"/>
            <w:highlight w:val="black"/>
          </w:rPr>
          <w:t>fdlouhy@opencc.eu</w:t>
        </w:r>
      </w:hyperlink>
      <w:r w:rsidR="001D67D0" w:rsidRPr="001F6C23">
        <w:rPr>
          <w:iCs/>
          <w:color w:val="0D0D0D" w:themeColor="text1" w:themeTint="F2"/>
          <w:highlight w:val="black"/>
        </w:rPr>
        <w:t>,</w:t>
      </w:r>
      <w:r w:rsidR="001D67D0" w:rsidRPr="00050663">
        <w:rPr>
          <w:iCs/>
        </w:rPr>
        <w:t xml:space="preserve"> </w:t>
      </w:r>
      <w:r w:rsidR="001D67D0" w:rsidRPr="001F6C23">
        <w:rPr>
          <w:iCs/>
          <w:highlight w:val="black"/>
        </w:rPr>
        <w:t>732440373</w:t>
      </w:r>
      <w:r w:rsidRPr="00050663">
        <w:rPr>
          <w:iCs/>
        </w:rPr>
        <w:t>,</w:t>
      </w:r>
      <w:r w:rsidRPr="005C0F87">
        <w:t xml:space="preserve"> a další zaměstnanci či jiné osoby jím písemně pověření. </w:t>
      </w:r>
    </w:p>
    <w:p w14:paraId="56EB72FE" w14:textId="77777777" w:rsidR="00BA5F91" w:rsidRDefault="00BA5F91" w:rsidP="00BA5F91">
      <w:pPr>
        <w:pStyle w:val="Nadpis2"/>
        <w:tabs>
          <w:tab w:val="num" w:pos="576"/>
        </w:tabs>
        <w:ind w:left="786"/>
      </w:pPr>
      <w:r>
        <w:t>Ke změně Smlouvy, ukončení Smlouvy, nebo změně bankovních údajů je za Kupujícího oprávněn RNDr. Jiří Šlégl.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 xml:space="preserve">Smluvní strany souhlasí s tím, že podepsaná Smlouva (včetně příloh), jakož i její text, může </w:t>
      </w:r>
      <w:r w:rsidRPr="00C520EE">
        <w:lastRenderedPageBreak/>
        <w:t>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5EBC10A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rsidR="004C2CF7">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3C8E29BF" w:rsidR="006135FA" w:rsidRPr="005C0F87" w:rsidRDefault="006135FA" w:rsidP="0086374F">
            <w:pPr>
              <w:jc w:val="center"/>
            </w:pPr>
            <w:r w:rsidRPr="005C0F87">
              <w:t xml:space="preserve">V </w:t>
            </w:r>
            <w:r w:rsidR="004C2CF7">
              <w:t>______________</w:t>
            </w:r>
            <w:r w:rsidRPr="005C0F87">
              <w:t xml:space="preserve"> dne ______</w:t>
            </w:r>
          </w:p>
        </w:tc>
        <w:tc>
          <w:tcPr>
            <w:tcW w:w="4606" w:type="dxa"/>
          </w:tcPr>
          <w:p w14:paraId="7E9EC915" w14:textId="77777777" w:rsidR="006135FA" w:rsidRDefault="006135FA" w:rsidP="0086374F">
            <w:pPr>
              <w:jc w:val="center"/>
            </w:pPr>
            <w:r w:rsidRPr="005C0F87">
              <w:t>V ______________ dne _____</w:t>
            </w:r>
          </w:p>
          <w:p w14:paraId="3F9BDC19" w14:textId="70D507C0" w:rsidR="004C2CF7" w:rsidRPr="005C0F87" w:rsidRDefault="004C2CF7" w:rsidP="0086374F">
            <w:pPr>
              <w:jc w:val="center"/>
            </w:pP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694743DB" w14:textId="77777777" w:rsidR="004C2CF7" w:rsidRDefault="004C2CF7" w:rsidP="004C2CF7">
            <w:pPr>
              <w:jc w:val="center"/>
            </w:pPr>
            <w:r>
              <w:t>Kupující</w:t>
            </w:r>
          </w:p>
          <w:p w14:paraId="6E0321F1" w14:textId="77777777" w:rsidR="004C2CF7" w:rsidRPr="00CA3095" w:rsidRDefault="004C2CF7" w:rsidP="004C2CF7">
            <w:pPr>
              <w:jc w:val="center"/>
              <w:rPr>
                <w:bCs/>
                <w:highlight w:val="yellow"/>
              </w:rPr>
            </w:pPr>
            <w:r w:rsidRPr="00CA3095">
              <w:rPr>
                <w:bCs/>
              </w:rPr>
              <w:t>RNDr. Jiří Šlégl</w:t>
            </w:r>
          </w:p>
          <w:p w14:paraId="296332EC" w14:textId="06B46D41" w:rsidR="006135FA" w:rsidRPr="005C0F87" w:rsidRDefault="004C2CF7" w:rsidP="004C2CF7">
            <w:pPr>
              <w:jc w:val="center"/>
            </w:pPr>
            <w:r w:rsidRPr="00CA3095">
              <w:rPr>
                <w:iCs/>
              </w:rPr>
              <w:t>ředit</w:t>
            </w:r>
            <w:r>
              <w:rPr>
                <w:iCs/>
              </w:rPr>
              <w:t>e</w:t>
            </w:r>
            <w:r w:rsidRPr="00CA3095">
              <w:rPr>
                <w:iCs/>
              </w:rPr>
              <w:t>l</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101A7D4F" w14:textId="77777777" w:rsidR="006135FA" w:rsidRDefault="001D67D0" w:rsidP="001D67D0">
            <w:pPr>
              <w:jc w:val="center"/>
            </w:pPr>
            <w:r>
              <w:t>zplnomocněný zástupce jednatele</w:t>
            </w:r>
          </w:p>
          <w:p w14:paraId="5EE7B184" w14:textId="52CFFC9A" w:rsidR="004C2CF7" w:rsidRPr="00C15D8A" w:rsidRDefault="004C2CF7" w:rsidP="001D67D0">
            <w:pPr>
              <w:jc w:val="center"/>
            </w:pPr>
          </w:p>
        </w:tc>
      </w:tr>
    </w:tbl>
    <w:p w14:paraId="49DE6091" w14:textId="77777777" w:rsidR="004C2CF7" w:rsidRDefault="004C2CF7" w:rsidP="00A1602B">
      <w:pPr>
        <w:jc w:val="center"/>
        <w:rPr>
          <w:b/>
          <w:color w:val="000000"/>
        </w:rPr>
      </w:pPr>
      <w:bookmarkStart w:id="2" w:name="RANGE!A1:D73"/>
    </w:p>
    <w:p w14:paraId="11AF06DE" w14:textId="732B764F" w:rsidR="00A1602B" w:rsidRDefault="004C2CF7" w:rsidP="00A1602B">
      <w:pPr>
        <w:jc w:val="center"/>
        <w:rPr>
          <w:b/>
          <w:color w:val="000000"/>
        </w:rPr>
      </w:pPr>
      <w:r>
        <w:rPr>
          <w:b/>
          <w:color w:val="000000"/>
        </w:rPr>
        <w:t>P</w:t>
      </w:r>
      <w:r w:rsidR="00A1602B">
        <w:rPr>
          <w:b/>
          <w:color w:val="000000"/>
        </w:rPr>
        <w:t>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1E6EE1">
        <w:trPr>
          <w:trHeight w:val="375"/>
        </w:trPr>
        <w:tc>
          <w:tcPr>
            <w:tcW w:w="2298" w:type="pct"/>
            <w:gridSpan w:val="2"/>
            <w:tcBorders>
              <w:top w:val="single" w:sz="8" w:space="0" w:color="auto"/>
              <w:left w:val="single" w:sz="8" w:space="0" w:color="auto"/>
              <w:bottom w:val="nil"/>
              <w:right w:val="nil"/>
            </w:tcBorders>
            <w:shd w:val="clear" w:color="auto" w:fill="auto"/>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1E6EE1">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shd w:val="clear" w:color="auto" w:fill="auto"/>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1E6EE1">
        <w:trPr>
          <w:trHeight w:val="900"/>
        </w:trPr>
        <w:tc>
          <w:tcPr>
            <w:tcW w:w="1151"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shd w:val="clear" w:color="auto" w:fill="auto"/>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r>
              <w:rPr>
                <w:rFonts w:ascii="Calibri" w:hAnsi="Calibri" w:cs="Calibri"/>
                <w:sz w:val="22"/>
                <w:szCs w:val="22"/>
              </w:rPr>
              <w:t>Processor</w:t>
            </w:r>
            <w:proofErr w:type="spellEnd"/>
            <w:r>
              <w:rPr>
                <w:rFonts w:ascii="Calibri" w:hAnsi="Calibri" w:cs="Calibri"/>
                <w:sz w:val="22"/>
                <w:szCs w:val="22"/>
              </w:rPr>
              <w:t xml:space="preserve">  21611 bodů</w:t>
            </w:r>
          </w:p>
        </w:tc>
      </w:tr>
      <w:tr w:rsidR="00A1602B" w14:paraId="3E14964F" w14:textId="77777777" w:rsidTr="001E6EE1">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shd w:val="clear" w:color="auto" w:fill="auto"/>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shd w:val="clear" w:color="auto" w:fill="auto"/>
            <w:vAlign w:val="center"/>
            <w:hideMark/>
          </w:tcPr>
          <w:p w14:paraId="791B4A8D" w14:textId="17E48725" w:rsidR="00A1602B" w:rsidRDefault="00A1602B">
            <w:pPr>
              <w:rPr>
                <w:rFonts w:ascii="Calibri" w:hAnsi="Calibri" w:cs="Calibri"/>
                <w:sz w:val="22"/>
                <w:szCs w:val="22"/>
              </w:rPr>
            </w:pPr>
            <w:r>
              <w:rPr>
                <w:rFonts w:ascii="Calibri" w:hAnsi="Calibri" w:cs="Calibri"/>
                <w:sz w:val="22"/>
                <w:szCs w:val="22"/>
              </w:rPr>
              <w:t xml:space="preserve">Minimálně </w:t>
            </w:r>
            <w:r w:rsidR="001E6EE1">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31AE7C4E" w:rsidR="00A1602B" w:rsidRDefault="001E6EE1">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shd w:val="clear" w:color="auto" w:fill="auto"/>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shd w:val="clear" w:color="auto" w:fill="auto"/>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shd w:val="clear" w:color="auto" w:fill="auto"/>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1E6EE1">
        <w:trPr>
          <w:trHeight w:val="27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shd w:val="clear" w:color="auto" w:fill="auto"/>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15W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1.4a (HBR2, DSC)</w:t>
            </w:r>
            <w:r>
              <w:rPr>
                <w:rFonts w:ascii="Calibri" w:hAnsi="Calibri" w:cs="Calibri"/>
                <w:sz w:val="22"/>
                <w:szCs w:val="22"/>
              </w:rPr>
              <w:br/>
              <w:t>podpora 4K/60Hz</w:t>
            </w:r>
          </w:p>
        </w:tc>
      </w:tr>
      <w:tr w:rsidR="00A1602B" w14:paraId="1FD21789"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shd w:val="clear" w:color="auto" w:fill="auto"/>
            <w:vAlign w:val="center"/>
            <w:hideMark/>
          </w:tcPr>
          <w:p w14:paraId="18C705C3" w14:textId="39DD173A" w:rsidR="00A1602B" w:rsidRDefault="001E6EE1">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shd w:val="clear" w:color="auto" w:fill="auto"/>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shd w:val="clear" w:color="auto" w:fill="auto"/>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shd w:val="clear" w:color="auto" w:fill="auto"/>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shd w:val="clear" w:color="auto" w:fill="auto"/>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1E6EE1">
        <w:trPr>
          <w:trHeight w:val="300"/>
        </w:trPr>
        <w:tc>
          <w:tcPr>
            <w:tcW w:w="1151" w:type="pct"/>
            <w:tcBorders>
              <w:top w:val="nil"/>
              <w:left w:val="single" w:sz="8" w:space="0" w:color="auto"/>
              <w:bottom w:val="nil"/>
              <w:right w:val="nil"/>
            </w:tcBorders>
            <w:shd w:val="clear" w:color="auto" w:fill="auto"/>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shd w:val="clear" w:color="auto" w:fill="auto"/>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1E6EE1">
        <w:trPr>
          <w:trHeight w:val="1200"/>
        </w:trPr>
        <w:tc>
          <w:tcPr>
            <w:tcW w:w="1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shd w:val="clear" w:color="auto" w:fill="auto"/>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1E6EE1">
        <w:trPr>
          <w:trHeight w:val="210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1E6EE1">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1E6EE1">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1E6EE1">
        <w:trPr>
          <w:trHeight w:val="315"/>
        </w:trPr>
        <w:tc>
          <w:tcPr>
            <w:tcW w:w="1151" w:type="pct"/>
            <w:tcBorders>
              <w:top w:val="nil"/>
              <w:left w:val="single" w:sz="8" w:space="0" w:color="auto"/>
              <w:bottom w:val="nil"/>
              <w:right w:val="nil"/>
            </w:tcBorders>
            <w:shd w:val="clear" w:color="auto" w:fill="auto"/>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shd w:val="clear" w:color="auto" w:fill="auto"/>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shd w:val="clear" w:color="auto" w:fill="auto"/>
            <w:vAlign w:val="center"/>
            <w:hideMark/>
          </w:tcPr>
          <w:p w14:paraId="40F78AD1" w14:textId="77777777" w:rsidR="00A1602B" w:rsidRDefault="00A1602B">
            <w:pPr>
              <w:rPr>
                <w:sz w:val="20"/>
                <w:szCs w:val="20"/>
              </w:rPr>
            </w:pPr>
          </w:p>
        </w:tc>
        <w:tc>
          <w:tcPr>
            <w:tcW w:w="1848" w:type="pct"/>
            <w:tcBorders>
              <w:top w:val="nil"/>
              <w:left w:val="nil"/>
              <w:bottom w:val="nil"/>
              <w:right w:val="nil"/>
            </w:tcBorders>
            <w:shd w:val="clear" w:color="auto" w:fill="auto"/>
            <w:vAlign w:val="center"/>
            <w:hideMark/>
          </w:tcPr>
          <w:p w14:paraId="7395442C" w14:textId="77777777" w:rsidR="00A1602B" w:rsidRDefault="00A1602B">
            <w:pPr>
              <w:jc w:val="center"/>
              <w:rPr>
                <w:sz w:val="20"/>
                <w:szCs w:val="20"/>
              </w:rPr>
            </w:pPr>
          </w:p>
        </w:tc>
      </w:tr>
      <w:tr w:rsidR="00A1602B" w14:paraId="32E72919" w14:textId="77777777" w:rsidTr="001E6EE1">
        <w:trPr>
          <w:trHeight w:val="315"/>
        </w:trPr>
        <w:tc>
          <w:tcPr>
            <w:tcW w:w="1151" w:type="pct"/>
            <w:tcBorders>
              <w:top w:val="nil"/>
              <w:left w:val="nil"/>
              <w:bottom w:val="nil"/>
              <w:right w:val="nil"/>
            </w:tcBorders>
            <w:shd w:val="clear" w:color="auto" w:fill="auto"/>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741DB64A" w14:textId="77777777" w:rsidR="00A1602B" w:rsidRDefault="00A1602B">
            <w:pPr>
              <w:rPr>
                <w:sz w:val="20"/>
                <w:szCs w:val="20"/>
              </w:rPr>
            </w:pPr>
          </w:p>
        </w:tc>
      </w:tr>
      <w:tr w:rsidR="00A1602B" w14:paraId="1DE0BE7B"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shd w:val="clear" w:color="auto" w:fill="auto"/>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shd w:val="clear" w:color="auto" w:fill="auto"/>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shd w:val="clear" w:color="auto" w:fill="auto"/>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shd w:val="clear" w:color="auto" w:fill="auto"/>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1E6EE1">
        <w:trPr>
          <w:trHeight w:val="345"/>
        </w:trPr>
        <w:tc>
          <w:tcPr>
            <w:tcW w:w="1151" w:type="pct"/>
            <w:tcBorders>
              <w:top w:val="nil"/>
              <w:left w:val="single" w:sz="8" w:space="0" w:color="auto"/>
              <w:bottom w:val="single" w:sz="4" w:space="0" w:color="auto"/>
              <w:right w:val="single" w:sz="4" w:space="0" w:color="auto"/>
            </w:tcBorders>
            <w:shd w:val="clear" w:color="auto" w:fill="auto"/>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shd w:val="clear" w:color="auto" w:fill="auto"/>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shd w:val="clear" w:color="auto" w:fill="auto"/>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shd w:val="clear" w:color="auto" w:fill="auto"/>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shd w:val="clear" w:color="auto" w:fill="auto"/>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1E6EE1">
        <w:trPr>
          <w:trHeight w:val="4200"/>
        </w:trPr>
        <w:tc>
          <w:tcPr>
            <w:tcW w:w="1151" w:type="pct"/>
            <w:tcBorders>
              <w:top w:val="nil"/>
              <w:left w:val="single" w:sz="8" w:space="0" w:color="auto"/>
              <w:bottom w:val="single" w:sz="4" w:space="0" w:color="auto"/>
              <w:right w:val="single" w:sz="4" w:space="0" w:color="auto"/>
            </w:tcBorders>
            <w:shd w:val="clear" w:color="auto" w:fill="auto"/>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shd w:val="clear" w:color="auto" w:fill="auto"/>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1E6EE1">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1E6EE1">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1E6EE1">
        <w:trPr>
          <w:trHeight w:val="1215"/>
        </w:trPr>
        <w:tc>
          <w:tcPr>
            <w:tcW w:w="1151" w:type="pct"/>
            <w:tcBorders>
              <w:top w:val="nil"/>
              <w:left w:val="single" w:sz="8" w:space="0" w:color="auto"/>
              <w:bottom w:val="single" w:sz="8" w:space="0" w:color="auto"/>
              <w:right w:val="single" w:sz="4" w:space="0" w:color="auto"/>
            </w:tcBorders>
            <w:shd w:val="clear" w:color="auto" w:fill="auto"/>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shd w:val="clear" w:color="auto" w:fill="auto"/>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1E6EE1">
        <w:trPr>
          <w:trHeight w:val="315"/>
        </w:trPr>
        <w:tc>
          <w:tcPr>
            <w:tcW w:w="1151" w:type="pct"/>
            <w:tcBorders>
              <w:top w:val="nil"/>
              <w:left w:val="nil"/>
              <w:bottom w:val="nil"/>
              <w:right w:val="nil"/>
            </w:tcBorders>
            <w:shd w:val="clear" w:color="auto" w:fill="auto"/>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1E6EE1">
        <w:trPr>
          <w:trHeight w:val="315"/>
        </w:trPr>
        <w:tc>
          <w:tcPr>
            <w:tcW w:w="1151" w:type="pct"/>
            <w:tcBorders>
              <w:top w:val="nil"/>
              <w:left w:val="nil"/>
              <w:bottom w:val="nil"/>
              <w:right w:val="nil"/>
            </w:tcBorders>
            <w:shd w:val="clear" w:color="auto" w:fill="auto"/>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vAlign w:val="center"/>
            <w:hideMark/>
          </w:tcPr>
          <w:p w14:paraId="5BA7B870" w14:textId="77777777" w:rsidR="00A1602B" w:rsidRDefault="00A1602B">
            <w:pPr>
              <w:rPr>
                <w:sz w:val="20"/>
                <w:szCs w:val="20"/>
              </w:rPr>
            </w:pPr>
          </w:p>
        </w:tc>
        <w:tc>
          <w:tcPr>
            <w:tcW w:w="854" w:type="pct"/>
            <w:tcBorders>
              <w:top w:val="nil"/>
              <w:left w:val="nil"/>
              <w:bottom w:val="nil"/>
              <w:right w:val="nil"/>
            </w:tcBorders>
            <w:shd w:val="clear" w:color="auto" w:fill="auto"/>
            <w:vAlign w:val="center"/>
            <w:hideMark/>
          </w:tcPr>
          <w:p w14:paraId="4C5B8145" w14:textId="77777777" w:rsidR="00A1602B" w:rsidRDefault="00A1602B">
            <w:pPr>
              <w:rPr>
                <w:sz w:val="20"/>
                <w:szCs w:val="20"/>
              </w:rPr>
            </w:pPr>
          </w:p>
        </w:tc>
        <w:tc>
          <w:tcPr>
            <w:tcW w:w="1848" w:type="pct"/>
            <w:tcBorders>
              <w:top w:val="nil"/>
              <w:left w:val="nil"/>
              <w:bottom w:val="nil"/>
              <w:right w:val="nil"/>
            </w:tcBorders>
            <w:shd w:val="clear" w:color="auto" w:fill="auto"/>
            <w:vAlign w:val="center"/>
            <w:hideMark/>
          </w:tcPr>
          <w:p w14:paraId="6D7B1313" w14:textId="77777777" w:rsidR="00A1602B" w:rsidRDefault="00A1602B">
            <w:pPr>
              <w:rPr>
                <w:sz w:val="20"/>
                <w:szCs w:val="20"/>
              </w:rPr>
            </w:pPr>
          </w:p>
        </w:tc>
      </w:tr>
      <w:tr w:rsidR="00A1602B" w14:paraId="648EB424" w14:textId="77777777" w:rsidTr="001E6EE1">
        <w:trPr>
          <w:trHeight w:val="315"/>
        </w:trPr>
        <w:tc>
          <w:tcPr>
            <w:tcW w:w="1151" w:type="pct"/>
            <w:tcBorders>
              <w:top w:val="nil"/>
              <w:left w:val="nil"/>
              <w:bottom w:val="nil"/>
              <w:right w:val="nil"/>
            </w:tcBorders>
            <w:shd w:val="clear" w:color="auto" w:fill="auto"/>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shd w:val="clear" w:color="auto" w:fill="auto"/>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1E6EE1">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lastRenderedPageBreak/>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1E6EE1">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1E6EE1">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1E6EE1">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1E6EE1">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shd w:val="clear" w:color="auto" w:fill="auto"/>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1E6EE1">
        <w:trPr>
          <w:trHeight w:val="315"/>
        </w:trPr>
        <w:tc>
          <w:tcPr>
            <w:tcW w:w="1151" w:type="pct"/>
            <w:tcBorders>
              <w:top w:val="nil"/>
              <w:left w:val="nil"/>
              <w:bottom w:val="nil"/>
              <w:right w:val="nil"/>
            </w:tcBorders>
            <w:shd w:val="clear" w:color="auto" w:fill="auto"/>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hideMark/>
          </w:tcPr>
          <w:p w14:paraId="6B0A815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4A00995A" w14:textId="77777777" w:rsidR="00A1602B" w:rsidRDefault="00A1602B">
            <w:pPr>
              <w:rPr>
                <w:sz w:val="20"/>
                <w:szCs w:val="20"/>
              </w:rPr>
            </w:pPr>
          </w:p>
        </w:tc>
      </w:tr>
      <w:tr w:rsidR="00A1602B" w14:paraId="26E43F5C" w14:textId="77777777" w:rsidTr="001E6EE1">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1E6EE1">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1E6EE1">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shd w:val="clear" w:color="auto" w:fill="auto"/>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1E6EE1">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lastRenderedPageBreak/>
              <w:t>Lokalizace</w:t>
            </w:r>
          </w:p>
        </w:tc>
        <w:tc>
          <w:tcPr>
            <w:tcW w:w="1147" w:type="pct"/>
            <w:tcBorders>
              <w:top w:val="nil"/>
              <w:left w:val="nil"/>
              <w:bottom w:val="nil"/>
              <w:right w:val="nil"/>
            </w:tcBorders>
            <w:shd w:val="clear" w:color="auto" w:fill="auto"/>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1E6EE1">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shd w:val="clear" w:color="auto" w:fill="auto"/>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10D3C22C" w:rsidR="006D35C9" w:rsidRDefault="006D35C9">
      <w:pPr>
        <w:rPr>
          <w:b/>
        </w:rPr>
      </w:pPr>
      <w:r>
        <w:rPr>
          <w:b/>
        </w:rPr>
        <w:br w:type="page"/>
      </w:r>
    </w:p>
    <w:p w14:paraId="26CCBC65" w14:textId="77777777" w:rsidR="009B6443" w:rsidRDefault="009B6443" w:rsidP="008A5116">
      <w:pPr>
        <w:rPr>
          <w:b/>
        </w:rPr>
      </w:pPr>
    </w:p>
    <w:p w14:paraId="58D0A4F2" w14:textId="5754CD1A" w:rsidR="009B6443" w:rsidRDefault="009B6443"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739FC"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0CDE67FE" w:rsidR="00C739FC" w:rsidRDefault="00C739FC" w:rsidP="00C739FC">
            <w:pPr>
              <w:rPr>
                <w:rFonts w:ascii="Calibri" w:hAnsi="Calibri" w:cs="Calibri"/>
                <w:b/>
                <w:bCs/>
                <w:color w:val="000000"/>
                <w:sz w:val="20"/>
                <w:szCs w:val="20"/>
              </w:rPr>
            </w:pPr>
            <w:r w:rsidRPr="00AA09AA">
              <w:rPr>
                <w:bCs/>
              </w:rPr>
              <w:t>Střední odborná škola a Střední odborné učiliště, Mladá Boleslav, Jičínská 762</w:t>
            </w:r>
          </w:p>
        </w:tc>
        <w:tc>
          <w:tcPr>
            <w:tcW w:w="2552" w:type="dxa"/>
            <w:tcBorders>
              <w:top w:val="nil"/>
              <w:left w:val="nil"/>
              <w:bottom w:val="single" w:sz="4" w:space="0" w:color="auto"/>
              <w:right w:val="single" w:sz="4" w:space="0" w:color="auto"/>
            </w:tcBorders>
            <w:shd w:val="clear" w:color="auto" w:fill="FFFFFF"/>
            <w:vAlign w:val="center"/>
          </w:tcPr>
          <w:p w14:paraId="5BF07565" w14:textId="4B483CAF" w:rsidR="00C739FC" w:rsidRDefault="00C739FC" w:rsidP="00C739FC">
            <w:pPr>
              <w:ind w:firstLineChars="200" w:firstLine="480"/>
              <w:rPr>
                <w:rFonts w:ascii="Calibri" w:hAnsi="Calibri" w:cs="Calibri"/>
                <w:sz w:val="20"/>
                <w:szCs w:val="20"/>
              </w:rPr>
            </w:pPr>
            <w:r w:rsidRPr="00AA09AA">
              <w:t>Mladá Boleslav</w:t>
            </w:r>
          </w:p>
        </w:tc>
        <w:tc>
          <w:tcPr>
            <w:tcW w:w="2409" w:type="dxa"/>
            <w:tcBorders>
              <w:top w:val="nil"/>
              <w:left w:val="nil"/>
              <w:bottom w:val="single" w:sz="4" w:space="0" w:color="auto"/>
              <w:right w:val="single" w:sz="8" w:space="0" w:color="auto"/>
            </w:tcBorders>
            <w:noWrap/>
            <w:vAlign w:val="center"/>
          </w:tcPr>
          <w:p w14:paraId="32D49A01" w14:textId="2D4CF55E" w:rsidR="00C739FC" w:rsidRDefault="00C739FC" w:rsidP="00C739FC">
            <w:pPr>
              <w:rPr>
                <w:rFonts w:ascii="Calibri" w:hAnsi="Calibri" w:cs="Calibri"/>
                <w:color w:val="000000"/>
                <w:sz w:val="20"/>
                <w:szCs w:val="20"/>
              </w:rPr>
            </w:pPr>
            <w:r w:rsidRPr="00AA09AA">
              <w:rPr>
                <w:color w:val="000000"/>
              </w:rPr>
              <w:t>Jičínská 762</w:t>
            </w:r>
          </w:p>
        </w:tc>
      </w:tr>
    </w:tbl>
    <w:p w14:paraId="59EAFE1A" w14:textId="77777777" w:rsidR="009B6443" w:rsidRDefault="009B6443" w:rsidP="009B6443">
      <w:pPr>
        <w:rPr>
          <w:b/>
        </w:rPr>
      </w:pP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AAD1" w14:textId="77777777" w:rsidR="00A1602B" w:rsidRDefault="00A1602B" w:rsidP="00A1602B">
      <w:r>
        <w:separator/>
      </w:r>
    </w:p>
  </w:endnote>
  <w:endnote w:type="continuationSeparator" w:id="0">
    <w:p w14:paraId="4050281D" w14:textId="77777777" w:rsidR="00A1602B" w:rsidRDefault="00A1602B"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6D97" w14:textId="77777777" w:rsidR="00A1602B" w:rsidRDefault="00A1602B" w:rsidP="00A1602B">
      <w:r>
        <w:separator/>
      </w:r>
    </w:p>
  </w:footnote>
  <w:footnote w:type="continuationSeparator" w:id="0">
    <w:p w14:paraId="1CF70E94" w14:textId="77777777" w:rsidR="00A1602B" w:rsidRDefault="00A1602B"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928"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E6EE1"/>
    <w:rsid w:val="001F55DF"/>
    <w:rsid w:val="001F61E3"/>
    <w:rsid w:val="001F6C2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C2CF7"/>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35C9"/>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0F78"/>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36F2"/>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5F91"/>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39FC"/>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392F"/>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0BBF"/>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ind w:left="108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louhy@openc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17</Pages>
  <Words>4856</Words>
  <Characters>28236</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Jiří Šulc</cp:lastModifiedBy>
  <cp:revision>2</cp:revision>
  <cp:lastPrinted>2018-09-21T11:39:00Z</cp:lastPrinted>
  <dcterms:created xsi:type="dcterms:W3CDTF">2025-09-02T11:34:00Z</dcterms:created>
  <dcterms:modified xsi:type="dcterms:W3CDTF">2025-09-02T11:34:00Z</dcterms:modified>
</cp:coreProperties>
</file>