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A9B8" w14:textId="77777777" w:rsidR="00F864B9" w:rsidRPr="00512FB9" w:rsidRDefault="00F864B9" w:rsidP="00B20F4D">
      <w:pPr>
        <w:rPr>
          <w:caps/>
        </w:rPr>
      </w:pPr>
    </w:p>
    <w:p w14:paraId="6EA7C22C" w14:textId="77777777" w:rsidR="003A2521" w:rsidRPr="00512FB9" w:rsidRDefault="003A2521" w:rsidP="00B20F4D">
      <w:pPr>
        <w:rPr>
          <w:caps/>
        </w:rPr>
      </w:pPr>
    </w:p>
    <w:p w14:paraId="34D0F304" w14:textId="77777777" w:rsidR="003A2521" w:rsidRPr="00512FB9" w:rsidRDefault="003A2521" w:rsidP="00B20F4D">
      <w:pPr>
        <w:rPr>
          <w:caps/>
        </w:rPr>
      </w:pPr>
    </w:p>
    <w:tbl>
      <w:tblPr>
        <w:tblW w:w="0" w:type="auto"/>
        <w:jc w:val="center"/>
        <w:tblLayout w:type="fixed"/>
        <w:tblLook w:val="0000" w:firstRow="0" w:lastRow="0" w:firstColumn="0" w:lastColumn="0" w:noHBand="0" w:noVBand="0"/>
      </w:tblPr>
      <w:tblGrid>
        <w:gridCol w:w="5640"/>
      </w:tblGrid>
      <w:tr w:rsidR="003A2521" w:rsidRPr="00512FB9" w14:paraId="7943CEA8" w14:textId="77777777">
        <w:trPr>
          <w:trHeight w:val="4605"/>
          <w:jc w:val="center"/>
        </w:trPr>
        <w:tc>
          <w:tcPr>
            <w:tcW w:w="5640" w:type="dxa"/>
            <w:tcBorders>
              <w:top w:val="nil"/>
              <w:left w:val="nil"/>
              <w:right w:val="nil"/>
            </w:tcBorders>
            <w:vAlign w:val="center"/>
          </w:tcPr>
          <w:p w14:paraId="4F07C2FC" w14:textId="77777777" w:rsidR="003A2521" w:rsidRPr="00512FB9" w:rsidRDefault="003A2521">
            <w:pPr>
              <w:pStyle w:val="CoverSheetParty"/>
            </w:pPr>
            <w:r w:rsidRPr="00512FB9">
              <w:rPr>
                <w:bCs/>
                <w:szCs w:val="22"/>
              </w:rPr>
              <w:t>GILEAD SCIENCES S.R.O.</w:t>
            </w:r>
          </w:p>
          <w:p w14:paraId="77D011EA" w14:textId="77777777" w:rsidR="003A2521" w:rsidRPr="00512FB9" w:rsidRDefault="003A2521">
            <w:pPr>
              <w:pStyle w:val="CoverSheetParty"/>
            </w:pPr>
            <w:r w:rsidRPr="00512FB9">
              <w:rPr>
                <w:bCs/>
              </w:rPr>
              <w:t>-a-/</w:t>
            </w:r>
            <w:r w:rsidRPr="00512FB9">
              <w:rPr>
                <w:bCs/>
                <w:lang w:val="en"/>
              </w:rPr>
              <w:t>-and-</w:t>
            </w:r>
          </w:p>
          <w:p w14:paraId="044C2C15" w14:textId="6E6512A1" w:rsidR="003A2521" w:rsidRPr="00512FB9" w:rsidRDefault="0026400A">
            <w:pPr>
              <w:pStyle w:val="CoverSheetParty"/>
              <w:rPr>
                <w:caps/>
              </w:rPr>
            </w:pPr>
            <w:r w:rsidRPr="00512FB9">
              <w:rPr>
                <w:bCs/>
              </w:rPr>
              <w:t>FAKULTNÍ NEMOCNICE PLZEŇ</w:t>
            </w:r>
          </w:p>
        </w:tc>
      </w:tr>
      <w:tr w:rsidR="003A2521" w:rsidRPr="00512FB9" w14:paraId="1AE93B7B" w14:textId="77777777">
        <w:trPr>
          <w:trHeight w:val="340"/>
          <w:jc w:val="center"/>
        </w:trPr>
        <w:tc>
          <w:tcPr>
            <w:tcW w:w="5640" w:type="dxa"/>
            <w:tcBorders>
              <w:top w:val="single" w:sz="4" w:space="0" w:color="auto"/>
              <w:left w:val="nil"/>
              <w:bottom w:val="nil"/>
              <w:right w:val="nil"/>
            </w:tcBorders>
          </w:tcPr>
          <w:p w14:paraId="395C099A" w14:textId="30B7841F" w:rsidR="003A2521" w:rsidRPr="00512FB9" w:rsidRDefault="003A2521">
            <w:pPr>
              <w:pStyle w:val="CoverSheetTitle"/>
            </w:pPr>
            <w:proofErr w:type="spellStart"/>
            <w:r w:rsidRPr="00512FB9">
              <w:t>Dodatek</w:t>
            </w:r>
            <w:proofErr w:type="spellEnd"/>
            <w:r w:rsidRPr="00512FB9">
              <w:t xml:space="preserve"> č. </w:t>
            </w:r>
            <w:r w:rsidR="00CD0E7C" w:rsidRPr="00512FB9">
              <w:rPr>
                <w:bCs/>
              </w:rPr>
              <w:t xml:space="preserve">4 </w:t>
            </w:r>
            <w:r w:rsidRPr="00512FB9">
              <w:t xml:space="preserve">k </w:t>
            </w:r>
          </w:p>
        </w:tc>
      </w:tr>
      <w:tr w:rsidR="003A2521" w:rsidRPr="00512FB9" w14:paraId="6637B272" w14:textId="77777777">
        <w:trPr>
          <w:trHeight w:val="312"/>
          <w:jc w:val="center"/>
        </w:trPr>
        <w:tc>
          <w:tcPr>
            <w:tcW w:w="5640" w:type="dxa"/>
            <w:tcBorders>
              <w:top w:val="nil"/>
              <w:left w:val="nil"/>
              <w:right w:val="nil"/>
            </w:tcBorders>
          </w:tcPr>
          <w:p w14:paraId="009B8BB2" w14:textId="77777777" w:rsidR="003A2521" w:rsidRPr="00512FB9" w:rsidRDefault="003A2521">
            <w:pPr>
              <w:pStyle w:val="CoverSheetTitle"/>
              <w:rPr>
                <w:bCs/>
              </w:rPr>
            </w:pPr>
            <w:r w:rsidRPr="00512FB9">
              <w:rPr>
                <w:bCs/>
              </w:rPr>
              <w:t xml:space="preserve">DOHODĚ O POSKYTOVÁNÍ BONUSU/ </w:t>
            </w:r>
          </w:p>
          <w:p w14:paraId="6A4ACD01" w14:textId="77777777" w:rsidR="003A2521" w:rsidRPr="00512FB9" w:rsidRDefault="003A2521">
            <w:pPr>
              <w:pStyle w:val="CoverSheetTitle"/>
              <w:rPr>
                <w:bCs/>
              </w:rPr>
            </w:pPr>
          </w:p>
          <w:p w14:paraId="52A7990C" w14:textId="46C62AE2" w:rsidR="003A2521" w:rsidRPr="00512FB9" w:rsidRDefault="003A2521">
            <w:pPr>
              <w:pStyle w:val="CoverSheetTitle"/>
              <w:rPr>
                <w:bCs/>
                <w:lang w:val="en"/>
              </w:rPr>
            </w:pPr>
            <w:r w:rsidRPr="00512FB9">
              <w:rPr>
                <w:bCs/>
                <w:lang w:val="en"/>
              </w:rPr>
              <w:t>Amendment no.</w:t>
            </w:r>
            <w:r w:rsidR="00CD0E7C" w:rsidRPr="00512FB9">
              <w:rPr>
                <w:bCs/>
                <w:lang w:val="en"/>
              </w:rPr>
              <w:t xml:space="preserve"> 4 </w:t>
            </w:r>
            <w:r w:rsidRPr="00512FB9">
              <w:rPr>
                <w:bCs/>
                <w:lang w:val="en"/>
              </w:rPr>
              <w:t xml:space="preserve">to the </w:t>
            </w:r>
          </w:p>
          <w:p w14:paraId="02A74611" w14:textId="77777777" w:rsidR="003A2521" w:rsidRPr="00512FB9" w:rsidRDefault="003A2521">
            <w:pPr>
              <w:pStyle w:val="CoverSheetTitle"/>
              <w:rPr>
                <w:bCs/>
              </w:rPr>
            </w:pPr>
            <w:r w:rsidRPr="00512FB9">
              <w:rPr>
                <w:bCs/>
                <w:lang w:val="en"/>
              </w:rPr>
              <w:t>BONUS AGREEMENT</w:t>
            </w:r>
          </w:p>
        </w:tc>
      </w:tr>
      <w:tr w:rsidR="003A2521" w:rsidRPr="00512FB9" w14:paraId="16F3C001" w14:textId="77777777">
        <w:trPr>
          <w:trHeight w:val="340"/>
          <w:jc w:val="center"/>
        </w:trPr>
        <w:tc>
          <w:tcPr>
            <w:tcW w:w="5640" w:type="dxa"/>
            <w:tcBorders>
              <w:top w:val="nil"/>
              <w:left w:val="nil"/>
              <w:bottom w:val="single" w:sz="4" w:space="0" w:color="auto"/>
              <w:right w:val="nil"/>
            </w:tcBorders>
          </w:tcPr>
          <w:p w14:paraId="01C5A912" w14:textId="77777777" w:rsidR="003A2521" w:rsidRPr="00512FB9" w:rsidRDefault="003A2521">
            <w:pPr>
              <w:pStyle w:val="CoverSheetTitle"/>
            </w:pPr>
          </w:p>
        </w:tc>
      </w:tr>
    </w:tbl>
    <w:p w14:paraId="20199D24" w14:textId="77777777" w:rsidR="003A2521" w:rsidRPr="00512FB9" w:rsidRDefault="003A2521" w:rsidP="00B20F4D">
      <w:pPr>
        <w:rPr>
          <w:caps/>
        </w:rPr>
      </w:pPr>
    </w:p>
    <w:p w14:paraId="11AE3018" w14:textId="77777777" w:rsidR="003A2521" w:rsidRPr="00512FB9" w:rsidRDefault="003A2521" w:rsidP="00B20F4D">
      <w:pPr>
        <w:rPr>
          <w:caps/>
        </w:rPr>
      </w:pPr>
    </w:p>
    <w:p w14:paraId="6277BD2B" w14:textId="77777777" w:rsidR="003A2521" w:rsidRPr="00512FB9" w:rsidRDefault="003A2521" w:rsidP="00B20F4D">
      <w:pPr>
        <w:rPr>
          <w:caps/>
        </w:rPr>
      </w:pPr>
    </w:p>
    <w:p w14:paraId="26A0FA28" w14:textId="77777777" w:rsidR="003A2521" w:rsidRPr="00512FB9" w:rsidRDefault="003A2521" w:rsidP="00B20F4D">
      <w:pPr>
        <w:rPr>
          <w:caps/>
        </w:rPr>
      </w:pPr>
    </w:p>
    <w:p w14:paraId="08A99AB7" w14:textId="77777777" w:rsidR="003A2521" w:rsidRPr="00512FB9" w:rsidRDefault="003A2521" w:rsidP="00B20F4D">
      <w:pPr>
        <w:rPr>
          <w:caps/>
        </w:rPr>
      </w:pPr>
    </w:p>
    <w:p w14:paraId="6DA10B36" w14:textId="77777777" w:rsidR="003A2521" w:rsidRPr="00512FB9" w:rsidRDefault="003A2521" w:rsidP="00B20F4D">
      <w:pPr>
        <w:rPr>
          <w:caps/>
        </w:rPr>
      </w:pPr>
    </w:p>
    <w:p w14:paraId="56380150" w14:textId="77777777" w:rsidR="003A2521" w:rsidRPr="00512FB9" w:rsidRDefault="003A2521" w:rsidP="00B20F4D">
      <w:pPr>
        <w:rPr>
          <w:caps/>
        </w:rPr>
      </w:pPr>
    </w:p>
    <w:p w14:paraId="3D974D14" w14:textId="77777777" w:rsidR="003A2521" w:rsidRPr="00512FB9" w:rsidRDefault="003A2521" w:rsidP="00B20F4D">
      <w:pPr>
        <w:rPr>
          <w:caps/>
        </w:rPr>
      </w:pPr>
    </w:p>
    <w:p w14:paraId="7074CB22" w14:textId="77777777" w:rsidR="003A2521" w:rsidRPr="00512FB9" w:rsidRDefault="003A2521" w:rsidP="00B20F4D">
      <w:pPr>
        <w:rPr>
          <w:caps/>
        </w:rPr>
      </w:pPr>
    </w:p>
    <w:p w14:paraId="4BA1D382" w14:textId="77777777" w:rsidR="003A2521" w:rsidRPr="00512FB9" w:rsidRDefault="003A2521" w:rsidP="00B20F4D">
      <w:pPr>
        <w:rPr>
          <w:caps/>
        </w:rPr>
      </w:pPr>
    </w:p>
    <w:p w14:paraId="1A3BFB52" w14:textId="77777777" w:rsidR="003A2521" w:rsidRPr="00512FB9" w:rsidRDefault="003A2521" w:rsidP="00B20F4D">
      <w:pPr>
        <w:rPr>
          <w:caps/>
        </w:rPr>
      </w:pPr>
    </w:p>
    <w:p w14:paraId="0A252B25" w14:textId="77777777" w:rsidR="003A2521" w:rsidRPr="00512FB9" w:rsidRDefault="003A2521" w:rsidP="00B20F4D">
      <w:pPr>
        <w:rPr>
          <w:caps/>
        </w:rPr>
      </w:pPr>
    </w:p>
    <w:p w14:paraId="4EF4E050" w14:textId="77777777" w:rsidR="003A2521" w:rsidRPr="00512FB9" w:rsidRDefault="003A2521" w:rsidP="00B20F4D">
      <w:pPr>
        <w:rPr>
          <w:caps/>
        </w:rPr>
      </w:pPr>
    </w:p>
    <w:p w14:paraId="234E4DE8" w14:textId="77777777" w:rsidR="003A2521" w:rsidRPr="00512FB9" w:rsidRDefault="003A2521" w:rsidP="00B20F4D">
      <w:pPr>
        <w:rPr>
          <w:caps/>
        </w:rPr>
      </w:pPr>
    </w:p>
    <w:p w14:paraId="0E0F85E4" w14:textId="77777777" w:rsidR="003A2521" w:rsidRPr="00512FB9" w:rsidRDefault="003A2521" w:rsidP="00B20F4D">
      <w:pPr>
        <w:rPr>
          <w:caps/>
        </w:rPr>
      </w:pPr>
    </w:p>
    <w:p w14:paraId="04902FAF" w14:textId="77777777" w:rsidR="003A2521" w:rsidRPr="00512FB9" w:rsidRDefault="003A2521" w:rsidP="00B20F4D">
      <w:pPr>
        <w:rPr>
          <w:caps/>
        </w:rPr>
      </w:pPr>
    </w:p>
    <w:tbl>
      <w:tblPr>
        <w:tblStyle w:val="Mkatabulky"/>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842"/>
      </w:tblGrid>
      <w:tr w:rsidR="004A1EFB" w:rsidRPr="00512FB9" w14:paraId="47BAA923" w14:textId="77777777" w:rsidTr="00AE784D">
        <w:tc>
          <w:tcPr>
            <w:tcW w:w="4940" w:type="dxa"/>
          </w:tcPr>
          <w:p w14:paraId="2A81F45D" w14:textId="3195130C" w:rsidR="004A1EFB" w:rsidRPr="00AE784D" w:rsidRDefault="004A1EFB" w:rsidP="004A1EFB">
            <w:pPr>
              <w:pStyle w:val="HHTitle2"/>
              <w:rPr>
                <w:rFonts w:cs="Times New Roman"/>
              </w:rPr>
            </w:pPr>
            <w:r w:rsidRPr="00AE784D">
              <w:rPr>
                <w:rFonts w:cs="Times New Roman"/>
              </w:rPr>
              <w:lastRenderedPageBreak/>
              <w:t xml:space="preserve">TENTO DODATEK Č. </w:t>
            </w:r>
            <w:r w:rsidR="00E931EE" w:rsidRPr="00AE784D">
              <w:rPr>
                <w:rFonts w:cs="Times New Roman"/>
              </w:rPr>
              <w:t>4</w:t>
            </w:r>
            <w:r w:rsidR="00D23684" w:rsidRPr="00AE784D">
              <w:rPr>
                <w:rFonts w:cs="Times New Roman"/>
              </w:rPr>
              <w:t xml:space="preserve"> </w:t>
            </w:r>
            <w:r w:rsidRPr="00AE784D">
              <w:rPr>
                <w:rFonts w:cs="Times New Roman"/>
              </w:rPr>
              <w:t xml:space="preserve">K DOHODĚ O POSKYTOVÁNÍ OBRATOVÉHO BONUSU („Dodatek“) se uzavírá </w:t>
            </w:r>
          </w:p>
        </w:tc>
        <w:tc>
          <w:tcPr>
            <w:tcW w:w="4842" w:type="dxa"/>
          </w:tcPr>
          <w:p w14:paraId="56885891" w14:textId="3E0298DC" w:rsidR="004A1EFB" w:rsidRPr="00AE784D" w:rsidRDefault="004A1EFB" w:rsidP="00FD7DA6">
            <w:pPr>
              <w:pStyle w:val="HHTitle2"/>
              <w:rPr>
                <w:rFonts w:cs="Times New Roman"/>
              </w:rPr>
            </w:pPr>
            <w:r w:rsidRPr="00AE784D">
              <w:rPr>
                <w:rFonts w:cs="Times New Roman"/>
              </w:rPr>
              <w:t xml:space="preserve">THIS AMENDMENT NO. </w:t>
            </w:r>
            <w:r w:rsidR="00E931EE" w:rsidRPr="00AE784D">
              <w:rPr>
                <w:rFonts w:cs="Times New Roman"/>
              </w:rPr>
              <w:t>4</w:t>
            </w:r>
            <w:r w:rsidR="00D23684" w:rsidRPr="00AE784D">
              <w:rPr>
                <w:rFonts w:cs="Times New Roman"/>
              </w:rPr>
              <w:t xml:space="preserve"> </w:t>
            </w:r>
            <w:r w:rsidRPr="00AE784D">
              <w:rPr>
                <w:rFonts w:cs="Times New Roman"/>
              </w:rPr>
              <w:t xml:space="preserve">TO THE AGREEMENT ON THE PROVISION OF THE TURNOVER BONUS (hereinafter the “Amendment”) is concluded </w:t>
            </w:r>
          </w:p>
        </w:tc>
      </w:tr>
      <w:tr w:rsidR="004A1EFB" w:rsidRPr="00512FB9" w14:paraId="6744C7A2" w14:textId="77777777" w:rsidTr="00AE784D">
        <w:tc>
          <w:tcPr>
            <w:tcW w:w="4940" w:type="dxa"/>
          </w:tcPr>
          <w:p w14:paraId="5EF78439" w14:textId="77777777" w:rsidR="004A1EFB" w:rsidRPr="00AE784D" w:rsidRDefault="004A1EFB" w:rsidP="004A1EFB">
            <w:pPr>
              <w:rPr>
                <w:szCs w:val="32"/>
              </w:rPr>
            </w:pPr>
            <w:r w:rsidRPr="00AE784D">
              <w:rPr>
                <w:szCs w:val="32"/>
              </w:rPr>
              <w:t>MEZI:</w:t>
            </w:r>
          </w:p>
        </w:tc>
        <w:tc>
          <w:tcPr>
            <w:tcW w:w="4842" w:type="dxa"/>
          </w:tcPr>
          <w:p w14:paraId="589856BF" w14:textId="77777777" w:rsidR="004A1EFB" w:rsidRPr="00AE784D" w:rsidRDefault="004A1EFB" w:rsidP="00FD7DA6">
            <w:pPr>
              <w:pStyle w:val="ENNormalni"/>
              <w:rPr>
                <w:szCs w:val="32"/>
              </w:rPr>
            </w:pPr>
            <w:r w:rsidRPr="00AE784D">
              <w:rPr>
                <w:szCs w:val="32"/>
              </w:rPr>
              <w:t>BY AND BETWEEN:</w:t>
            </w:r>
          </w:p>
        </w:tc>
      </w:tr>
      <w:tr w:rsidR="004A1EFB" w:rsidRPr="00512FB9" w14:paraId="18C0BC24" w14:textId="77777777" w:rsidTr="00AE784D">
        <w:tc>
          <w:tcPr>
            <w:tcW w:w="4940" w:type="dxa"/>
          </w:tcPr>
          <w:p w14:paraId="54AB816B" w14:textId="2B175427" w:rsidR="004A1EFB" w:rsidRPr="00AE784D" w:rsidRDefault="004A1EFB" w:rsidP="004A1EFB">
            <w:pPr>
              <w:pStyle w:val="CZStranyNumber"/>
              <w:rPr>
                <w:szCs w:val="32"/>
              </w:rPr>
            </w:pPr>
            <w:r w:rsidRPr="00AE784D">
              <w:rPr>
                <w:b/>
                <w:bCs/>
                <w:szCs w:val="32"/>
              </w:rPr>
              <w:t xml:space="preserve">Gilead </w:t>
            </w:r>
            <w:proofErr w:type="spellStart"/>
            <w:r w:rsidRPr="00AE784D">
              <w:rPr>
                <w:b/>
                <w:bCs/>
                <w:szCs w:val="32"/>
              </w:rPr>
              <w:t>Sciences</w:t>
            </w:r>
            <w:proofErr w:type="spellEnd"/>
            <w:r w:rsidRPr="00AE784D">
              <w:rPr>
                <w:b/>
                <w:bCs/>
                <w:szCs w:val="32"/>
              </w:rPr>
              <w:t xml:space="preserve"> s.r.o.</w:t>
            </w:r>
            <w:r w:rsidRPr="00AE784D">
              <w:rPr>
                <w:szCs w:val="32"/>
              </w:rPr>
              <w:t xml:space="preserve">, se sídlem </w:t>
            </w:r>
            <w:r w:rsidR="0005075F" w:rsidRPr="00AE784D">
              <w:rPr>
                <w:szCs w:val="32"/>
              </w:rPr>
              <w:t>Pujmanové 1753/</w:t>
            </w:r>
            <w:proofErr w:type="gramStart"/>
            <w:r w:rsidR="0005075F" w:rsidRPr="00AE784D">
              <w:rPr>
                <w:szCs w:val="32"/>
              </w:rPr>
              <w:t>10a</w:t>
            </w:r>
            <w:proofErr w:type="gramEnd"/>
            <w:r w:rsidR="0005075F" w:rsidRPr="00AE784D">
              <w:rPr>
                <w:szCs w:val="32"/>
              </w:rPr>
              <w:t>, Nusle, 140 00 Praha 4</w:t>
            </w:r>
            <w:r w:rsidRPr="00AE784D">
              <w:rPr>
                <w:szCs w:val="32"/>
              </w:rPr>
              <w:t>, Česká republika, IČ</w:t>
            </w:r>
            <w:r w:rsidR="001C144E" w:rsidRPr="00AE784D">
              <w:rPr>
                <w:szCs w:val="32"/>
              </w:rPr>
              <w:t>O</w:t>
            </w:r>
            <w:r w:rsidRPr="00AE784D">
              <w:rPr>
                <w:szCs w:val="32"/>
              </w:rPr>
              <w:t>: 242 68 551, zapsaná v obchodním rejstříku vedeném Městským soudem v Praze, oddíl C, vložka 199103 („</w:t>
            </w:r>
            <w:r w:rsidRPr="00AE784D">
              <w:rPr>
                <w:b/>
                <w:bCs/>
                <w:szCs w:val="32"/>
              </w:rPr>
              <w:t>Gilead</w:t>
            </w:r>
            <w:r w:rsidRPr="00AE784D">
              <w:rPr>
                <w:szCs w:val="32"/>
              </w:rPr>
              <w:t xml:space="preserve">“); </w:t>
            </w:r>
          </w:p>
        </w:tc>
        <w:tc>
          <w:tcPr>
            <w:tcW w:w="4842" w:type="dxa"/>
          </w:tcPr>
          <w:p w14:paraId="5290D178" w14:textId="008A1831" w:rsidR="004A1EFB" w:rsidRPr="00AE784D" w:rsidRDefault="004A1EFB" w:rsidP="00FD7DA6">
            <w:pPr>
              <w:pStyle w:val="ENPartiesNumber"/>
              <w:rPr>
                <w:szCs w:val="32"/>
              </w:rPr>
            </w:pPr>
            <w:r w:rsidRPr="00AE784D">
              <w:rPr>
                <w:b/>
                <w:bCs/>
                <w:szCs w:val="32"/>
              </w:rPr>
              <w:t xml:space="preserve">Gilead Sciences </w:t>
            </w:r>
            <w:proofErr w:type="spellStart"/>
            <w:r w:rsidRPr="00AE784D">
              <w:rPr>
                <w:b/>
                <w:bCs/>
                <w:szCs w:val="32"/>
              </w:rPr>
              <w:t>s.r.o.</w:t>
            </w:r>
            <w:proofErr w:type="spellEnd"/>
            <w:r w:rsidRPr="00AE784D">
              <w:rPr>
                <w:szCs w:val="32"/>
              </w:rPr>
              <w:t xml:space="preserve">, with its registered office at </w:t>
            </w:r>
            <w:proofErr w:type="spellStart"/>
            <w:r w:rsidR="0005075F" w:rsidRPr="00AE784D">
              <w:rPr>
                <w:szCs w:val="32"/>
              </w:rPr>
              <w:t>Pujmanové</w:t>
            </w:r>
            <w:proofErr w:type="spellEnd"/>
            <w:r w:rsidR="0005075F" w:rsidRPr="00AE784D">
              <w:rPr>
                <w:szCs w:val="32"/>
              </w:rPr>
              <w:t xml:space="preserve"> 1753/10a, </w:t>
            </w:r>
            <w:proofErr w:type="spellStart"/>
            <w:r w:rsidR="0005075F" w:rsidRPr="00AE784D">
              <w:rPr>
                <w:szCs w:val="32"/>
              </w:rPr>
              <w:t>Nusle</w:t>
            </w:r>
            <w:proofErr w:type="spellEnd"/>
            <w:r w:rsidR="0005075F" w:rsidRPr="00AE784D">
              <w:rPr>
                <w:szCs w:val="32"/>
              </w:rPr>
              <w:t>, 140 00 Praha 4</w:t>
            </w:r>
            <w:r w:rsidRPr="00AE784D">
              <w:rPr>
                <w:szCs w:val="32"/>
              </w:rPr>
              <w:t>, Czech Republic, ID No.: 242 68 551, entered in the Commercial Register kept on file by the Municipal Court in Prague, Section C, Insert 199103 (hereinafter “</w:t>
            </w:r>
            <w:r w:rsidRPr="00AE784D">
              <w:rPr>
                <w:b/>
                <w:bCs/>
                <w:szCs w:val="32"/>
              </w:rPr>
              <w:t>Gilead</w:t>
            </w:r>
            <w:r w:rsidRPr="00AE784D">
              <w:rPr>
                <w:szCs w:val="32"/>
              </w:rPr>
              <w:t xml:space="preserve">”); </w:t>
            </w:r>
          </w:p>
        </w:tc>
      </w:tr>
      <w:tr w:rsidR="004A1EFB" w:rsidRPr="00512FB9" w14:paraId="4A4A6EBC" w14:textId="77777777" w:rsidTr="00AE784D">
        <w:tc>
          <w:tcPr>
            <w:tcW w:w="4940" w:type="dxa"/>
          </w:tcPr>
          <w:p w14:paraId="34FE78DC" w14:textId="77777777" w:rsidR="004A1EFB" w:rsidRPr="00AE784D" w:rsidRDefault="004A1EFB" w:rsidP="004A1EFB">
            <w:pPr>
              <w:rPr>
                <w:b/>
                <w:szCs w:val="32"/>
              </w:rPr>
            </w:pPr>
            <w:r w:rsidRPr="00AE784D">
              <w:rPr>
                <w:szCs w:val="32"/>
              </w:rPr>
              <w:t>a</w:t>
            </w:r>
          </w:p>
        </w:tc>
        <w:tc>
          <w:tcPr>
            <w:tcW w:w="4842" w:type="dxa"/>
          </w:tcPr>
          <w:p w14:paraId="216F6A36" w14:textId="77777777" w:rsidR="004A1EFB" w:rsidRPr="00AE784D" w:rsidRDefault="004A1EFB">
            <w:pPr>
              <w:rPr>
                <w:szCs w:val="32"/>
              </w:rPr>
            </w:pPr>
            <w:r w:rsidRPr="00AE784D">
              <w:rPr>
                <w:szCs w:val="32"/>
                <w:lang w:val="en-US"/>
              </w:rPr>
              <w:t>and</w:t>
            </w:r>
          </w:p>
        </w:tc>
      </w:tr>
      <w:tr w:rsidR="004A1EFB" w:rsidRPr="00512FB9" w14:paraId="497C281C" w14:textId="77777777" w:rsidTr="00AE784D">
        <w:tc>
          <w:tcPr>
            <w:tcW w:w="4940" w:type="dxa"/>
          </w:tcPr>
          <w:p w14:paraId="24870953" w14:textId="41415D32" w:rsidR="004A1EFB" w:rsidRPr="00AE784D" w:rsidRDefault="00921581" w:rsidP="004A1EFB">
            <w:pPr>
              <w:pStyle w:val="CZStranyNumber"/>
              <w:rPr>
                <w:b/>
                <w:szCs w:val="32"/>
              </w:rPr>
            </w:pPr>
            <w:r w:rsidRPr="00AE784D">
              <w:rPr>
                <w:b/>
                <w:bCs/>
                <w:szCs w:val="32"/>
              </w:rPr>
              <w:t>Fakultní nemocnice Plzeň</w:t>
            </w:r>
            <w:r w:rsidRPr="00AE784D">
              <w:rPr>
                <w:szCs w:val="32"/>
              </w:rPr>
              <w:t>, se sídlem Edvarda Beneše 1128/13, 301 00 Plzeň, IČ: 006 69 806, státní příspěvková organizace zřízená rozhodnutím Ministerstva zdravotnictví ČR, (dále jen „</w:t>
            </w:r>
            <w:r w:rsidRPr="00AE784D">
              <w:rPr>
                <w:b/>
                <w:bCs/>
                <w:szCs w:val="32"/>
              </w:rPr>
              <w:t>Kupující</w:t>
            </w:r>
            <w:r w:rsidRPr="00AE784D">
              <w:rPr>
                <w:szCs w:val="32"/>
              </w:rPr>
              <w:t>“)</w:t>
            </w:r>
          </w:p>
        </w:tc>
        <w:tc>
          <w:tcPr>
            <w:tcW w:w="4842" w:type="dxa"/>
          </w:tcPr>
          <w:p w14:paraId="6B7D859F" w14:textId="05DC9F00" w:rsidR="004A1EFB" w:rsidRPr="00AE784D" w:rsidRDefault="00781453" w:rsidP="00FD7DA6">
            <w:pPr>
              <w:pStyle w:val="ENPartiesNumber"/>
              <w:rPr>
                <w:szCs w:val="32"/>
              </w:rPr>
            </w:pPr>
            <w:r w:rsidRPr="00AE784D">
              <w:rPr>
                <w:b/>
                <w:bCs/>
                <w:szCs w:val="32"/>
                <w:lang w:val="cs-CZ"/>
              </w:rPr>
              <w:t>Fakultní nemocnice Plzeň</w:t>
            </w:r>
            <w:r w:rsidR="00765E30" w:rsidRPr="00AE784D">
              <w:rPr>
                <w:szCs w:val="32"/>
                <w:lang w:val="cs-CZ"/>
              </w:rPr>
              <w:t xml:space="preserve">, </w:t>
            </w:r>
            <w:proofErr w:type="spellStart"/>
            <w:r w:rsidR="00765E30" w:rsidRPr="00AE784D">
              <w:rPr>
                <w:szCs w:val="32"/>
                <w:lang w:val="cs-CZ"/>
              </w:rPr>
              <w:t>with</w:t>
            </w:r>
            <w:proofErr w:type="spellEnd"/>
            <w:r w:rsidR="00765E30" w:rsidRPr="00AE784D">
              <w:rPr>
                <w:szCs w:val="32"/>
                <w:lang w:val="cs-CZ"/>
              </w:rPr>
              <w:t xml:space="preserve"> </w:t>
            </w:r>
            <w:proofErr w:type="spellStart"/>
            <w:r w:rsidR="00765E30" w:rsidRPr="00AE784D">
              <w:rPr>
                <w:szCs w:val="32"/>
                <w:lang w:val="cs-CZ"/>
              </w:rPr>
              <w:t>its</w:t>
            </w:r>
            <w:proofErr w:type="spellEnd"/>
            <w:r w:rsidR="00765E30" w:rsidRPr="00AE784D">
              <w:rPr>
                <w:szCs w:val="32"/>
                <w:lang w:val="cs-CZ"/>
              </w:rPr>
              <w:t xml:space="preserve"> </w:t>
            </w:r>
            <w:proofErr w:type="spellStart"/>
            <w:r w:rsidR="00765E30" w:rsidRPr="00AE784D">
              <w:rPr>
                <w:szCs w:val="32"/>
                <w:lang w:val="cs-CZ"/>
              </w:rPr>
              <w:t>registered</w:t>
            </w:r>
            <w:proofErr w:type="spellEnd"/>
            <w:r w:rsidR="00765E30" w:rsidRPr="00AE784D">
              <w:rPr>
                <w:szCs w:val="32"/>
                <w:lang w:val="cs-CZ"/>
              </w:rPr>
              <w:t xml:space="preserve"> office </w:t>
            </w:r>
            <w:proofErr w:type="spellStart"/>
            <w:r w:rsidR="00765E30" w:rsidRPr="00AE784D">
              <w:rPr>
                <w:szCs w:val="32"/>
                <w:lang w:val="cs-CZ"/>
              </w:rPr>
              <w:t>at</w:t>
            </w:r>
            <w:proofErr w:type="spellEnd"/>
            <w:r w:rsidR="00765E30" w:rsidRPr="00AE784D">
              <w:rPr>
                <w:szCs w:val="32"/>
                <w:lang w:val="cs-CZ"/>
              </w:rPr>
              <w:t xml:space="preserve"> Edvarda Beneše 1128/13, 301 00 Plze</w:t>
            </w:r>
            <w:r w:rsidR="003B2C73" w:rsidRPr="00AE784D">
              <w:rPr>
                <w:szCs w:val="32"/>
                <w:lang w:val="cs-CZ"/>
              </w:rPr>
              <w:t>ň</w:t>
            </w:r>
            <w:r w:rsidR="00765E30" w:rsidRPr="00AE784D">
              <w:rPr>
                <w:szCs w:val="32"/>
                <w:lang w:val="cs-CZ"/>
              </w:rPr>
              <w:t xml:space="preserve">, ID No.: 006 69 806, a </w:t>
            </w:r>
            <w:proofErr w:type="spellStart"/>
            <w:r w:rsidR="00765E30" w:rsidRPr="00AE784D">
              <w:rPr>
                <w:szCs w:val="32"/>
                <w:lang w:val="cs-CZ"/>
              </w:rPr>
              <w:t>state-funded</w:t>
            </w:r>
            <w:proofErr w:type="spellEnd"/>
            <w:r w:rsidR="00765E30" w:rsidRPr="00AE784D">
              <w:rPr>
                <w:szCs w:val="32"/>
                <w:lang w:val="cs-CZ"/>
              </w:rPr>
              <w:t xml:space="preserve"> </w:t>
            </w:r>
            <w:proofErr w:type="spellStart"/>
            <w:r w:rsidR="00765E30" w:rsidRPr="00AE784D">
              <w:rPr>
                <w:szCs w:val="32"/>
                <w:lang w:val="cs-CZ"/>
              </w:rPr>
              <w:t>institution</w:t>
            </w:r>
            <w:proofErr w:type="spellEnd"/>
            <w:r w:rsidR="00765E30" w:rsidRPr="00AE784D">
              <w:rPr>
                <w:szCs w:val="32"/>
                <w:lang w:val="cs-CZ"/>
              </w:rPr>
              <w:t xml:space="preserve"> </w:t>
            </w:r>
            <w:proofErr w:type="spellStart"/>
            <w:r w:rsidR="00765E30" w:rsidRPr="00AE784D">
              <w:rPr>
                <w:szCs w:val="32"/>
                <w:lang w:val="cs-CZ"/>
              </w:rPr>
              <w:t>established</w:t>
            </w:r>
            <w:proofErr w:type="spellEnd"/>
            <w:r w:rsidR="00765E30" w:rsidRPr="00AE784D">
              <w:rPr>
                <w:szCs w:val="32"/>
                <w:lang w:val="cs-CZ"/>
              </w:rPr>
              <w:t xml:space="preserve"> by a </w:t>
            </w:r>
            <w:proofErr w:type="spellStart"/>
            <w:r w:rsidR="00765E30" w:rsidRPr="00AE784D">
              <w:rPr>
                <w:szCs w:val="32"/>
                <w:lang w:val="cs-CZ"/>
              </w:rPr>
              <w:t>decision</w:t>
            </w:r>
            <w:proofErr w:type="spellEnd"/>
            <w:r w:rsidR="00765E30" w:rsidRPr="00AE784D">
              <w:rPr>
                <w:szCs w:val="32"/>
                <w:lang w:val="cs-CZ"/>
              </w:rPr>
              <w:t xml:space="preserve"> </w:t>
            </w:r>
            <w:proofErr w:type="spellStart"/>
            <w:r w:rsidR="00765E30" w:rsidRPr="00AE784D">
              <w:rPr>
                <w:szCs w:val="32"/>
                <w:lang w:val="cs-CZ"/>
              </w:rPr>
              <w:t>of</w:t>
            </w:r>
            <w:proofErr w:type="spellEnd"/>
            <w:r w:rsidR="00765E30" w:rsidRPr="00AE784D">
              <w:rPr>
                <w:szCs w:val="32"/>
                <w:lang w:val="cs-CZ"/>
              </w:rPr>
              <w:t xml:space="preserve"> </w:t>
            </w:r>
            <w:proofErr w:type="spellStart"/>
            <w:r w:rsidR="00765E30" w:rsidRPr="00AE784D">
              <w:rPr>
                <w:szCs w:val="32"/>
                <w:lang w:val="cs-CZ"/>
              </w:rPr>
              <w:t>the</w:t>
            </w:r>
            <w:proofErr w:type="spellEnd"/>
            <w:r w:rsidR="00765E30" w:rsidRPr="00AE784D">
              <w:rPr>
                <w:szCs w:val="32"/>
                <w:lang w:val="cs-CZ"/>
              </w:rPr>
              <w:t xml:space="preserve"> Ministry </w:t>
            </w:r>
            <w:proofErr w:type="spellStart"/>
            <w:r w:rsidR="00765E30" w:rsidRPr="00AE784D">
              <w:rPr>
                <w:szCs w:val="32"/>
                <w:lang w:val="cs-CZ"/>
              </w:rPr>
              <w:t>of</w:t>
            </w:r>
            <w:proofErr w:type="spellEnd"/>
            <w:r w:rsidR="00765E30" w:rsidRPr="00AE784D">
              <w:rPr>
                <w:szCs w:val="32"/>
                <w:lang w:val="cs-CZ"/>
              </w:rPr>
              <w:t xml:space="preserve"> </w:t>
            </w:r>
            <w:proofErr w:type="spellStart"/>
            <w:r w:rsidR="00765E30" w:rsidRPr="00AE784D">
              <w:rPr>
                <w:szCs w:val="32"/>
                <w:lang w:val="cs-CZ"/>
              </w:rPr>
              <w:t>Health</w:t>
            </w:r>
            <w:proofErr w:type="spellEnd"/>
            <w:r w:rsidR="00765E30" w:rsidRPr="00AE784D">
              <w:rPr>
                <w:szCs w:val="32"/>
                <w:lang w:val="cs-CZ"/>
              </w:rPr>
              <w:t xml:space="preserve"> </w:t>
            </w:r>
            <w:proofErr w:type="spellStart"/>
            <w:r w:rsidR="00765E30" w:rsidRPr="00AE784D">
              <w:rPr>
                <w:szCs w:val="32"/>
                <w:lang w:val="cs-CZ"/>
              </w:rPr>
              <w:t>of</w:t>
            </w:r>
            <w:proofErr w:type="spellEnd"/>
            <w:r w:rsidR="00765E30" w:rsidRPr="00AE784D">
              <w:rPr>
                <w:szCs w:val="32"/>
                <w:lang w:val="cs-CZ"/>
              </w:rPr>
              <w:t xml:space="preserve"> </w:t>
            </w:r>
            <w:proofErr w:type="spellStart"/>
            <w:r w:rsidR="00765E30" w:rsidRPr="00AE784D">
              <w:rPr>
                <w:szCs w:val="32"/>
                <w:lang w:val="cs-CZ"/>
              </w:rPr>
              <w:t>the</w:t>
            </w:r>
            <w:proofErr w:type="spellEnd"/>
            <w:r w:rsidR="00765E30" w:rsidRPr="00AE784D">
              <w:rPr>
                <w:szCs w:val="32"/>
                <w:lang w:val="cs-CZ"/>
              </w:rPr>
              <w:t xml:space="preserve"> Czech Republic, (</w:t>
            </w:r>
            <w:proofErr w:type="spellStart"/>
            <w:r w:rsidR="00765E30" w:rsidRPr="00AE784D">
              <w:rPr>
                <w:szCs w:val="32"/>
                <w:lang w:val="cs-CZ"/>
              </w:rPr>
              <w:t>hereinafter</w:t>
            </w:r>
            <w:proofErr w:type="spellEnd"/>
            <w:r w:rsidR="00765E30" w:rsidRPr="00AE784D">
              <w:rPr>
                <w:szCs w:val="32"/>
                <w:lang w:val="cs-CZ"/>
              </w:rPr>
              <w:t xml:space="preserve"> </w:t>
            </w:r>
            <w:proofErr w:type="spellStart"/>
            <w:r w:rsidR="00765E30" w:rsidRPr="00AE784D">
              <w:rPr>
                <w:szCs w:val="32"/>
                <w:lang w:val="cs-CZ"/>
              </w:rPr>
              <w:t>the</w:t>
            </w:r>
            <w:proofErr w:type="spellEnd"/>
            <w:r w:rsidR="00765E30" w:rsidRPr="00AE784D">
              <w:rPr>
                <w:szCs w:val="32"/>
                <w:lang w:val="cs-CZ"/>
              </w:rPr>
              <w:t xml:space="preserve"> “</w:t>
            </w:r>
            <w:proofErr w:type="spellStart"/>
            <w:r w:rsidR="00765E30" w:rsidRPr="00AE784D">
              <w:rPr>
                <w:b/>
                <w:bCs/>
                <w:szCs w:val="32"/>
                <w:lang w:val="cs-CZ"/>
              </w:rPr>
              <w:t>Buyer</w:t>
            </w:r>
            <w:proofErr w:type="spellEnd"/>
            <w:r w:rsidR="00765E30" w:rsidRPr="00AE784D">
              <w:rPr>
                <w:szCs w:val="32"/>
                <w:lang w:val="cs-CZ"/>
              </w:rPr>
              <w:t>”)</w:t>
            </w:r>
          </w:p>
        </w:tc>
      </w:tr>
      <w:tr w:rsidR="004A1EFB" w:rsidRPr="00512FB9" w14:paraId="46DB7ED5" w14:textId="77777777" w:rsidTr="00AE784D">
        <w:tc>
          <w:tcPr>
            <w:tcW w:w="4940" w:type="dxa"/>
          </w:tcPr>
          <w:p w14:paraId="3B1BA40C" w14:textId="77777777" w:rsidR="004A1EFB" w:rsidRPr="00AE784D" w:rsidRDefault="004A1EFB" w:rsidP="004A1EFB">
            <w:pPr>
              <w:rPr>
                <w:szCs w:val="32"/>
              </w:rPr>
            </w:pPr>
            <w:r w:rsidRPr="00AE784D">
              <w:rPr>
                <w:szCs w:val="32"/>
              </w:rPr>
              <w:t>(Gilead a Kupující dále společně jen „</w:t>
            </w:r>
            <w:r w:rsidRPr="00AE784D">
              <w:rPr>
                <w:rStyle w:val="StyleBodyTextChar"/>
                <w:szCs w:val="32"/>
                <w:lang w:val="cs-CZ"/>
              </w:rPr>
              <w:t>Strany</w:t>
            </w:r>
            <w:r w:rsidRPr="00AE784D">
              <w:rPr>
                <w:szCs w:val="32"/>
              </w:rPr>
              <w:t>“ a jednotlivě jen „</w:t>
            </w:r>
            <w:r w:rsidRPr="00AE784D">
              <w:rPr>
                <w:rStyle w:val="StyleBodyTextChar"/>
                <w:szCs w:val="32"/>
                <w:lang w:val="cs-CZ"/>
              </w:rPr>
              <w:t>Strana</w:t>
            </w:r>
            <w:r w:rsidRPr="00AE784D">
              <w:rPr>
                <w:szCs w:val="32"/>
              </w:rPr>
              <w:t>“)</w:t>
            </w:r>
          </w:p>
        </w:tc>
        <w:tc>
          <w:tcPr>
            <w:tcW w:w="4842" w:type="dxa"/>
          </w:tcPr>
          <w:p w14:paraId="2E712D16" w14:textId="77777777" w:rsidR="004A1EFB" w:rsidRPr="00AE784D" w:rsidRDefault="004A1EFB" w:rsidP="004A1EFB">
            <w:pPr>
              <w:pStyle w:val="ENNormalni"/>
              <w:rPr>
                <w:szCs w:val="32"/>
              </w:rPr>
            </w:pPr>
            <w:r w:rsidRPr="00AE784D">
              <w:rPr>
                <w:szCs w:val="32"/>
              </w:rPr>
              <w:t>(Gilead and the Buyer are hereinafter jointly referred to as the “</w:t>
            </w:r>
            <w:r w:rsidRPr="00AE784D">
              <w:rPr>
                <w:rStyle w:val="StyleBodyTextChar"/>
                <w:szCs w:val="32"/>
              </w:rPr>
              <w:t>Parties</w:t>
            </w:r>
            <w:r w:rsidRPr="00AE784D">
              <w:rPr>
                <w:szCs w:val="32"/>
              </w:rPr>
              <w:t>” or individually as the “</w:t>
            </w:r>
            <w:r w:rsidRPr="00AE784D">
              <w:rPr>
                <w:rStyle w:val="StyleBodyTextChar"/>
                <w:szCs w:val="32"/>
              </w:rPr>
              <w:t>Party</w:t>
            </w:r>
            <w:r w:rsidRPr="00AE784D">
              <w:rPr>
                <w:szCs w:val="32"/>
              </w:rPr>
              <w:t>”)</w:t>
            </w:r>
          </w:p>
        </w:tc>
      </w:tr>
      <w:tr w:rsidR="004A1EFB" w:rsidRPr="00512FB9" w14:paraId="391C1DD6" w14:textId="77777777" w:rsidTr="00AE784D">
        <w:tc>
          <w:tcPr>
            <w:tcW w:w="4940" w:type="dxa"/>
          </w:tcPr>
          <w:p w14:paraId="6D9D830C" w14:textId="2F029F63" w:rsidR="00287155" w:rsidRPr="00AE784D" w:rsidRDefault="004A1EFB" w:rsidP="004A1EFB">
            <w:pPr>
              <w:rPr>
                <w:szCs w:val="32"/>
              </w:rPr>
            </w:pPr>
            <w:r w:rsidRPr="00AE784D">
              <w:rPr>
                <w:b/>
                <w:szCs w:val="32"/>
              </w:rPr>
              <w:t>ÚČELEM</w:t>
            </w:r>
            <w:r w:rsidRPr="00AE784D">
              <w:rPr>
                <w:szCs w:val="32"/>
              </w:rPr>
              <w:t xml:space="preserve"> tohoto Dodatku je úprava Dohody o poskytování bonusu uzavřené mezi společností Gilead a Kupujícím dne </w:t>
            </w:r>
            <w:r w:rsidR="0051796C" w:rsidRPr="00AE784D">
              <w:rPr>
                <w:b/>
                <w:bCs/>
                <w:szCs w:val="32"/>
              </w:rPr>
              <w:t>9.12.2019</w:t>
            </w:r>
            <w:r w:rsidR="00B9013B" w:rsidRPr="00AE784D">
              <w:rPr>
                <w:b/>
                <w:bCs/>
                <w:szCs w:val="32"/>
              </w:rPr>
              <w:t xml:space="preserve"> </w:t>
            </w:r>
            <w:r w:rsidR="00B9013B" w:rsidRPr="00AE784D">
              <w:rPr>
                <w:szCs w:val="32"/>
              </w:rPr>
              <w:t>ve znění dodatku č. 1, 2 a 3</w:t>
            </w:r>
            <w:r w:rsidR="004F2F6B" w:rsidRPr="00AE784D">
              <w:rPr>
                <w:szCs w:val="32"/>
              </w:rPr>
              <w:t xml:space="preserve"> </w:t>
            </w:r>
            <w:r w:rsidRPr="00AE784D">
              <w:rPr>
                <w:szCs w:val="32"/>
              </w:rPr>
              <w:t>(„</w:t>
            </w:r>
            <w:r w:rsidRPr="00AE784D">
              <w:rPr>
                <w:b/>
                <w:szCs w:val="32"/>
              </w:rPr>
              <w:t>Dohoda</w:t>
            </w:r>
            <w:r w:rsidRPr="00AE784D">
              <w:rPr>
                <w:szCs w:val="32"/>
              </w:rPr>
              <w:t>“)</w:t>
            </w:r>
            <w:r w:rsidR="00F91455" w:rsidRPr="00AE784D">
              <w:rPr>
                <w:szCs w:val="32"/>
              </w:rPr>
              <w:t xml:space="preserve"> následovně:</w:t>
            </w:r>
          </w:p>
        </w:tc>
        <w:tc>
          <w:tcPr>
            <w:tcW w:w="4842" w:type="dxa"/>
          </w:tcPr>
          <w:p w14:paraId="4EB9631D" w14:textId="01563F44" w:rsidR="006F2F62" w:rsidRPr="00AE784D" w:rsidRDefault="004A1EFB">
            <w:pPr>
              <w:rPr>
                <w:szCs w:val="32"/>
                <w:lang w:val="en-US"/>
              </w:rPr>
            </w:pPr>
            <w:r w:rsidRPr="00AE784D">
              <w:rPr>
                <w:b/>
                <w:szCs w:val="32"/>
                <w:lang w:val="en-US"/>
              </w:rPr>
              <w:t>THE PURPOSE</w:t>
            </w:r>
            <w:r w:rsidRPr="00AE784D">
              <w:rPr>
                <w:szCs w:val="32"/>
                <w:lang w:val="en-US"/>
              </w:rPr>
              <w:t xml:space="preserve"> of this Amendment is the change of the Bonus Agreement concluded between Gilead and the Buyer on </w:t>
            </w:r>
            <w:r w:rsidR="0051796C" w:rsidRPr="00AE784D">
              <w:rPr>
                <w:b/>
                <w:bCs/>
                <w:szCs w:val="32"/>
                <w:lang w:val="en-US"/>
              </w:rPr>
              <w:t>9.12.2019</w:t>
            </w:r>
            <w:r w:rsidRPr="00AE784D">
              <w:rPr>
                <w:szCs w:val="32"/>
                <w:lang w:val="en-US"/>
              </w:rPr>
              <w:t xml:space="preserve"> </w:t>
            </w:r>
            <w:r w:rsidR="000C6501" w:rsidRPr="00AE784D">
              <w:rPr>
                <w:szCs w:val="32"/>
                <w:lang w:val="en-US"/>
              </w:rPr>
              <w:t xml:space="preserve">as amended by the Amendment no. 1, 2 and 3 </w:t>
            </w:r>
            <w:r w:rsidRPr="00AE784D">
              <w:rPr>
                <w:szCs w:val="32"/>
                <w:lang w:val="en-US"/>
              </w:rPr>
              <w:t>(the “</w:t>
            </w:r>
            <w:r w:rsidRPr="00AE784D">
              <w:rPr>
                <w:b/>
                <w:szCs w:val="32"/>
                <w:lang w:val="en-US"/>
              </w:rPr>
              <w:t>Agreement</w:t>
            </w:r>
            <w:r w:rsidRPr="00AE784D">
              <w:rPr>
                <w:szCs w:val="32"/>
                <w:lang w:val="en-US"/>
              </w:rPr>
              <w:t>”)</w:t>
            </w:r>
            <w:r w:rsidR="00F91455" w:rsidRPr="00AE784D">
              <w:rPr>
                <w:szCs w:val="32"/>
                <w:lang w:val="en-US"/>
              </w:rPr>
              <w:t xml:space="preserve"> as follows</w:t>
            </w:r>
            <w:r w:rsidR="00B27DA4" w:rsidRPr="00AE784D">
              <w:rPr>
                <w:szCs w:val="32"/>
                <w:lang w:val="en-US"/>
              </w:rPr>
              <w:t>:</w:t>
            </w:r>
          </w:p>
        </w:tc>
      </w:tr>
      <w:tr w:rsidR="004A1EFB" w:rsidRPr="00512FB9" w14:paraId="1244CB41" w14:textId="77777777" w:rsidTr="00AE784D">
        <w:tc>
          <w:tcPr>
            <w:tcW w:w="4940" w:type="dxa"/>
          </w:tcPr>
          <w:p w14:paraId="06B16D78" w14:textId="491F053B" w:rsidR="004A1EFB" w:rsidRPr="00AE784D" w:rsidRDefault="004F25DA" w:rsidP="004A1EFB">
            <w:pPr>
              <w:pStyle w:val="Nadpis1"/>
              <w:rPr>
                <w:rFonts w:cs="Times New Roman"/>
              </w:rPr>
            </w:pPr>
            <w:r w:rsidRPr="00AE784D">
              <w:rPr>
                <w:rFonts w:cs="Times New Roman"/>
              </w:rPr>
              <w:t>ZMĚNA PŘÍLOHY</w:t>
            </w:r>
            <w:r w:rsidR="004A1EFB" w:rsidRPr="00AE784D">
              <w:rPr>
                <w:rFonts w:cs="Times New Roman"/>
              </w:rPr>
              <w:t xml:space="preserve"> č. </w:t>
            </w:r>
            <w:r w:rsidR="00C94720" w:rsidRPr="00AE784D">
              <w:rPr>
                <w:rFonts w:cs="Times New Roman"/>
              </w:rPr>
              <w:t xml:space="preserve">1 </w:t>
            </w:r>
            <w:r w:rsidR="004A1EFB" w:rsidRPr="00AE784D">
              <w:rPr>
                <w:rFonts w:cs="Times New Roman"/>
              </w:rPr>
              <w:t>Dohody</w:t>
            </w:r>
          </w:p>
        </w:tc>
        <w:tc>
          <w:tcPr>
            <w:tcW w:w="4842" w:type="dxa"/>
          </w:tcPr>
          <w:p w14:paraId="5FC13616" w14:textId="374FF1D3" w:rsidR="004A1EFB" w:rsidRPr="00AE784D" w:rsidRDefault="004F25DA" w:rsidP="00FD7DA6">
            <w:pPr>
              <w:pStyle w:val="ENNadpis1"/>
              <w:rPr>
                <w:szCs w:val="32"/>
              </w:rPr>
            </w:pPr>
            <w:r w:rsidRPr="00AE784D">
              <w:rPr>
                <w:bCs/>
                <w:caps w:val="0"/>
                <w:szCs w:val="32"/>
              </w:rPr>
              <w:t>CHANGE OF APPENDIX</w:t>
            </w:r>
            <w:r w:rsidR="004A1EFB" w:rsidRPr="00AE784D">
              <w:rPr>
                <w:bCs/>
                <w:caps w:val="0"/>
                <w:szCs w:val="32"/>
              </w:rPr>
              <w:t xml:space="preserve"> </w:t>
            </w:r>
            <w:r w:rsidR="00C94720" w:rsidRPr="00AE784D">
              <w:rPr>
                <w:bCs/>
                <w:szCs w:val="32"/>
              </w:rPr>
              <w:t>1</w:t>
            </w:r>
            <w:r w:rsidR="004A1EFB" w:rsidRPr="00AE784D">
              <w:rPr>
                <w:bCs/>
                <w:caps w:val="0"/>
                <w:szCs w:val="32"/>
              </w:rPr>
              <w:t xml:space="preserve"> OF THE AGREEMENT</w:t>
            </w:r>
          </w:p>
        </w:tc>
      </w:tr>
      <w:tr w:rsidR="004A1EFB" w:rsidRPr="00512FB9" w14:paraId="15957AD6" w14:textId="77777777" w:rsidTr="00AE784D">
        <w:tc>
          <w:tcPr>
            <w:tcW w:w="4940" w:type="dxa"/>
          </w:tcPr>
          <w:p w14:paraId="7436273F" w14:textId="5490888E" w:rsidR="004A1EFB" w:rsidRPr="00AE784D" w:rsidRDefault="004A1EFB" w:rsidP="004A1EFB">
            <w:pPr>
              <w:rPr>
                <w:szCs w:val="32"/>
              </w:rPr>
            </w:pPr>
            <w:r w:rsidRPr="00AE784D">
              <w:rPr>
                <w:szCs w:val="32"/>
              </w:rPr>
              <w:t xml:space="preserve">Strany se dohodly </w:t>
            </w:r>
            <w:r w:rsidR="00792918" w:rsidRPr="00AE784D">
              <w:rPr>
                <w:szCs w:val="32"/>
              </w:rPr>
              <w:t xml:space="preserve">na změně Přílohy č. </w:t>
            </w:r>
            <w:r w:rsidR="00C94720" w:rsidRPr="00AE784D">
              <w:rPr>
                <w:b/>
                <w:bCs/>
                <w:szCs w:val="32"/>
              </w:rPr>
              <w:t>1</w:t>
            </w:r>
            <w:r w:rsidR="00792918" w:rsidRPr="00AE784D">
              <w:rPr>
                <w:szCs w:val="32"/>
              </w:rPr>
              <w:t xml:space="preserve"> Dohody.</w:t>
            </w:r>
            <w:r w:rsidRPr="00AE784D">
              <w:rPr>
                <w:szCs w:val="32"/>
              </w:rPr>
              <w:t xml:space="preserve"> Nová Příloha č. </w:t>
            </w:r>
            <w:r w:rsidR="00C94720" w:rsidRPr="00AE784D">
              <w:rPr>
                <w:b/>
                <w:bCs/>
                <w:szCs w:val="32"/>
              </w:rPr>
              <w:t>1</w:t>
            </w:r>
            <w:r w:rsidRPr="00AE784D">
              <w:rPr>
                <w:szCs w:val="32"/>
              </w:rPr>
              <w:t xml:space="preserve"> je přiložena k tomuto Dodatku</w:t>
            </w:r>
            <w:r w:rsidR="00C5619B" w:rsidRPr="00AE784D">
              <w:rPr>
                <w:szCs w:val="32"/>
              </w:rPr>
              <w:t xml:space="preserve"> a nahrazuje původní</w:t>
            </w:r>
            <w:r w:rsidRPr="00AE784D">
              <w:rPr>
                <w:szCs w:val="32"/>
              </w:rPr>
              <w:t>.</w:t>
            </w:r>
          </w:p>
        </w:tc>
        <w:tc>
          <w:tcPr>
            <w:tcW w:w="4842" w:type="dxa"/>
          </w:tcPr>
          <w:p w14:paraId="5C8C8349" w14:textId="1D1D404D" w:rsidR="004A1EFB" w:rsidRPr="00AE784D" w:rsidRDefault="004A1EFB" w:rsidP="00FD7DA6">
            <w:pPr>
              <w:pStyle w:val="ENNormalni"/>
              <w:rPr>
                <w:szCs w:val="32"/>
              </w:rPr>
            </w:pPr>
            <w:r w:rsidRPr="00AE784D">
              <w:rPr>
                <w:szCs w:val="32"/>
              </w:rPr>
              <w:t xml:space="preserve">The Parties agreed </w:t>
            </w:r>
            <w:r w:rsidR="00792918" w:rsidRPr="00AE784D">
              <w:rPr>
                <w:szCs w:val="32"/>
              </w:rPr>
              <w:t xml:space="preserve">to amend </w:t>
            </w:r>
            <w:r w:rsidRPr="00AE784D">
              <w:rPr>
                <w:szCs w:val="32"/>
              </w:rPr>
              <w:t xml:space="preserve">Appendix </w:t>
            </w:r>
            <w:r w:rsidR="00C94720" w:rsidRPr="00AE784D">
              <w:rPr>
                <w:b/>
                <w:bCs/>
                <w:szCs w:val="32"/>
              </w:rPr>
              <w:t xml:space="preserve">1 </w:t>
            </w:r>
            <w:r w:rsidR="00792918" w:rsidRPr="00AE784D">
              <w:rPr>
                <w:szCs w:val="32"/>
              </w:rPr>
              <w:t>to</w:t>
            </w:r>
            <w:r w:rsidRPr="00AE784D">
              <w:rPr>
                <w:szCs w:val="32"/>
              </w:rPr>
              <w:t xml:space="preserve"> Agreement. The new Appendix </w:t>
            </w:r>
            <w:r w:rsidR="00C94720" w:rsidRPr="00AE784D">
              <w:rPr>
                <w:b/>
                <w:bCs/>
                <w:szCs w:val="32"/>
              </w:rPr>
              <w:t>1</w:t>
            </w:r>
            <w:r w:rsidRPr="00AE784D">
              <w:rPr>
                <w:szCs w:val="32"/>
              </w:rPr>
              <w:t xml:space="preserve"> is attached to this Amendment</w:t>
            </w:r>
            <w:r w:rsidR="00C5619B" w:rsidRPr="00AE784D">
              <w:rPr>
                <w:szCs w:val="32"/>
              </w:rPr>
              <w:t xml:space="preserve"> and replaces the original one</w:t>
            </w:r>
            <w:r w:rsidRPr="00AE784D">
              <w:rPr>
                <w:szCs w:val="32"/>
              </w:rPr>
              <w:t>.</w:t>
            </w:r>
          </w:p>
        </w:tc>
      </w:tr>
      <w:tr w:rsidR="004A1EFB" w:rsidRPr="00512FB9" w14:paraId="404D063E" w14:textId="77777777" w:rsidTr="00AE784D">
        <w:tc>
          <w:tcPr>
            <w:tcW w:w="4940" w:type="dxa"/>
          </w:tcPr>
          <w:p w14:paraId="30FC182A" w14:textId="77777777" w:rsidR="004A1EFB" w:rsidRPr="00AE784D" w:rsidRDefault="004A1EFB" w:rsidP="004A1EFB">
            <w:pPr>
              <w:pStyle w:val="Nadpis1"/>
              <w:rPr>
                <w:rFonts w:cs="Times New Roman"/>
              </w:rPr>
            </w:pPr>
            <w:r w:rsidRPr="00AE784D">
              <w:rPr>
                <w:rFonts w:cs="Times New Roman"/>
              </w:rPr>
              <w:t>Uveřejnění v registru smluv</w:t>
            </w:r>
          </w:p>
        </w:tc>
        <w:tc>
          <w:tcPr>
            <w:tcW w:w="4842" w:type="dxa"/>
          </w:tcPr>
          <w:p w14:paraId="5237C352" w14:textId="77777777" w:rsidR="004A1EFB" w:rsidRPr="00AE784D" w:rsidRDefault="004A1EFB" w:rsidP="009E60CF">
            <w:pPr>
              <w:pStyle w:val="ENNadpis1"/>
              <w:rPr>
                <w:szCs w:val="32"/>
              </w:rPr>
            </w:pPr>
            <w:r w:rsidRPr="00AE784D">
              <w:rPr>
                <w:szCs w:val="32"/>
              </w:rPr>
              <w:t>Publication in the Register of Contracts</w:t>
            </w:r>
          </w:p>
        </w:tc>
      </w:tr>
      <w:tr w:rsidR="004A1EFB" w:rsidRPr="00512FB9" w14:paraId="5963782C" w14:textId="77777777" w:rsidTr="00AE784D">
        <w:tc>
          <w:tcPr>
            <w:tcW w:w="4940" w:type="dxa"/>
          </w:tcPr>
          <w:p w14:paraId="65F5501D" w14:textId="7D876A54" w:rsidR="004A1EFB" w:rsidRPr="00AE784D" w:rsidRDefault="00792918">
            <w:pPr>
              <w:pStyle w:val="CMSHeadL3"/>
              <w:numPr>
                <w:ilvl w:val="0"/>
                <w:numId w:val="0"/>
              </w:numPr>
              <w:tabs>
                <w:tab w:val="left" w:pos="-30"/>
              </w:tabs>
              <w:spacing w:before="240"/>
              <w:ind w:left="-30"/>
              <w:jc w:val="both"/>
              <w:rPr>
                <w:b/>
                <w:szCs w:val="32"/>
                <w:lang w:val="cs-CZ"/>
              </w:rPr>
            </w:pPr>
            <w:r w:rsidRPr="00AE784D">
              <w:rPr>
                <w:szCs w:val="32"/>
                <w:lang w:val="cs-CZ"/>
              </w:rPr>
              <w:t>Veškerá u</w:t>
            </w:r>
            <w:r w:rsidR="004A1EFB" w:rsidRPr="00AE784D">
              <w:rPr>
                <w:szCs w:val="32"/>
                <w:lang w:val="cs-CZ"/>
              </w:rPr>
              <w:t xml:space="preserve">jednání </w:t>
            </w:r>
            <w:r w:rsidR="00C5619B" w:rsidRPr="00AE784D">
              <w:rPr>
                <w:szCs w:val="32"/>
                <w:lang w:val="cs-CZ"/>
              </w:rPr>
              <w:t xml:space="preserve">Dohody </w:t>
            </w:r>
            <w:r w:rsidRPr="00AE784D">
              <w:rPr>
                <w:szCs w:val="32"/>
                <w:lang w:val="cs-CZ"/>
              </w:rPr>
              <w:t>související s uveřejněním v registru smluv</w:t>
            </w:r>
            <w:r w:rsidR="004A1EFB" w:rsidRPr="00AE784D">
              <w:rPr>
                <w:szCs w:val="32"/>
                <w:lang w:val="cs-CZ"/>
              </w:rPr>
              <w:t xml:space="preserve"> se použijí </w:t>
            </w:r>
            <w:proofErr w:type="spellStart"/>
            <w:r w:rsidR="004A1EFB" w:rsidRPr="00AE784D">
              <w:rPr>
                <w:i/>
                <w:szCs w:val="32"/>
                <w:lang w:val="cs-CZ"/>
              </w:rPr>
              <w:t>mutatis</w:t>
            </w:r>
            <w:proofErr w:type="spellEnd"/>
            <w:r w:rsidR="004A1EFB" w:rsidRPr="00AE784D">
              <w:rPr>
                <w:i/>
                <w:szCs w:val="32"/>
                <w:lang w:val="cs-CZ"/>
              </w:rPr>
              <w:t xml:space="preserve"> </w:t>
            </w:r>
            <w:proofErr w:type="spellStart"/>
            <w:r w:rsidR="004A1EFB" w:rsidRPr="00AE784D">
              <w:rPr>
                <w:i/>
                <w:szCs w:val="32"/>
                <w:lang w:val="cs-CZ"/>
              </w:rPr>
              <w:t>mutandis</w:t>
            </w:r>
            <w:proofErr w:type="spellEnd"/>
            <w:r w:rsidR="004A1EFB" w:rsidRPr="00AE784D">
              <w:rPr>
                <w:szCs w:val="32"/>
                <w:lang w:val="cs-CZ"/>
              </w:rPr>
              <w:t xml:space="preserve"> také na uveřejňování tohoto Dodatku v registru smluv.</w:t>
            </w:r>
          </w:p>
        </w:tc>
        <w:tc>
          <w:tcPr>
            <w:tcW w:w="4842" w:type="dxa"/>
          </w:tcPr>
          <w:p w14:paraId="0F0F4F57" w14:textId="67246AD0" w:rsidR="004A1EFB" w:rsidRPr="00AE784D" w:rsidRDefault="00C5619B">
            <w:pPr>
              <w:pStyle w:val="CMSHeadL3"/>
              <w:numPr>
                <w:ilvl w:val="0"/>
                <w:numId w:val="0"/>
              </w:numPr>
              <w:tabs>
                <w:tab w:val="left" w:pos="318"/>
              </w:tabs>
              <w:spacing w:before="240"/>
              <w:jc w:val="both"/>
              <w:rPr>
                <w:b/>
                <w:szCs w:val="32"/>
                <w:lang w:val="en-US"/>
              </w:rPr>
            </w:pPr>
            <w:r w:rsidRPr="00AE784D">
              <w:rPr>
                <w:szCs w:val="32"/>
                <w:lang w:val="en-US"/>
              </w:rPr>
              <w:t xml:space="preserve">All provisions of the Agreement relating to publication in the Register of Contracts shall apply </w:t>
            </w:r>
            <w:r w:rsidRPr="00AE784D">
              <w:rPr>
                <w:i/>
                <w:iCs/>
                <w:szCs w:val="32"/>
                <w:lang w:val="en-US"/>
              </w:rPr>
              <w:t>mutatis mutandis</w:t>
            </w:r>
            <w:r w:rsidRPr="00AE784D">
              <w:rPr>
                <w:szCs w:val="32"/>
                <w:lang w:val="en-US"/>
              </w:rPr>
              <w:t xml:space="preserve"> to the publication of this Amendment in the Register of Contracts.</w:t>
            </w:r>
          </w:p>
        </w:tc>
      </w:tr>
      <w:tr w:rsidR="004A1EFB" w:rsidRPr="00512FB9" w14:paraId="062FA9EA" w14:textId="77777777" w:rsidTr="00AE784D">
        <w:tc>
          <w:tcPr>
            <w:tcW w:w="4940" w:type="dxa"/>
          </w:tcPr>
          <w:p w14:paraId="58061955" w14:textId="77777777" w:rsidR="004A1EFB" w:rsidRPr="00AE784D" w:rsidRDefault="004A1EFB" w:rsidP="004A1EFB">
            <w:pPr>
              <w:pStyle w:val="Nadpis1"/>
              <w:rPr>
                <w:rFonts w:cs="Times New Roman"/>
              </w:rPr>
            </w:pPr>
            <w:r w:rsidRPr="00AE784D">
              <w:rPr>
                <w:rFonts w:cs="Times New Roman"/>
              </w:rPr>
              <w:t>Závěrečná ustanovení</w:t>
            </w:r>
          </w:p>
        </w:tc>
        <w:tc>
          <w:tcPr>
            <w:tcW w:w="4842" w:type="dxa"/>
          </w:tcPr>
          <w:p w14:paraId="7D06BA8D" w14:textId="77777777" w:rsidR="004A1EFB" w:rsidRPr="00AE784D" w:rsidRDefault="004A1EFB" w:rsidP="009E60CF">
            <w:pPr>
              <w:pStyle w:val="ENNadpis1"/>
              <w:rPr>
                <w:szCs w:val="32"/>
              </w:rPr>
            </w:pPr>
            <w:r w:rsidRPr="00AE784D">
              <w:rPr>
                <w:szCs w:val="32"/>
              </w:rPr>
              <w:t>Final provisions</w:t>
            </w:r>
          </w:p>
        </w:tc>
      </w:tr>
      <w:tr w:rsidR="004A1EFB" w:rsidRPr="00512FB9" w14:paraId="15441B21" w14:textId="77777777" w:rsidTr="00AE784D">
        <w:tc>
          <w:tcPr>
            <w:tcW w:w="4940" w:type="dxa"/>
          </w:tcPr>
          <w:p w14:paraId="6D961EB1" w14:textId="0F43D8D7" w:rsidR="004A1EFB" w:rsidRPr="00AE784D" w:rsidRDefault="004A1EFB" w:rsidP="00A95C59">
            <w:pPr>
              <w:pStyle w:val="CZClanek11"/>
              <w:rPr>
                <w:rFonts w:cs="Times New Roman"/>
                <w:szCs w:val="32"/>
              </w:rPr>
            </w:pPr>
            <w:r w:rsidRPr="00AE784D">
              <w:rPr>
                <w:rFonts w:cs="Times New Roman"/>
                <w:szCs w:val="32"/>
              </w:rPr>
              <w:t>Ustanovení Dohody, tímto Dodatkem nedotčena, zůstávají v platnosti a účinnosti.</w:t>
            </w:r>
          </w:p>
        </w:tc>
        <w:tc>
          <w:tcPr>
            <w:tcW w:w="4842" w:type="dxa"/>
          </w:tcPr>
          <w:p w14:paraId="33245E58" w14:textId="5DC7921F" w:rsidR="00E06200" w:rsidRPr="00AE784D" w:rsidRDefault="004A1EFB" w:rsidP="00A95C59">
            <w:pPr>
              <w:pStyle w:val="ENClanek11"/>
              <w:rPr>
                <w:szCs w:val="32"/>
              </w:rPr>
            </w:pPr>
            <w:r w:rsidRPr="00AE784D">
              <w:rPr>
                <w:szCs w:val="32"/>
              </w:rPr>
              <w:t>Provisions of the Agreement that are not amended by this Amendment shall remain valid and effective.</w:t>
            </w:r>
          </w:p>
        </w:tc>
      </w:tr>
      <w:tr w:rsidR="00A95C59" w:rsidRPr="00512FB9" w14:paraId="2D6613DB" w14:textId="77777777" w:rsidTr="00AE784D">
        <w:tc>
          <w:tcPr>
            <w:tcW w:w="4940" w:type="dxa"/>
          </w:tcPr>
          <w:p w14:paraId="631A6256" w14:textId="73A704C5" w:rsidR="00A95C59" w:rsidRPr="00AE784D" w:rsidRDefault="00A95C59" w:rsidP="00264FAD">
            <w:pPr>
              <w:pStyle w:val="CZClanek11"/>
              <w:rPr>
                <w:rFonts w:cs="Times New Roman"/>
                <w:szCs w:val="32"/>
              </w:rPr>
            </w:pPr>
            <w:r w:rsidRPr="00AE784D">
              <w:rPr>
                <w:rFonts w:cs="Times New Roman"/>
                <w:szCs w:val="32"/>
              </w:rPr>
              <w:lastRenderedPageBreak/>
              <w:t>Tento Dodatek nabývá účinnosti dnem jeho uveřejnění v registru smluv dle zákona č. 340/2015 Sb., o zvláštních podmínkách účinnosti některých smlu</w:t>
            </w:r>
            <w:r w:rsidR="00591839" w:rsidRPr="00AE784D">
              <w:rPr>
                <w:rFonts w:cs="Times New Roman"/>
                <w:szCs w:val="32"/>
              </w:rPr>
              <w:t>v</w:t>
            </w:r>
            <w:r w:rsidR="000108D8" w:rsidRPr="00AE784D">
              <w:rPr>
                <w:rFonts w:cs="Times New Roman"/>
                <w:szCs w:val="32"/>
              </w:rPr>
              <w:t>, nejdříve však 1.9.2025</w:t>
            </w:r>
            <w:r w:rsidR="007E622A" w:rsidRPr="00AE784D">
              <w:rPr>
                <w:rFonts w:cs="Times New Roman"/>
                <w:szCs w:val="32"/>
              </w:rPr>
              <w:t>, prvním dnem Referenčního období následujícího po jeho podpisu oběma Stranami.</w:t>
            </w:r>
          </w:p>
        </w:tc>
        <w:tc>
          <w:tcPr>
            <w:tcW w:w="4842" w:type="dxa"/>
          </w:tcPr>
          <w:p w14:paraId="063B5630" w14:textId="48ADD4F7" w:rsidR="00A95C59" w:rsidRPr="00AE784D" w:rsidRDefault="00A95C59" w:rsidP="00264FAD">
            <w:pPr>
              <w:pStyle w:val="ENClanek11"/>
              <w:rPr>
                <w:szCs w:val="32"/>
                <w:lang w:val="cs-CZ"/>
              </w:rPr>
            </w:pPr>
            <w:r w:rsidRPr="00AE784D">
              <w:rPr>
                <w:szCs w:val="32"/>
              </w:rPr>
              <w:t>This Amendment becomes effective on the date of publication of the Agreement in the Register of Contracts pursuant to Act No. 340/2015 Coll., On Special Conditions of Effectiveness of Certain Contracts</w:t>
            </w:r>
            <w:r w:rsidR="007E622A" w:rsidRPr="00AE784D">
              <w:rPr>
                <w:szCs w:val="32"/>
              </w:rPr>
              <w:t>, but n</w:t>
            </w:r>
            <w:r w:rsidR="004642C9" w:rsidRPr="00AE784D">
              <w:rPr>
                <w:szCs w:val="32"/>
              </w:rPr>
              <w:t>o earlier than 1.9.2025, on the first day of the Reference period following its</w:t>
            </w:r>
            <w:r w:rsidR="004445C7" w:rsidRPr="00AE784D">
              <w:rPr>
                <w:szCs w:val="32"/>
              </w:rPr>
              <w:t xml:space="preserve"> signature by both Parties.</w:t>
            </w:r>
          </w:p>
        </w:tc>
      </w:tr>
      <w:tr w:rsidR="005A2287" w:rsidRPr="00512FB9" w14:paraId="43C108A9" w14:textId="77777777" w:rsidTr="00AE784D">
        <w:tc>
          <w:tcPr>
            <w:tcW w:w="4940" w:type="dxa"/>
          </w:tcPr>
          <w:p w14:paraId="66EA32DA" w14:textId="17CF3CC3" w:rsidR="005A2287" w:rsidRPr="00AE784D" w:rsidRDefault="005A2287" w:rsidP="00F91455">
            <w:pPr>
              <w:pStyle w:val="CZClanek11"/>
              <w:rPr>
                <w:rFonts w:cs="Times New Roman"/>
                <w:szCs w:val="32"/>
              </w:rPr>
            </w:pPr>
            <w:r w:rsidRPr="00AE784D">
              <w:rPr>
                <w:rFonts w:cs="Times New Roman"/>
                <w:szCs w:val="32"/>
              </w:rPr>
              <w:t xml:space="preserve">Zanikne-li </w:t>
            </w:r>
            <w:r w:rsidR="00F91455" w:rsidRPr="00AE784D">
              <w:rPr>
                <w:rFonts w:cs="Times New Roman"/>
                <w:szCs w:val="32"/>
              </w:rPr>
              <w:t xml:space="preserve">Příloha č. </w:t>
            </w:r>
            <w:r w:rsidR="00F91455" w:rsidRPr="00AE784D">
              <w:rPr>
                <w:rFonts w:cs="Times New Roman"/>
                <w:b/>
                <w:bCs w:val="0"/>
                <w:szCs w:val="32"/>
              </w:rPr>
              <w:t>1</w:t>
            </w:r>
            <w:r w:rsidR="00F91455" w:rsidRPr="00AE784D">
              <w:rPr>
                <w:rFonts w:cs="Times New Roman"/>
                <w:szCs w:val="32"/>
              </w:rPr>
              <w:t xml:space="preserve"> Dohody ve znění Dodatku č. 2 („</w:t>
            </w:r>
            <w:r w:rsidR="00F91455" w:rsidRPr="00AE784D">
              <w:rPr>
                <w:rFonts w:cs="Times New Roman"/>
                <w:b/>
                <w:szCs w:val="32"/>
              </w:rPr>
              <w:t>původní bonusové schéma</w:t>
            </w:r>
            <w:r w:rsidR="00F91455" w:rsidRPr="00AE784D">
              <w:rPr>
                <w:rFonts w:cs="Times New Roman"/>
                <w:szCs w:val="32"/>
              </w:rPr>
              <w:t>“)</w:t>
            </w:r>
            <w:r w:rsidR="00F56C80" w:rsidRPr="00AE784D">
              <w:rPr>
                <w:rFonts w:cs="Times New Roman"/>
                <w:szCs w:val="32"/>
              </w:rPr>
              <w:t xml:space="preserve"> v průběhu Referenčního období,</w:t>
            </w:r>
            <w:r w:rsidRPr="00AE784D">
              <w:rPr>
                <w:rFonts w:cs="Times New Roman"/>
                <w:szCs w:val="32"/>
              </w:rPr>
              <w:t xml:space="preserve"> </w:t>
            </w:r>
            <w:r w:rsidR="00F56C80" w:rsidRPr="00AE784D">
              <w:rPr>
                <w:rFonts w:cs="Times New Roman"/>
                <w:szCs w:val="32"/>
              </w:rPr>
              <w:t>m</w:t>
            </w:r>
            <w:r w:rsidR="00217213" w:rsidRPr="00AE784D">
              <w:rPr>
                <w:rFonts w:cs="Times New Roman"/>
                <w:szCs w:val="32"/>
              </w:rPr>
              <w:t xml:space="preserve">inimální částky obratu v rámci jednotlivých </w:t>
            </w:r>
            <w:r w:rsidR="00F56C80" w:rsidRPr="00AE784D">
              <w:rPr>
                <w:rFonts w:cs="Times New Roman"/>
                <w:szCs w:val="32"/>
              </w:rPr>
              <w:t>bonusových</w:t>
            </w:r>
            <w:r w:rsidR="00217213" w:rsidRPr="00AE784D">
              <w:rPr>
                <w:rFonts w:cs="Times New Roman"/>
                <w:szCs w:val="32"/>
              </w:rPr>
              <w:t xml:space="preserve"> pásem stanovené pro toto Referenční období se z tohoto důvodu alikvotně ani nijak jinak nesníží a Kupující bude mít nárok na </w:t>
            </w:r>
            <w:r w:rsidR="00FA1287" w:rsidRPr="00AE784D">
              <w:rPr>
                <w:rFonts w:cs="Times New Roman"/>
                <w:szCs w:val="32"/>
              </w:rPr>
              <w:t>B</w:t>
            </w:r>
            <w:r w:rsidR="00217213" w:rsidRPr="00AE784D">
              <w:rPr>
                <w:rFonts w:cs="Times New Roman"/>
                <w:szCs w:val="32"/>
              </w:rPr>
              <w:t>onus v příslušné výši</w:t>
            </w:r>
            <w:r w:rsidR="0063562B" w:rsidRPr="00AE784D">
              <w:rPr>
                <w:rFonts w:cs="Times New Roman"/>
                <w:szCs w:val="32"/>
              </w:rPr>
              <w:t>, pokud</w:t>
            </w:r>
            <w:r w:rsidR="00217213" w:rsidRPr="00AE784D">
              <w:rPr>
                <w:rFonts w:cs="Times New Roman"/>
                <w:szCs w:val="32"/>
              </w:rPr>
              <w:t xml:space="preserve"> ke dni zániku</w:t>
            </w:r>
            <w:r w:rsidR="0063562B" w:rsidRPr="00AE784D">
              <w:rPr>
                <w:rFonts w:cs="Times New Roman"/>
                <w:szCs w:val="32"/>
              </w:rPr>
              <w:t xml:space="preserve"> původního bonusového schéma </w:t>
            </w:r>
            <w:r w:rsidR="00217213" w:rsidRPr="00AE784D">
              <w:rPr>
                <w:rFonts w:cs="Times New Roman"/>
                <w:szCs w:val="32"/>
              </w:rPr>
              <w:t xml:space="preserve">budou splněny </w:t>
            </w:r>
            <w:r w:rsidR="0080629A" w:rsidRPr="00AE784D">
              <w:rPr>
                <w:rFonts w:cs="Times New Roman"/>
                <w:szCs w:val="32"/>
              </w:rPr>
              <w:t>sta</w:t>
            </w:r>
            <w:r w:rsidR="002B54AA" w:rsidRPr="00AE784D">
              <w:rPr>
                <w:rFonts w:cs="Times New Roman"/>
                <w:szCs w:val="32"/>
              </w:rPr>
              <w:t>novené podmínky.</w:t>
            </w:r>
          </w:p>
        </w:tc>
        <w:tc>
          <w:tcPr>
            <w:tcW w:w="4842" w:type="dxa"/>
          </w:tcPr>
          <w:p w14:paraId="41ADCDE8" w14:textId="045AC86E" w:rsidR="0027460B" w:rsidRPr="00AE784D" w:rsidRDefault="0027460B" w:rsidP="004B0318">
            <w:pPr>
              <w:pStyle w:val="ENClanek11"/>
              <w:rPr>
                <w:szCs w:val="32"/>
              </w:rPr>
            </w:pPr>
            <w:r w:rsidRPr="00AE784D">
              <w:rPr>
                <w:szCs w:val="32"/>
              </w:rPr>
              <w:t>If the</w:t>
            </w:r>
            <w:r w:rsidR="004B0318" w:rsidRPr="00AE784D">
              <w:rPr>
                <w:szCs w:val="32"/>
              </w:rPr>
              <w:t xml:space="preserve"> Appendix </w:t>
            </w:r>
            <w:r w:rsidR="004B0318" w:rsidRPr="00AE784D">
              <w:rPr>
                <w:b/>
                <w:bCs/>
                <w:szCs w:val="32"/>
              </w:rPr>
              <w:t>1</w:t>
            </w:r>
            <w:r w:rsidR="004B0318" w:rsidRPr="00AE784D">
              <w:rPr>
                <w:szCs w:val="32"/>
              </w:rPr>
              <w:t xml:space="preserve"> to the Agreement as amended by the Amendment </w:t>
            </w:r>
            <w:r w:rsidR="005B45D5" w:rsidRPr="00AE784D">
              <w:rPr>
                <w:szCs w:val="32"/>
              </w:rPr>
              <w:t>n</w:t>
            </w:r>
            <w:r w:rsidR="004B0318" w:rsidRPr="00AE784D">
              <w:rPr>
                <w:szCs w:val="32"/>
              </w:rPr>
              <w:t>o. 2 ("</w:t>
            </w:r>
            <w:r w:rsidR="004B0318" w:rsidRPr="00AE784D">
              <w:rPr>
                <w:b/>
                <w:bCs/>
                <w:szCs w:val="32"/>
              </w:rPr>
              <w:t>original bonus scheme</w:t>
            </w:r>
            <w:r w:rsidR="004B0318" w:rsidRPr="00AE784D">
              <w:rPr>
                <w:szCs w:val="32"/>
              </w:rPr>
              <w:t>")</w:t>
            </w:r>
            <w:r w:rsidRPr="00AE784D">
              <w:rPr>
                <w:szCs w:val="32"/>
              </w:rPr>
              <w:t xml:space="preserve"> expires during the Reference Period, the minimum turnover amounts within </w:t>
            </w:r>
            <w:r w:rsidR="008B31BF" w:rsidRPr="00AE784D">
              <w:rPr>
                <w:szCs w:val="32"/>
              </w:rPr>
              <w:t>turnover sections</w:t>
            </w:r>
            <w:r w:rsidRPr="00AE784D">
              <w:rPr>
                <w:szCs w:val="32"/>
              </w:rPr>
              <w:t xml:space="preserve"> set for this Reference Period shall not be reduced proportionally or in any other way for this reason, and the Buyer shall be entitled to the </w:t>
            </w:r>
            <w:r w:rsidR="00FA1287" w:rsidRPr="00AE784D">
              <w:rPr>
                <w:szCs w:val="32"/>
              </w:rPr>
              <w:t>B</w:t>
            </w:r>
            <w:r w:rsidRPr="00AE784D">
              <w:rPr>
                <w:szCs w:val="32"/>
              </w:rPr>
              <w:t>onus in the relevant amount if the specified conditions are met on the date of expiry of the original bonus scheme.</w:t>
            </w:r>
          </w:p>
        </w:tc>
      </w:tr>
      <w:tr w:rsidR="004A1EFB" w:rsidRPr="00512FB9" w14:paraId="13326AC2" w14:textId="77777777" w:rsidTr="00AE784D">
        <w:tc>
          <w:tcPr>
            <w:tcW w:w="4940" w:type="dxa"/>
          </w:tcPr>
          <w:p w14:paraId="70D18D90" w14:textId="77777777" w:rsidR="004A1EFB" w:rsidRPr="00AE784D" w:rsidRDefault="004A1EFB" w:rsidP="003A2521">
            <w:pPr>
              <w:pStyle w:val="CZClanek11"/>
              <w:rPr>
                <w:rFonts w:cs="Times New Roman"/>
                <w:szCs w:val="32"/>
              </w:rPr>
            </w:pPr>
            <w:r w:rsidRPr="00AE784D">
              <w:rPr>
                <w:rFonts w:cs="Times New Roman"/>
                <w:szCs w:val="32"/>
              </w:rPr>
              <w:t>Tento Dodatek se uzavírá ve dvou vyhotoveních, z nichž každá Strana obdrží jedno vyhotovení.</w:t>
            </w:r>
          </w:p>
        </w:tc>
        <w:tc>
          <w:tcPr>
            <w:tcW w:w="4842" w:type="dxa"/>
          </w:tcPr>
          <w:p w14:paraId="3230BF94" w14:textId="77777777" w:rsidR="004A1EFB" w:rsidRPr="00AE784D" w:rsidRDefault="004A1EFB" w:rsidP="009E60CF">
            <w:pPr>
              <w:pStyle w:val="ENClanek11"/>
              <w:rPr>
                <w:szCs w:val="32"/>
              </w:rPr>
            </w:pPr>
            <w:r w:rsidRPr="00AE784D">
              <w:rPr>
                <w:szCs w:val="32"/>
              </w:rPr>
              <w:t>This Amendment is executed in two (2) originals, one for each of the Parties hereto.</w:t>
            </w:r>
          </w:p>
        </w:tc>
      </w:tr>
      <w:tr w:rsidR="004A1EFB" w:rsidRPr="00512FB9" w14:paraId="0A790051" w14:textId="77777777" w:rsidTr="00AE784D">
        <w:tc>
          <w:tcPr>
            <w:tcW w:w="4940" w:type="dxa"/>
          </w:tcPr>
          <w:p w14:paraId="0E50835C" w14:textId="028F1797" w:rsidR="008B70EB" w:rsidRPr="00AE784D" w:rsidRDefault="004A1EFB" w:rsidP="00C5619B">
            <w:pPr>
              <w:pStyle w:val="CZClanek11"/>
              <w:rPr>
                <w:rFonts w:cs="Times New Roman"/>
                <w:szCs w:val="32"/>
              </w:rPr>
            </w:pPr>
            <w:r w:rsidRPr="00AE784D">
              <w:rPr>
                <w:rFonts w:cs="Times New Roman"/>
                <w:szCs w:val="32"/>
              </w:rPr>
              <w:t xml:space="preserve">Součástí tohoto Dodatku je Příloha č. </w:t>
            </w:r>
            <w:r w:rsidR="00776F9F" w:rsidRPr="00AE784D">
              <w:rPr>
                <w:rFonts w:cs="Times New Roman"/>
                <w:b/>
                <w:szCs w:val="32"/>
              </w:rPr>
              <w:t>1</w:t>
            </w:r>
            <w:r w:rsidRPr="00AE784D">
              <w:rPr>
                <w:rFonts w:cs="Times New Roman"/>
                <w:szCs w:val="32"/>
              </w:rPr>
              <w:t xml:space="preserve"> Dohody.</w:t>
            </w:r>
            <w:r w:rsidR="008B70EB" w:rsidRPr="00AE784D">
              <w:rPr>
                <w:rFonts w:cs="Times New Roman"/>
                <w:szCs w:val="32"/>
              </w:rPr>
              <w:t xml:space="preserve"> České jazykové znění Dohody a Dodatku má přednost před zněním anglickým.</w:t>
            </w:r>
          </w:p>
        </w:tc>
        <w:tc>
          <w:tcPr>
            <w:tcW w:w="4842" w:type="dxa"/>
          </w:tcPr>
          <w:p w14:paraId="4B8362FA" w14:textId="419EB451" w:rsidR="008B70EB" w:rsidRPr="00AE784D" w:rsidRDefault="004A1EFB" w:rsidP="00C5619B">
            <w:pPr>
              <w:pStyle w:val="ENClanek11"/>
              <w:rPr>
                <w:szCs w:val="32"/>
              </w:rPr>
            </w:pPr>
            <w:r w:rsidRPr="00AE784D">
              <w:rPr>
                <w:szCs w:val="32"/>
              </w:rPr>
              <w:t xml:space="preserve">Appendix </w:t>
            </w:r>
            <w:r w:rsidR="00776F9F" w:rsidRPr="00AE784D">
              <w:rPr>
                <w:b/>
                <w:bCs/>
                <w:szCs w:val="32"/>
              </w:rPr>
              <w:t>1</w:t>
            </w:r>
            <w:r w:rsidRPr="00AE784D">
              <w:rPr>
                <w:szCs w:val="32"/>
              </w:rPr>
              <w:t xml:space="preserve"> constitutes an integral part of this Amendment.</w:t>
            </w:r>
            <w:r w:rsidR="008B70EB" w:rsidRPr="00AE784D">
              <w:rPr>
                <w:szCs w:val="32"/>
              </w:rPr>
              <w:t xml:space="preserve"> The Czech versions of the Agreement and this Amendment prevail their English versions.</w:t>
            </w:r>
          </w:p>
        </w:tc>
      </w:tr>
      <w:tr w:rsidR="003A2521" w:rsidRPr="00512FB9" w14:paraId="2331CA3E" w14:textId="77777777" w:rsidTr="00AE784D">
        <w:tc>
          <w:tcPr>
            <w:tcW w:w="9782" w:type="dxa"/>
            <w:gridSpan w:val="2"/>
          </w:tcPr>
          <w:p w14:paraId="16BB1C1A" w14:textId="5DC11838" w:rsidR="003A2521" w:rsidRPr="00AE784D" w:rsidRDefault="003A2521" w:rsidP="003A2521">
            <w:pPr>
              <w:jc w:val="center"/>
              <w:rPr>
                <w:b/>
                <w:szCs w:val="32"/>
              </w:rPr>
            </w:pPr>
          </w:p>
        </w:tc>
      </w:tr>
      <w:tr w:rsidR="003A2521" w:rsidRPr="00512FB9" w14:paraId="53E5C468" w14:textId="77777777" w:rsidTr="00AE784D">
        <w:tc>
          <w:tcPr>
            <w:tcW w:w="9782" w:type="dxa"/>
            <w:gridSpan w:val="2"/>
          </w:tcPr>
          <w:p w14:paraId="48287A39" w14:textId="77777777" w:rsidR="003A2521" w:rsidRPr="00AE784D" w:rsidRDefault="003A2521" w:rsidP="003A2521">
            <w:pPr>
              <w:pStyle w:val="Zkladntext"/>
              <w:rPr>
                <w:szCs w:val="32"/>
              </w:rPr>
            </w:pPr>
            <w:r w:rsidRPr="00AE784D">
              <w:rPr>
                <w:szCs w:val="32"/>
              </w:rPr>
              <w:t xml:space="preserve">Za společnost / </w:t>
            </w:r>
            <w:proofErr w:type="spellStart"/>
            <w:r w:rsidRPr="00AE784D">
              <w:rPr>
                <w:szCs w:val="32"/>
              </w:rPr>
              <w:t>For</w:t>
            </w:r>
            <w:proofErr w:type="spellEnd"/>
            <w:r w:rsidRPr="00AE784D">
              <w:rPr>
                <w:szCs w:val="32"/>
              </w:rPr>
              <w:t xml:space="preserve"> and on </w:t>
            </w:r>
            <w:proofErr w:type="spellStart"/>
            <w:r w:rsidRPr="00AE784D">
              <w:rPr>
                <w:szCs w:val="32"/>
              </w:rPr>
              <w:t>behalf</w:t>
            </w:r>
            <w:proofErr w:type="spellEnd"/>
            <w:r w:rsidRPr="00AE784D">
              <w:rPr>
                <w:szCs w:val="32"/>
              </w:rPr>
              <w:t xml:space="preserve"> </w:t>
            </w:r>
            <w:proofErr w:type="spellStart"/>
            <w:r w:rsidRPr="00AE784D">
              <w:rPr>
                <w:szCs w:val="32"/>
              </w:rPr>
              <w:t>of</w:t>
            </w:r>
            <w:proofErr w:type="spellEnd"/>
            <w:r w:rsidRPr="00AE784D">
              <w:rPr>
                <w:szCs w:val="32"/>
              </w:rPr>
              <w:t xml:space="preserve"> </w:t>
            </w:r>
            <w:r w:rsidRPr="00AE784D">
              <w:rPr>
                <w:b/>
                <w:bCs/>
                <w:szCs w:val="32"/>
              </w:rPr>
              <w:t xml:space="preserve">Gilead </w:t>
            </w:r>
            <w:proofErr w:type="spellStart"/>
            <w:r w:rsidRPr="00AE784D">
              <w:rPr>
                <w:b/>
                <w:bCs/>
                <w:szCs w:val="32"/>
              </w:rPr>
              <w:t>Sciences</w:t>
            </w:r>
            <w:proofErr w:type="spellEnd"/>
            <w:r w:rsidRPr="00AE784D">
              <w:rPr>
                <w:b/>
                <w:bCs/>
                <w:szCs w:val="32"/>
              </w:rPr>
              <w:t xml:space="preserve"> s.r.o.</w:t>
            </w:r>
          </w:p>
        </w:tc>
      </w:tr>
      <w:tr w:rsidR="003A2521" w:rsidRPr="00512FB9" w14:paraId="57D121D8" w14:textId="77777777" w:rsidTr="00AE784D">
        <w:tc>
          <w:tcPr>
            <w:tcW w:w="4940" w:type="dxa"/>
          </w:tcPr>
          <w:p w14:paraId="30ACB29B" w14:textId="77777777" w:rsidR="003A2521" w:rsidRPr="00AE784D" w:rsidRDefault="003A2521">
            <w:pPr>
              <w:rPr>
                <w:szCs w:val="32"/>
              </w:rPr>
            </w:pPr>
            <w:r w:rsidRPr="00AE784D">
              <w:rPr>
                <w:szCs w:val="32"/>
              </w:rPr>
              <w:t xml:space="preserve">Jméno / Name:  </w:t>
            </w:r>
          </w:p>
        </w:tc>
        <w:tc>
          <w:tcPr>
            <w:tcW w:w="4842" w:type="dxa"/>
          </w:tcPr>
          <w:p w14:paraId="6C4CC291" w14:textId="09E3145B" w:rsidR="003A2521" w:rsidRPr="00AE784D" w:rsidRDefault="009F70CB">
            <w:pPr>
              <w:rPr>
                <w:szCs w:val="32"/>
              </w:rPr>
            </w:pPr>
            <w:r w:rsidRPr="006B5748">
              <w:rPr>
                <w:szCs w:val="32"/>
                <w:highlight w:val="black"/>
              </w:rPr>
              <w:t>Mgr. Jiří Ferda</w:t>
            </w:r>
          </w:p>
        </w:tc>
      </w:tr>
      <w:tr w:rsidR="003A2521" w:rsidRPr="00512FB9" w14:paraId="4894E262" w14:textId="77777777" w:rsidTr="00AE784D">
        <w:tc>
          <w:tcPr>
            <w:tcW w:w="4940" w:type="dxa"/>
          </w:tcPr>
          <w:p w14:paraId="0D0C4E56" w14:textId="77777777" w:rsidR="003A2521" w:rsidRPr="00AE784D" w:rsidRDefault="003A2521">
            <w:pPr>
              <w:rPr>
                <w:szCs w:val="32"/>
              </w:rPr>
            </w:pPr>
            <w:r w:rsidRPr="00AE784D">
              <w:rPr>
                <w:szCs w:val="32"/>
              </w:rPr>
              <w:t xml:space="preserve">Funkce / </w:t>
            </w:r>
            <w:proofErr w:type="spellStart"/>
            <w:r w:rsidRPr="00AE784D">
              <w:rPr>
                <w:szCs w:val="32"/>
              </w:rPr>
              <w:t>Title</w:t>
            </w:r>
            <w:proofErr w:type="spellEnd"/>
          </w:p>
        </w:tc>
        <w:tc>
          <w:tcPr>
            <w:tcW w:w="4842" w:type="dxa"/>
          </w:tcPr>
          <w:p w14:paraId="2C25FE2E" w14:textId="03040367" w:rsidR="003A2521" w:rsidRPr="00AE784D" w:rsidRDefault="00A9555A">
            <w:pPr>
              <w:rPr>
                <w:szCs w:val="32"/>
              </w:rPr>
            </w:pPr>
            <w:r w:rsidRPr="00AE784D">
              <w:rPr>
                <w:szCs w:val="32"/>
              </w:rPr>
              <w:t>P</w:t>
            </w:r>
            <w:r w:rsidR="009F70CB" w:rsidRPr="00AE784D">
              <w:rPr>
                <w:szCs w:val="32"/>
              </w:rPr>
              <w:t>rokurista</w:t>
            </w:r>
            <w:r w:rsidRPr="00AE784D">
              <w:rPr>
                <w:szCs w:val="32"/>
              </w:rPr>
              <w:t xml:space="preserve"> /Proxy</w:t>
            </w:r>
          </w:p>
        </w:tc>
      </w:tr>
      <w:tr w:rsidR="003A2521" w:rsidRPr="00512FB9" w14:paraId="28EC9DE5" w14:textId="77777777" w:rsidTr="00AE784D">
        <w:tc>
          <w:tcPr>
            <w:tcW w:w="4940" w:type="dxa"/>
          </w:tcPr>
          <w:p w14:paraId="12BDA1DF" w14:textId="77777777" w:rsidR="003A2521" w:rsidRPr="00AE784D" w:rsidRDefault="003A2521">
            <w:pPr>
              <w:rPr>
                <w:szCs w:val="32"/>
              </w:rPr>
            </w:pPr>
            <w:r w:rsidRPr="00AE784D">
              <w:rPr>
                <w:szCs w:val="32"/>
              </w:rPr>
              <w:t>Datum / Date:</w:t>
            </w:r>
          </w:p>
        </w:tc>
        <w:tc>
          <w:tcPr>
            <w:tcW w:w="4842" w:type="dxa"/>
          </w:tcPr>
          <w:p w14:paraId="0FF79A71" w14:textId="77777777" w:rsidR="003A2521" w:rsidRPr="00AE784D" w:rsidRDefault="003A2521">
            <w:pPr>
              <w:rPr>
                <w:szCs w:val="32"/>
              </w:rPr>
            </w:pPr>
            <w:r w:rsidRPr="00AE784D">
              <w:rPr>
                <w:noProof/>
                <w:szCs w:val="32"/>
                <w:lang w:val="en"/>
              </w:rPr>
              <w:t>…………………………………….</w:t>
            </w:r>
          </w:p>
        </w:tc>
      </w:tr>
      <w:tr w:rsidR="003A2521" w:rsidRPr="00512FB9" w14:paraId="525DC395" w14:textId="77777777" w:rsidTr="00AE784D">
        <w:tc>
          <w:tcPr>
            <w:tcW w:w="4940" w:type="dxa"/>
          </w:tcPr>
          <w:p w14:paraId="1872208D" w14:textId="77777777" w:rsidR="003A2521" w:rsidRPr="00AE784D" w:rsidRDefault="003A2521">
            <w:pPr>
              <w:rPr>
                <w:szCs w:val="32"/>
              </w:rPr>
            </w:pPr>
          </w:p>
        </w:tc>
        <w:tc>
          <w:tcPr>
            <w:tcW w:w="4842" w:type="dxa"/>
          </w:tcPr>
          <w:p w14:paraId="6D578A33" w14:textId="77777777" w:rsidR="003A2521" w:rsidRPr="00AE784D" w:rsidRDefault="003A2521">
            <w:pPr>
              <w:rPr>
                <w:szCs w:val="32"/>
              </w:rPr>
            </w:pPr>
          </w:p>
        </w:tc>
      </w:tr>
      <w:tr w:rsidR="003A2521" w:rsidRPr="00512FB9" w14:paraId="292676A1" w14:textId="77777777" w:rsidTr="00AE784D">
        <w:tc>
          <w:tcPr>
            <w:tcW w:w="4940" w:type="dxa"/>
          </w:tcPr>
          <w:p w14:paraId="72250B1C" w14:textId="77777777" w:rsidR="003A2521" w:rsidRPr="00AE784D" w:rsidRDefault="003A2521">
            <w:pPr>
              <w:rPr>
                <w:szCs w:val="32"/>
              </w:rPr>
            </w:pPr>
          </w:p>
        </w:tc>
        <w:tc>
          <w:tcPr>
            <w:tcW w:w="4842" w:type="dxa"/>
          </w:tcPr>
          <w:p w14:paraId="1228252A" w14:textId="77777777" w:rsidR="003A2521" w:rsidRPr="00AE784D" w:rsidRDefault="003A2521">
            <w:pPr>
              <w:rPr>
                <w:szCs w:val="32"/>
              </w:rPr>
            </w:pPr>
          </w:p>
        </w:tc>
      </w:tr>
      <w:tr w:rsidR="003A2521" w:rsidRPr="00512FB9" w14:paraId="3012216D" w14:textId="77777777" w:rsidTr="00AE784D">
        <w:tc>
          <w:tcPr>
            <w:tcW w:w="9782" w:type="dxa"/>
            <w:gridSpan w:val="2"/>
          </w:tcPr>
          <w:p w14:paraId="43A1C512" w14:textId="2987C4F7" w:rsidR="003A2521" w:rsidRPr="00AE784D" w:rsidRDefault="003A2521" w:rsidP="003A2521">
            <w:pPr>
              <w:pStyle w:val="Zkladntext"/>
              <w:rPr>
                <w:b/>
                <w:szCs w:val="32"/>
              </w:rPr>
            </w:pPr>
            <w:r w:rsidRPr="00AE784D">
              <w:rPr>
                <w:szCs w:val="32"/>
              </w:rPr>
              <w:t>Za</w:t>
            </w:r>
            <w:r w:rsidRPr="00AE784D">
              <w:rPr>
                <w:noProof/>
                <w:szCs w:val="32"/>
              </w:rPr>
              <w:t xml:space="preserve"> </w:t>
            </w:r>
            <w:r w:rsidRPr="00AE784D">
              <w:rPr>
                <w:szCs w:val="32"/>
              </w:rPr>
              <w:t xml:space="preserve">/ </w:t>
            </w:r>
            <w:r w:rsidRPr="00AE784D">
              <w:rPr>
                <w:szCs w:val="32"/>
                <w:lang w:val="en"/>
              </w:rPr>
              <w:t xml:space="preserve">For and on behalf of </w:t>
            </w:r>
            <w:r w:rsidR="00A43D7C" w:rsidRPr="00AE784D">
              <w:rPr>
                <w:b/>
                <w:bCs/>
                <w:szCs w:val="32"/>
              </w:rPr>
              <w:t>Fakultní nemocnice Plzeň</w:t>
            </w:r>
          </w:p>
        </w:tc>
      </w:tr>
      <w:tr w:rsidR="003A2521" w:rsidRPr="00512FB9" w14:paraId="62878171" w14:textId="77777777" w:rsidTr="00AE784D">
        <w:tc>
          <w:tcPr>
            <w:tcW w:w="4940" w:type="dxa"/>
          </w:tcPr>
          <w:p w14:paraId="42991CED" w14:textId="77777777" w:rsidR="003A2521" w:rsidRPr="00AE784D" w:rsidRDefault="003A2521">
            <w:pPr>
              <w:rPr>
                <w:noProof/>
                <w:szCs w:val="32"/>
              </w:rPr>
            </w:pPr>
            <w:r w:rsidRPr="00AE784D">
              <w:rPr>
                <w:noProof/>
                <w:szCs w:val="32"/>
              </w:rPr>
              <w:t xml:space="preserve">Jméno / </w:t>
            </w:r>
            <w:r w:rsidRPr="00AE784D">
              <w:rPr>
                <w:noProof/>
                <w:szCs w:val="32"/>
                <w:lang w:val="en"/>
              </w:rPr>
              <w:t>Name:</w:t>
            </w:r>
            <w:r w:rsidRPr="00AE784D">
              <w:rPr>
                <w:noProof/>
                <w:szCs w:val="32"/>
              </w:rPr>
              <w:t xml:space="preserve">  </w:t>
            </w:r>
          </w:p>
        </w:tc>
        <w:tc>
          <w:tcPr>
            <w:tcW w:w="4842" w:type="dxa"/>
          </w:tcPr>
          <w:p w14:paraId="06F79122" w14:textId="06C671BF" w:rsidR="003A2521" w:rsidRPr="00AE784D" w:rsidRDefault="0038619B">
            <w:pPr>
              <w:rPr>
                <w:szCs w:val="32"/>
              </w:rPr>
            </w:pPr>
            <w:r w:rsidRPr="00CB018A">
              <w:rPr>
                <w:szCs w:val="32"/>
                <w:highlight w:val="black"/>
              </w:rPr>
              <w:t>d</w:t>
            </w:r>
            <w:r w:rsidR="00C961D4" w:rsidRPr="00CB018A">
              <w:rPr>
                <w:szCs w:val="32"/>
                <w:highlight w:val="black"/>
              </w:rPr>
              <w:t xml:space="preserve">oc. </w:t>
            </w:r>
            <w:r w:rsidR="00A43D7C" w:rsidRPr="00CB018A">
              <w:rPr>
                <w:szCs w:val="32"/>
                <w:highlight w:val="black"/>
              </w:rPr>
              <w:t>MUDr. Václav Šimánek, Ph.D.</w:t>
            </w:r>
            <w:r w:rsidR="00A43D7C" w:rsidRPr="00AE784D">
              <w:rPr>
                <w:szCs w:val="32"/>
              </w:rPr>
              <w:t> </w:t>
            </w:r>
          </w:p>
        </w:tc>
      </w:tr>
      <w:tr w:rsidR="003A2521" w:rsidRPr="00512FB9" w14:paraId="1B3C3F10" w14:textId="77777777" w:rsidTr="00AE784D">
        <w:tc>
          <w:tcPr>
            <w:tcW w:w="4940" w:type="dxa"/>
          </w:tcPr>
          <w:p w14:paraId="037DBFD2" w14:textId="77777777" w:rsidR="003A2521" w:rsidRPr="00AE784D" w:rsidRDefault="003A2521">
            <w:pPr>
              <w:rPr>
                <w:noProof/>
                <w:szCs w:val="32"/>
              </w:rPr>
            </w:pPr>
            <w:r w:rsidRPr="00AE784D">
              <w:rPr>
                <w:noProof/>
                <w:szCs w:val="32"/>
              </w:rPr>
              <w:t xml:space="preserve">Funkce / </w:t>
            </w:r>
            <w:r w:rsidRPr="00AE784D">
              <w:rPr>
                <w:noProof/>
                <w:szCs w:val="32"/>
                <w:lang w:val="en"/>
              </w:rPr>
              <w:t>Title</w:t>
            </w:r>
          </w:p>
        </w:tc>
        <w:tc>
          <w:tcPr>
            <w:tcW w:w="4842" w:type="dxa"/>
          </w:tcPr>
          <w:p w14:paraId="0A3480C2" w14:textId="30303621" w:rsidR="003A2521" w:rsidRPr="00AE784D" w:rsidRDefault="00A9555A">
            <w:pPr>
              <w:rPr>
                <w:szCs w:val="32"/>
              </w:rPr>
            </w:pPr>
            <w:r w:rsidRPr="00AE784D">
              <w:rPr>
                <w:szCs w:val="32"/>
              </w:rPr>
              <w:t>Ř</w:t>
            </w:r>
            <w:r w:rsidR="00A43D7C" w:rsidRPr="00AE784D">
              <w:rPr>
                <w:szCs w:val="32"/>
              </w:rPr>
              <w:t xml:space="preserve">editel/ </w:t>
            </w:r>
            <w:proofErr w:type="spellStart"/>
            <w:r w:rsidR="00A43D7C" w:rsidRPr="00AE784D">
              <w:rPr>
                <w:szCs w:val="32"/>
              </w:rPr>
              <w:t>Director</w:t>
            </w:r>
            <w:proofErr w:type="spellEnd"/>
            <w:r w:rsidR="00A43D7C" w:rsidRPr="00AE784D">
              <w:rPr>
                <w:szCs w:val="32"/>
              </w:rPr>
              <w:t> </w:t>
            </w:r>
          </w:p>
        </w:tc>
      </w:tr>
      <w:tr w:rsidR="003A2521" w:rsidRPr="00512FB9" w14:paraId="5DB066C9" w14:textId="77777777" w:rsidTr="00AE784D">
        <w:tc>
          <w:tcPr>
            <w:tcW w:w="4940" w:type="dxa"/>
          </w:tcPr>
          <w:p w14:paraId="714BFF35" w14:textId="77777777" w:rsidR="003A2521" w:rsidRPr="00AE784D" w:rsidRDefault="003A2521" w:rsidP="00C334F1">
            <w:pPr>
              <w:pStyle w:val="Zkladntext"/>
              <w:spacing w:after="0"/>
              <w:rPr>
                <w:bCs/>
                <w:noProof/>
                <w:szCs w:val="32"/>
              </w:rPr>
            </w:pPr>
            <w:r w:rsidRPr="00AE784D">
              <w:rPr>
                <w:noProof/>
                <w:szCs w:val="32"/>
              </w:rPr>
              <w:t xml:space="preserve">Datum / </w:t>
            </w:r>
            <w:r w:rsidRPr="00AE784D">
              <w:rPr>
                <w:noProof/>
                <w:szCs w:val="32"/>
                <w:lang w:val="en"/>
              </w:rPr>
              <w:t>Date:</w:t>
            </w:r>
          </w:p>
        </w:tc>
        <w:tc>
          <w:tcPr>
            <w:tcW w:w="4842" w:type="dxa"/>
          </w:tcPr>
          <w:p w14:paraId="0B8A8F84" w14:textId="77777777" w:rsidR="003A2521" w:rsidRPr="00AE784D" w:rsidRDefault="003A2521" w:rsidP="00C334F1">
            <w:pPr>
              <w:spacing w:after="0"/>
              <w:rPr>
                <w:szCs w:val="32"/>
              </w:rPr>
            </w:pPr>
            <w:r w:rsidRPr="00AE784D">
              <w:rPr>
                <w:noProof/>
                <w:szCs w:val="32"/>
                <w:lang w:val="en"/>
              </w:rPr>
              <w:t>…………………………………….</w:t>
            </w:r>
          </w:p>
        </w:tc>
      </w:tr>
    </w:tbl>
    <w:p w14:paraId="40E64665" w14:textId="77777777" w:rsidR="00796C1F" w:rsidRPr="00512FB9" w:rsidRDefault="00796C1F">
      <w:pPr>
        <w:spacing w:before="0" w:after="0"/>
        <w:jc w:val="left"/>
      </w:pPr>
      <w:r w:rsidRPr="00512FB9">
        <w:br w:type="page"/>
      </w:r>
    </w:p>
    <w:tbl>
      <w:tblPr>
        <w:tblW w:w="9401" w:type="dxa"/>
        <w:tblInd w:w="-5" w:type="dxa"/>
        <w:tblCellMar>
          <w:left w:w="10" w:type="dxa"/>
          <w:right w:w="10" w:type="dxa"/>
        </w:tblCellMar>
        <w:tblLook w:val="0000" w:firstRow="0" w:lastRow="0" w:firstColumn="0" w:lastColumn="0" w:noHBand="0" w:noVBand="0"/>
      </w:tblPr>
      <w:tblGrid>
        <w:gridCol w:w="4698"/>
        <w:gridCol w:w="4703"/>
      </w:tblGrid>
      <w:tr w:rsidR="00A05D99" w:rsidRPr="00512FB9" w14:paraId="45655E35" w14:textId="77777777">
        <w:tc>
          <w:tcPr>
            <w:tcW w:w="4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72086" w14:textId="56C5534E" w:rsidR="00A05D99" w:rsidRPr="00562ABC" w:rsidRDefault="00A05D99" w:rsidP="002C2865">
            <w:pPr>
              <w:pStyle w:val="CMSANParties"/>
              <w:numPr>
                <w:ilvl w:val="0"/>
                <w:numId w:val="0"/>
              </w:numPr>
              <w:suppressAutoHyphens/>
              <w:autoSpaceDN w:val="0"/>
              <w:ind w:left="313" w:hanging="426"/>
              <w:jc w:val="center"/>
              <w:textAlignment w:val="baseline"/>
              <w:rPr>
                <w:rFonts w:cs="Times New Roman"/>
                <w:b/>
                <w:bCs/>
              </w:rPr>
            </w:pPr>
            <w:proofErr w:type="spellStart"/>
            <w:r w:rsidRPr="00562ABC">
              <w:rPr>
                <w:rFonts w:cs="Times New Roman"/>
                <w:b/>
                <w:bCs/>
                <w:lang w:eastAsia="cs-CZ"/>
              </w:rPr>
              <w:lastRenderedPageBreak/>
              <w:t>Příloha</w:t>
            </w:r>
            <w:proofErr w:type="spellEnd"/>
            <w:r w:rsidRPr="00562ABC">
              <w:rPr>
                <w:rFonts w:cs="Times New Roman"/>
                <w:b/>
                <w:bCs/>
                <w:lang w:eastAsia="cs-CZ"/>
              </w:rPr>
              <w:t xml:space="preserve"> č. 1</w:t>
            </w:r>
          </w:p>
        </w:tc>
        <w:tc>
          <w:tcPr>
            <w:tcW w:w="4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77738" w14:textId="568EBBE9" w:rsidR="00A05D99" w:rsidRPr="00562ABC" w:rsidRDefault="00A05D99" w:rsidP="002C2865">
            <w:pPr>
              <w:pStyle w:val="CMSANParties"/>
              <w:numPr>
                <w:ilvl w:val="0"/>
                <w:numId w:val="0"/>
              </w:numPr>
              <w:suppressAutoHyphens/>
              <w:autoSpaceDN w:val="0"/>
              <w:ind w:left="-130"/>
              <w:jc w:val="center"/>
              <w:textAlignment w:val="baseline"/>
              <w:rPr>
                <w:rFonts w:cs="Times New Roman"/>
                <w:b/>
                <w:bCs/>
              </w:rPr>
            </w:pPr>
            <w:r w:rsidRPr="00562ABC">
              <w:rPr>
                <w:rFonts w:cs="Times New Roman"/>
                <w:b/>
                <w:bCs/>
                <w:lang w:eastAsia="cs-CZ"/>
              </w:rPr>
              <w:t>Appendix 1</w:t>
            </w:r>
          </w:p>
        </w:tc>
      </w:tr>
      <w:tr w:rsidR="00A05D99" w:rsidRPr="00512FB9" w14:paraId="6A418885" w14:textId="77777777">
        <w:tc>
          <w:tcPr>
            <w:tcW w:w="4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C004D" w14:textId="77777777" w:rsidR="00A05D99" w:rsidRPr="00562ABC" w:rsidRDefault="00A05D99">
            <w:pPr>
              <w:pStyle w:val="Zkladntext"/>
              <w:rPr>
                <w:szCs w:val="22"/>
              </w:rPr>
            </w:pPr>
            <w:r w:rsidRPr="00562ABC">
              <w:rPr>
                <w:b/>
                <w:bCs/>
                <w:szCs w:val="22"/>
                <w:lang w:eastAsia="cs-CZ"/>
              </w:rPr>
              <w:t xml:space="preserve">Obratový bonus </w:t>
            </w:r>
          </w:p>
        </w:tc>
        <w:tc>
          <w:tcPr>
            <w:tcW w:w="4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47D22" w14:textId="77777777" w:rsidR="00A05D99" w:rsidRPr="00562ABC" w:rsidRDefault="00A05D99">
            <w:pPr>
              <w:pStyle w:val="Zkladntext"/>
              <w:rPr>
                <w:szCs w:val="22"/>
              </w:rPr>
            </w:pPr>
            <w:r w:rsidRPr="00562ABC">
              <w:rPr>
                <w:b/>
                <w:bCs/>
                <w:szCs w:val="22"/>
                <w:lang w:val="en" w:eastAsia="cs-CZ"/>
              </w:rPr>
              <w:t xml:space="preserve">Turnover bonus </w:t>
            </w:r>
          </w:p>
        </w:tc>
      </w:tr>
      <w:tr w:rsidR="00A05D99" w:rsidRPr="00512FB9" w14:paraId="396ED63B" w14:textId="77777777">
        <w:tc>
          <w:tcPr>
            <w:tcW w:w="4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F4A3A" w14:textId="77777777" w:rsidR="00A05D99" w:rsidRPr="00562ABC" w:rsidRDefault="00A05D99">
            <w:pPr>
              <w:pStyle w:val="Zkladntext"/>
              <w:tabs>
                <w:tab w:val="left" w:pos="1980"/>
              </w:tabs>
              <w:rPr>
                <w:szCs w:val="22"/>
                <w:lang w:eastAsia="cs-CZ"/>
              </w:rPr>
            </w:pPr>
            <w:r w:rsidRPr="00562ABC">
              <w:rPr>
                <w:szCs w:val="22"/>
                <w:lang w:eastAsia="cs-CZ"/>
              </w:rPr>
              <w:t>Bonus bude vypočten dle níže uvedeného vzorce:</w:t>
            </w:r>
          </w:p>
        </w:tc>
        <w:tc>
          <w:tcPr>
            <w:tcW w:w="4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F9333" w14:textId="77777777" w:rsidR="00A05D99" w:rsidRPr="00562ABC" w:rsidRDefault="00A05D99">
            <w:pPr>
              <w:pStyle w:val="Zkladntext"/>
              <w:tabs>
                <w:tab w:val="left" w:pos="1980"/>
              </w:tabs>
              <w:rPr>
                <w:szCs w:val="22"/>
              </w:rPr>
            </w:pPr>
            <w:r w:rsidRPr="00562ABC">
              <w:rPr>
                <w:szCs w:val="22"/>
                <w:lang w:val="en" w:eastAsia="cs-CZ"/>
              </w:rPr>
              <w:t>The bonus will be calculated according to the formula below:</w:t>
            </w:r>
          </w:p>
        </w:tc>
      </w:tr>
      <w:tr w:rsidR="00507345" w:rsidRPr="00512FB9" w14:paraId="2581D441" w14:textId="77777777">
        <w:tc>
          <w:tcPr>
            <w:tcW w:w="94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6AF97" w14:textId="707D3330" w:rsidR="00507345" w:rsidRPr="00562ABC" w:rsidRDefault="00CD1FAC" w:rsidP="003726F0">
            <w:pPr>
              <w:pStyle w:val="Zkladntext"/>
              <w:tabs>
                <w:tab w:val="left" w:pos="1980"/>
              </w:tabs>
              <w:jc w:val="left"/>
              <w:rPr>
                <w:b/>
                <w:bCs/>
                <w:szCs w:val="22"/>
                <w:lang w:eastAsia="cs-CZ"/>
              </w:rPr>
            </w:pPr>
            <w:r w:rsidRPr="00562ABC">
              <w:rPr>
                <w:b/>
                <w:bCs/>
                <w:szCs w:val="22"/>
                <w:lang w:eastAsia="cs-CZ"/>
              </w:rPr>
              <w:t>R</w:t>
            </w:r>
            <w:r w:rsidR="004C319C" w:rsidRPr="00562ABC">
              <w:rPr>
                <w:b/>
                <w:bCs/>
                <w:szCs w:val="22"/>
                <w:lang w:eastAsia="cs-CZ"/>
              </w:rPr>
              <w:t>eferenční období:</w:t>
            </w:r>
            <w:r w:rsidR="004C319C" w:rsidRPr="00562ABC">
              <w:rPr>
                <w:szCs w:val="22"/>
              </w:rPr>
              <w:t xml:space="preserve"> </w:t>
            </w:r>
            <w:proofErr w:type="gramStart"/>
            <w:r w:rsidR="004C319C" w:rsidRPr="00562ABC">
              <w:rPr>
                <w:b/>
                <w:bCs/>
                <w:szCs w:val="22"/>
                <w:lang w:eastAsia="cs-CZ"/>
              </w:rPr>
              <w:t>září – prosinec</w:t>
            </w:r>
            <w:proofErr w:type="gramEnd"/>
            <w:r w:rsidR="004C319C" w:rsidRPr="00562ABC">
              <w:rPr>
                <w:b/>
                <w:bCs/>
                <w:szCs w:val="22"/>
                <w:lang w:eastAsia="cs-CZ"/>
              </w:rPr>
              <w:t xml:space="preserve"> 2025</w:t>
            </w:r>
            <w:r w:rsidR="007579E3" w:rsidRPr="00562ABC">
              <w:rPr>
                <w:b/>
                <w:bCs/>
                <w:szCs w:val="22"/>
                <w:lang w:eastAsia="cs-CZ"/>
              </w:rPr>
              <w:t>:</w:t>
            </w:r>
            <w:r w:rsidR="004C319C" w:rsidRPr="00562ABC">
              <w:rPr>
                <w:b/>
                <w:bCs/>
                <w:szCs w:val="22"/>
                <w:lang w:eastAsia="cs-CZ"/>
              </w:rPr>
              <w:t xml:space="preserve"> // Reference period: </w:t>
            </w:r>
            <w:proofErr w:type="spellStart"/>
            <w:r w:rsidR="004C319C" w:rsidRPr="00562ABC">
              <w:rPr>
                <w:b/>
                <w:bCs/>
                <w:szCs w:val="22"/>
                <w:lang w:eastAsia="cs-CZ"/>
              </w:rPr>
              <w:t>September</w:t>
            </w:r>
            <w:proofErr w:type="spellEnd"/>
            <w:r w:rsidR="004C319C" w:rsidRPr="00562ABC">
              <w:rPr>
                <w:b/>
                <w:bCs/>
                <w:szCs w:val="22"/>
                <w:lang w:eastAsia="cs-CZ"/>
              </w:rPr>
              <w:t xml:space="preserve"> – </w:t>
            </w:r>
            <w:proofErr w:type="spellStart"/>
            <w:r w:rsidR="004C319C" w:rsidRPr="00562ABC">
              <w:rPr>
                <w:b/>
                <w:bCs/>
                <w:szCs w:val="22"/>
                <w:lang w:eastAsia="cs-CZ"/>
              </w:rPr>
              <w:t>December</w:t>
            </w:r>
            <w:proofErr w:type="spellEnd"/>
            <w:r w:rsidR="004C319C" w:rsidRPr="00562ABC">
              <w:rPr>
                <w:b/>
                <w:bCs/>
                <w:szCs w:val="22"/>
                <w:lang w:eastAsia="cs-CZ"/>
              </w:rPr>
              <w:t xml:space="preserve"> 2025</w:t>
            </w:r>
            <w:r w:rsidR="007579E3" w:rsidRPr="00562ABC">
              <w:rPr>
                <w:b/>
                <w:bCs/>
                <w:szCs w:val="22"/>
                <w:lang w:eastAsia="cs-CZ"/>
              </w:rPr>
              <w:t>:</w:t>
            </w:r>
          </w:p>
          <w:tbl>
            <w:tblPr>
              <w:tblW w:w="8930" w:type="dxa"/>
              <w:tblInd w:w="164" w:type="dxa"/>
              <w:tblCellMar>
                <w:left w:w="10" w:type="dxa"/>
                <w:right w:w="10" w:type="dxa"/>
              </w:tblCellMar>
              <w:tblLook w:val="0000" w:firstRow="0" w:lastRow="0" w:firstColumn="0" w:lastColumn="0" w:noHBand="0" w:noVBand="0"/>
            </w:tblPr>
            <w:tblGrid>
              <w:gridCol w:w="2839"/>
              <w:gridCol w:w="2594"/>
              <w:gridCol w:w="3497"/>
            </w:tblGrid>
            <w:tr w:rsidR="00507345" w:rsidRPr="00562ABC" w14:paraId="12B97F1A" w14:textId="77777777">
              <w:trPr>
                <w:trHeight w:val="465"/>
              </w:trPr>
              <w:tc>
                <w:tcPr>
                  <w:tcW w:w="2839" w:type="dxa"/>
                  <w:tcBorders>
                    <w:top w:val="single" w:sz="8" w:space="0" w:color="000000"/>
                    <w:left w:val="single" w:sz="8" w:space="0" w:color="000000"/>
                    <w:bottom w:val="single" w:sz="4" w:space="0" w:color="000000"/>
                    <w:right w:val="single" w:sz="4" w:space="0" w:color="000000"/>
                  </w:tcBorders>
                  <w:noWrap/>
                  <w:tcMar>
                    <w:top w:w="0" w:type="dxa"/>
                    <w:left w:w="108" w:type="dxa"/>
                    <w:bottom w:w="0" w:type="dxa"/>
                    <w:right w:w="108" w:type="dxa"/>
                  </w:tcMar>
                  <w:vAlign w:val="bottom"/>
                </w:tcPr>
                <w:p w14:paraId="331B1929" w14:textId="77777777" w:rsidR="00507345" w:rsidRPr="00562ABC" w:rsidRDefault="00507345" w:rsidP="00507345">
                  <w:pPr>
                    <w:jc w:val="center"/>
                    <w:rPr>
                      <w:b/>
                      <w:bCs/>
                      <w:color w:val="000000"/>
                      <w:szCs w:val="22"/>
                      <w:lang w:val="en-US"/>
                    </w:rPr>
                  </w:pPr>
                  <w:r w:rsidRPr="00562ABC">
                    <w:rPr>
                      <w:b/>
                      <w:bCs/>
                      <w:color w:val="000000"/>
                      <w:szCs w:val="22"/>
                      <w:lang w:val="en-US"/>
                    </w:rPr>
                    <w:t>Condition</w:t>
                  </w:r>
                </w:p>
              </w:tc>
              <w:tc>
                <w:tcPr>
                  <w:tcW w:w="2594" w:type="dxa"/>
                  <w:tcBorders>
                    <w:top w:val="single" w:sz="8" w:space="0" w:color="000000"/>
                    <w:bottom w:val="single" w:sz="4" w:space="0" w:color="000000"/>
                    <w:right w:val="single" w:sz="4" w:space="0" w:color="000000"/>
                  </w:tcBorders>
                  <w:noWrap/>
                  <w:tcMar>
                    <w:top w:w="0" w:type="dxa"/>
                    <w:left w:w="108" w:type="dxa"/>
                    <w:bottom w:w="0" w:type="dxa"/>
                    <w:right w:w="108" w:type="dxa"/>
                  </w:tcMar>
                  <w:vAlign w:val="bottom"/>
                </w:tcPr>
                <w:p w14:paraId="31A1038D" w14:textId="77777777" w:rsidR="00507345" w:rsidRPr="00562ABC" w:rsidRDefault="00507345" w:rsidP="00507345">
                  <w:pPr>
                    <w:jc w:val="center"/>
                    <w:rPr>
                      <w:b/>
                      <w:bCs/>
                      <w:color w:val="000000"/>
                      <w:szCs w:val="22"/>
                      <w:lang w:val="en-US"/>
                    </w:rPr>
                  </w:pPr>
                  <w:r w:rsidRPr="00562ABC">
                    <w:rPr>
                      <w:b/>
                      <w:bCs/>
                      <w:color w:val="000000"/>
                      <w:szCs w:val="22"/>
                      <w:lang w:val="en-US"/>
                    </w:rPr>
                    <w:t>Threshold (CZK)</w:t>
                  </w:r>
                </w:p>
              </w:tc>
              <w:tc>
                <w:tcPr>
                  <w:tcW w:w="3497" w:type="dxa"/>
                  <w:tcBorders>
                    <w:top w:val="single" w:sz="8" w:space="0" w:color="000000"/>
                    <w:bottom w:val="single" w:sz="4" w:space="0" w:color="000000"/>
                    <w:right w:val="single" w:sz="4" w:space="0" w:color="000000"/>
                  </w:tcBorders>
                  <w:noWrap/>
                  <w:tcMar>
                    <w:top w:w="0" w:type="dxa"/>
                    <w:left w:w="108" w:type="dxa"/>
                    <w:bottom w:w="0" w:type="dxa"/>
                    <w:right w:w="108" w:type="dxa"/>
                  </w:tcMar>
                  <w:vAlign w:val="bottom"/>
                </w:tcPr>
                <w:p w14:paraId="091200E8" w14:textId="77777777" w:rsidR="00507345" w:rsidRPr="00562ABC" w:rsidRDefault="00507345" w:rsidP="00507345">
                  <w:pPr>
                    <w:jc w:val="center"/>
                    <w:rPr>
                      <w:b/>
                      <w:bCs/>
                      <w:color w:val="000000"/>
                      <w:szCs w:val="22"/>
                      <w:lang w:val="en-US"/>
                    </w:rPr>
                  </w:pPr>
                  <w:r w:rsidRPr="00562ABC">
                    <w:rPr>
                      <w:b/>
                      <w:bCs/>
                      <w:color w:val="000000"/>
                      <w:szCs w:val="22"/>
                      <w:lang w:val="en-US"/>
                    </w:rPr>
                    <w:t>Rebate (CZK)</w:t>
                  </w:r>
                </w:p>
              </w:tc>
            </w:tr>
            <w:tr w:rsidR="00507345" w:rsidRPr="00562ABC" w14:paraId="1BC3741E" w14:textId="77777777">
              <w:trPr>
                <w:trHeight w:val="465"/>
              </w:trPr>
              <w:tc>
                <w:tcPr>
                  <w:tcW w:w="2839"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bottom"/>
                </w:tcPr>
                <w:p w14:paraId="714DD279" w14:textId="77777777" w:rsidR="00507345" w:rsidRPr="00562ABC" w:rsidRDefault="00507345" w:rsidP="00507345">
                  <w:pPr>
                    <w:jc w:val="center"/>
                    <w:rPr>
                      <w:color w:val="000000"/>
                      <w:szCs w:val="22"/>
                      <w:lang w:val="en-US"/>
                    </w:rPr>
                  </w:pPr>
                  <w:r w:rsidRPr="00562ABC">
                    <w:rPr>
                      <w:color w:val="000000"/>
                      <w:szCs w:val="22"/>
                      <w:lang w:val="en-US"/>
                    </w:rPr>
                    <w:t>&gt;=</w:t>
                  </w:r>
                </w:p>
              </w:tc>
              <w:tc>
                <w:tcPr>
                  <w:tcW w:w="2594" w:type="dxa"/>
                  <w:tcBorders>
                    <w:bottom w:val="single" w:sz="4" w:space="0" w:color="000000"/>
                    <w:right w:val="single" w:sz="4" w:space="0" w:color="000000"/>
                  </w:tcBorders>
                  <w:noWrap/>
                  <w:tcMar>
                    <w:top w:w="0" w:type="dxa"/>
                    <w:left w:w="108" w:type="dxa"/>
                    <w:bottom w:w="0" w:type="dxa"/>
                    <w:right w:w="108" w:type="dxa"/>
                  </w:tcMar>
                  <w:vAlign w:val="bottom"/>
                </w:tcPr>
                <w:p w14:paraId="5190577A" w14:textId="74C85A40" w:rsidR="00507345" w:rsidRPr="006B5748" w:rsidRDefault="006710F7" w:rsidP="00507345">
                  <w:pPr>
                    <w:jc w:val="center"/>
                    <w:rPr>
                      <w:color w:val="000000"/>
                      <w:szCs w:val="22"/>
                      <w:highlight w:val="black"/>
                      <w:lang w:val="en-US"/>
                    </w:rPr>
                  </w:pPr>
                  <w:r w:rsidRPr="006B5748">
                    <w:rPr>
                      <w:color w:val="000000"/>
                      <w:szCs w:val="22"/>
                      <w:highlight w:val="black"/>
                      <w:lang w:val="en-US"/>
                    </w:rPr>
                    <w:t>500 000</w:t>
                  </w:r>
                </w:p>
              </w:tc>
              <w:tc>
                <w:tcPr>
                  <w:tcW w:w="3497" w:type="dxa"/>
                  <w:tcBorders>
                    <w:bottom w:val="single" w:sz="4" w:space="0" w:color="000000"/>
                    <w:right w:val="single" w:sz="4" w:space="0" w:color="000000"/>
                  </w:tcBorders>
                  <w:noWrap/>
                  <w:tcMar>
                    <w:top w:w="0" w:type="dxa"/>
                    <w:left w:w="108" w:type="dxa"/>
                    <w:bottom w:w="0" w:type="dxa"/>
                    <w:right w:w="108" w:type="dxa"/>
                  </w:tcMar>
                  <w:vAlign w:val="bottom"/>
                </w:tcPr>
                <w:p w14:paraId="2978D656" w14:textId="5690EFDB" w:rsidR="00507345" w:rsidRPr="006B5748" w:rsidRDefault="006710F7" w:rsidP="00507345">
                  <w:pPr>
                    <w:jc w:val="center"/>
                    <w:rPr>
                      <w:color w:val="000000"/>
                      <w:szCs w:val="22"/>
                      <w:highlight w:val="black"/>
                      <w:lang w:val="en-US"/>
                    </w:rPr>
                  </w:pPr>
                  <w:r w:rsidRPr="006B5748">
                    <w:rPr>
                      <w:color w:val="000000"/>
                      <w:szCs w:val="22"/>
                      <w:highlight w:val="black"/>
                      <w:lang w:val="en-US"/>
                    </w:rPr>
                    <w:t>40 000</w:t>
                  </w:r>
                </w:p>
              </w:tc>
            </w:tr>
            <w:tr w:rsidR="00507345" w:rsidRPr="00562ABC" w14:paraId="6E230086" w14:textId="77777777">
              <w:trPr>
                <w:trHeight w:val="465"/>
              </w:trPr>
              <w:tc>
                <w:tcPr>
                  <w:tcW w:w="2839"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bottom"/>
                </w:tcPr>
                <w:p w14:paraId="344A5254" w14:textId="77777777" w:rsidR="00507345" w:rsidRPr="00562ABC" w:rsidRDefault="00507345" w:rsidP="00507345">
                  <w:pPr>
                    <w:jc w:val="center"/>
                    <w:rPr>
                      <w:color w:val="000000"/>
                      <w:szCs w:val="22"/>
                      <w:lang w:val="en-US"/>
                    </w:rPr>
                  </w:pPr>
                  <w:r w:rsidRPr="00562ABC">
                    <w:rPr>
                      <w:color w:val="000000"/>
                      <w:szCs w:val="22"/>
                      <w:lang w:val="en-US"/>
                    </w:rPr>
                    <w:t>&gt;=</w:t>
                  </w:r>
                </w:p>
              </w:tc>
              <w:tc>
                <w:tcPr>
                  <w:tcW w:w="2594" w:type="dxa"/>
                  <w:tcBorders>
                    <w:bottom w:val="single" w:sz="4" w:space="0" w:color="000000"/>
                    <w:right w:val="single" w:sz="4" w:space="0" w:color="000000"/>
                  </w:tcBorders>
                  <w:noWrap/>
                  <w:tcMar>
                    <w:top w:w="0" w:type="dxa"/>
                    <w:left w:w="108" w:type="dxa"/>
                    <w:bottom w:w="0" w:type="dxa"/>
                    <w:right w:w="108" w:type="dxa"/>
                  </w:tcMar>
                  <w:vAlign w:val="bottom"/>
                </w:tcPr>
                <w:p w14:paraId="22453988" w14:textId="71377C91" w:rsidR="00507345" w:rsidRPr="006B5748" w:rsidRDefault="006710F7" w:rsidP="00507345">
                  <w:pPr>
                    <w:jc w:val="center"/>
                    <w:rPr>
                      <w:color w:val="000000"/>
                      <w:szCs w:val="22"/>
                      <w:highlight w:val="black"/>
                      <w:lang w:val="en-US"/>
                    </w:rPr>
                  </w:pPr>
                  <w:r w:rsidRPr="006B5748">
                    <w:rPr>
                      <w:color w:val="000000"/>
                      <w:szCs w:val="22"/>
                      <w:highlight w:val="black"/>
                      <w:lang w:val="en-US"/>
                    </w:rPr>
                    <w:t>1 250 000</w:t>
                  </w:r>
                </w:p>
              </w:tc>
              <w:tc>
                <w:tcPr>
                  <w:tcW w:w="3497" w:type="dxa"/>
                  <w:tcBorders>
                    <w:bottom w:val="single" w:sz="4" w:space="0" w:color="000000"/>
                    <w:right w:val="single" w:sz="4" w:space="0" w:color="000000"/>
                  </w:tcBorders>
                  <w:noWrap/>
                  <w:tcMar>
                    <w:top w:w="0" w:type="dxa"/>
                    <w:left w:w="108" w:type="dxa"/>
                    <w:bottom w:w="0" w:type="dxa"/>
                    <w:right w:w="108" w:type="dxa"/>
                  </w:tcMar>
                  <w:vAlign w:val="bottom"/>
                </w:tcPr>
                <w:p w14:paraId="54BCE827" w14:textId="3720CE25" w:rsidR="00507345" w:rsidRPr="006B5748" w:rsidRDefault="00EF6550" w:rsidP="00507345">
                  <w:pPr>
                    <w:jc w:val="center"/>
                    <w:rPr>
                      <w:color w:val="000000"/>
                      <w:szCs w:val="22"/>
                      <w:highlight w:val="black"/>
                      <w:lang w:val="en-US"/>
                    </w:rPr>
                  </w:pPr>
                  <w:r w:rsidRPr="006B5748">
                    <w:rPr>
                      <w:color w:val="000000"/>
                      <w:szCs w:val="22"/>
                      <w:highlight w:val="black"/>
                      <w:lang w:val="en-US"/>
                    </w:rPr>
                    <w:t>125 000</w:t>
                  </w:r>
                </w:p>
              </w:tc>
            </w:tr>
            <w:tr w:rsidR="00507345" w:rsidRPr="00562ABC" w14:paraId="3DA8D353" w14:textId="77777777">
              <w:trPr>
                <w:trHeight w:val="465"/>
              </w:trPr>
              <w:tc>
                <w:tcPr>
                  <w:tcW w:w="2839"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bottom"/>
                </w:tcPr>
                <w:p w14:paraId="4FD80525" w14:textId="77777777" w:rsidR="00507345" w:rsidRPr="00562ABC" w:rsidRDefault="00507345" w:rsidP="00507345">
                  <w:pPr>
                    <w:jc w:val="center"/>
                    <w:rPr>
                      <w:color w:val="000000"/>
                      <w:szCs w:val="22"/>
                      <w:lang w:val="en-US"/>
                    </w:rPr>
                  </w:pPr>
                  <w:r w:rsidRPr="00562ABC">
                    <w:rPr>
                      <w:color w:val="000000"/>
                      <w:szCs w:val="22"/>
                      <w:lang w:val="en-US"/>
                    </w:rPr>
                    <w:t>&gt;=</w:t>
                  </w:r>
                </w:p>
              </w:tc>
              <w:tc>
                <w:tcPr>
                  <w:tcW w:w="2594" w:type="dxa"/>
                  <w:tcBorders>
                    <w:bottom w:val="single" w:sz="4" w:space="0" w:color="000000"/>
                    <w:right w:val="single" w:sz="4" w:space="0" w:color="000000"/>
                  </w:tcBorders>
                  <w:noWrap/>
                  <w:tcMar>
                    <w:top w:w="0" w:type="dxa"/>
                    <w:left w:w="108" w:type="dxa"/>
                    <w:bottom w:w="0" w:type="dxa"/>
                    <w:right w:w="108" w:type="dxa"/>
                  </w:tcMar>
                  <w:vAlign w:val="bottom"/>
                </w:tcPr>
                <w:p w14:paraId="2D4A4F02" w14:textId="1BFA7EF2" w:rsidR="00507345" w:rsidRPr="006B5748" w:rsidRDefault="00EF6550" w:rsidP="00507345">
                  <w:pPr>
                    <w:jc w:val="center"/>
                    <w:rPr>
                      <w:color w:val="000000"/>
                      <w:szCs w:val="22"/>
                      <w:highlight w:val="black"/>
                      <w:lang w:val="en-US"/>
                    </w:rPr>
                  </w:pPr>
                  <w:r w:rsidRPr="006B5748">
                    <w:rPr>
                      <w:color w:val="000000"/>
                      <w:szCs w:val="22"/>
                      <w:highlight w:val="black"/>
                      <w:lang w:val="en-US"/>
                    </w:rPr>
                    <w:t>2 500 000</w:t>
                  </w:r>
                </w:p>
              </w:tc>
              <w:tc>
                <w:tcPr>
                  <w:tcW w:w="3497" w:type="dxa"/>
                  <w:tcBorders>
                    <w:bottom w:val="single" w:sz="4" w:space="0" w:color="000000"/>
                    <w:right w:val="single" w:sz="4" w:space="0" w:color="000000"/>
                  </w:tcBorders>
                  <w:noWrap/>
                  <w:tcMar>
                    <w:top w:w="0" w:type="dxa"/>
                    <w:left w:w="108" w:type="dxa"/>
                    <w:bottom w:w="0" w:type="dxa"/>
                    <w:right w:w="108" w:type="dxa"/>
                  </w:tcMar>
                  <w:vAlign w:val="bottom"/>
                </w:tcPr>
                <w:p w14:paraId="16C5CF27" w14:textId="2214A0CD" w:rsidR="00507345" w:rsidRPr="006B5748" w:rsidRDefault="00EF6550" w:rsidP="00507345">
                  <w:pPr>
                    <w:jc w:val="center"/>
                    <w:rPr>
                      <w:color w:val="000000"/>
                      <w:szCs w:val="22"/>
                      <w:highlight w:val="black"/>
                      <w:lang w:val="en-US"/>
                    </w:rPr>
                  </w:pPr>
                  <w:r w:rsidRPr="006B5748">
                    <w:rPr>
                      <w:color w:val="000000"/>
                      <w:szCs w:val="22"/>
                      <w:highlight w:val="black"/>
                      <w:lang w:val="en-US"/>
                    </w:rPr>
                    <w:t>250 000</w:t>
                  </w:r>
                </w:p>
              </w:tc>
            </w:tr>
            <w:tr w:rsidR="00507345" w:rsidRPr="00562ABC" w14:paraId="20548840" w14:textId="77777777">
              <w:trPr>
                <w:trHeight w:val="480"/>
              </w:trPr>
              <w:tc>
                <w:tcPr>
                  <w:tcW w:w="2839" w:type="dxa"/>
                  <w:tcBorders>
                    <w:left w:val="single" w:sz="8" w:space="0" w:color="000000"/>
                    <w:bottom w:val="single" w:sz="4" w:space="0" w:color="000000"/>
                    <w:right w:val="single" w:sz="4" w:space="0" w:color="000000"/>
                  </w:tcBorders>
                  <w:noWrap/>
                  <w:tcMar>
                    <w:top w:w="0" w:type="dxa"/>
                    <w:left w:w="108" w:type="dxa"/>
                    <w:bottom w:w="0" w:type="dxa"/>
                    <w:right w:w="108" w:type="dxa"/>
                  </w:tcMar>
                  <w:vAlign w:val="bottom"/>
                </w:tcPr>
                <w:p w14:paraId="10BFEDEC" w14:textId="77777777" w:rsidR="00507345" w:rsidRPr="00562ABC" w:rsidRDefault="00507345" w:rsidP="00507345">
                  <w:pPr>
                    <w:jc w:val="center"/>
                    <w:rPr>
                      <w:color w:val="000000"/>
                      <w:szCs w:val="22"/>
                      <w:lang w:val="en-US"/>
                    </w:rPr>
                  </w:pPr>
                  <w:r w:rsidRPr="00562ABC">
                    <w:rPr>
                      <w:color w:val="000000"/>
                      <w:szCs w:val="22"/>
                      <w:lang w:val="en-US"/>
                    </w:rPr>
                    <w:t>&gt;=</w:t>
                  </w:r>
                </w:p>
              </w:tc>
              <w:tc>
                <w:tcPr>
                  <w:tcW w:w="2594" w:type="dxa"/>
                  <w:tcBorders>
                    <w:bottom w:val="single" w:sz="4" w:space="0" w:color="000000"/>
                    <w:right w:val="single" w:sz="4" w:space="0" w:color="000000"/>
                  </w:tcBorders>
                  <w:noWrap/>
                  <w:tcMar>
                    <w:top w:w="0" w:type="dxa"/>
                    <w:left w:w="108" w:type="dxa"/>
                    <w:bottom w:w="0" w:type="dxa"/>
                    <w:right w:w="108" w:type="dxa"/>
                  </w:tcMar>
                  <w:vAlign w:val="bottom"/>
                </w:tcPr>
                <w:p w14:paraId="2E173740" w14:textId="7B2BF723" w:rsidR="00507345" w:rsidRPr="006B5748" w:rsidRDefault="00E7767F" w:rsidP="00507345">
                  <w:pPr>
                    <w:jc w:val="center"/>
                    <w:rPr>
                      <w:color w:val="000000"/>
                      <w:szCs w:val="22"/>
                      <w:highlight w:val="black"/>
                      <w:lang w:val="en-US"/>
                    </w:rPr>
                  </w:pPr>
                  <w:r w:rsidRPr="006B5748">
                    <w:rPr>
                      <w:color w:val="000000"/>
                      <w:szCs w:val="22"/>
                      <w:highlight w:val="black"/>
                      <w:lang w:val="en-US"/>
                    </w:rPr>
                    <w:t>3 800 000</w:t>
                  </w:r>
                </w:p>
              </w:tc>
              <w:tc>
                <w:tcPr>
                  <w:tcW w:w="3497" w:type="dxa"/>
                  <w:tcBorders>
                    <w:bottom w:val="single" w:sz="4" w:space="0" w:color="000000"/>
                    <w:right w:val="single" w:sz="4" w:space="0" w:color="000000"/>
                  </w:tcBorders>
                  <w:noWrap/>
                  <w:tcMar>
                    <w:top w:w="0" w:type="dxa"/>
                    <w:left w:w="108" w:type="dxa"/>
                    <w:bottom w:w="0" w:type="dxa"/>
                    <w:right w:w="108" w:type="dxa"/>
                  </w:tcMar>
                  <w:vAlign w:val="bottom"/>
                </w:tcPr>
                <w:p w14:paraId="4BAF54C9" w14:textId="330FCEC4" w:rsidR="00507345" w:rsidRPr="006B5748" w:rsidRDefault="00E7767F" w:rsidP="00507345">
                  <w:pPr>
                    <w:jc w:val="center"/>
                    <w:rPr>
                      <w:color w:val="000000"/>
                      <w:szCs w:val="22"/>
                      <w:highlight w:val="black"/>
                      <w:lang w:val="en-US"/>
                    </w:rPr>
                  </w:pPr>
                  <w:r w:rsidRPr="006B5748">
                    <w:rPr>
                      <w:color w:val="000000"/>
                      <w:szCs w:val="22"/>
                      <w:highlight w:val="black"/>
                      <w:lang w:val="en-US"/>
                    </w:rPr>
                    <w:t>570 000</w:t>
                  </w:r>
                </w:p>
              </w:tc>
            </w:tr>
            <w:tr w:rsidR="00507345" w:rsidRPr="00562ABC" w14:paraId="1C8AA266" w14:textId="77777777">
              <w:trPr>
                <w:trHeight w:val="480"/>
              </w:trPr>
              <w:tc>
                <w:tcPr>
                  <w:tcW w:w="2839" w:type="dxa"/>
                  <w:tcBorders>
                    <w:top w:val="single" w:sz="4" w:space="0" w:color="000000"/>
                    <w:left w:val="single" w:sz="8" w:space="0" w:color="000000"/>
                    <w:bottom w:val="single" w:sz="4" w:space="0" w:color="000000"/>
                    <w:right w:val="single" w:sz="4" w:space="0" w:color="000000"/>
                  </w:tcBorders>
                  <w:noWrap/>
                  <w:tcMar>
                    <w:top w:w="0" w:type="dxa"/>
                    <w:left w:w="108" w:type="dxa"/>
                    <w:bottom w:w="0" w:type="dxa"/>
                    <w:right w:w="108" w:type="dxa"/>
                  </w:tcMar>
                  <w:vAlign w:val="bottom"/>
                </w:tcPr>
                <w:p w14:paraId="65FBC1EF" w14:textId="77777777" w:rsidR="00507345" w:rsidRPr="00562ABC" w:rsidRDefault="00507345" w:rsidP="00507345">
                  <w:pPr>
                    <w:jc w:val="center"/>
                    <w:rPr>
                      <w:color w:val="000000"/>
                      <w:szCs w:val="22"/>
                      <w:lang w:val="en-US"/>
                    </w:rPr>
                  </w:pPr>
                  <w:r w:rsidRPr="00562ABC">
                    <w:rPr>
                      <w:color w:val="000000"/>
                      <w:szCs w:val="22"/>
                      <w:lang w:val="en-US"/>
                    </w:rPr>
                    <w:t>&gt;=</w:t>
                  </w:r>
                </w:p>
              </w:tc>
              <w:tc>
                <w:tcPr>
                  <w:tcW w:w="2594"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14:paraId="064BE0FE" w14:textId="6076BEA8" w:rsidR="00507345" w:rsidRPr="006B5748" w:rsidRDefault="00E7767F" w:rsidP="00507345">
                  <w:pPr>
                    <w:jc w:val="center"/>
                    <w:rPr>
                      <w:color w:val="000000"/>
                      <w:szCs w:val="22"/>
                      <w:highlight w:val="black"/>
                      <w:lang w:val="en-US"/>
                    </w:rPr>
                  </w:pPr>
                  <w:r w:rsidRPr="006B5748">
                    <w:rPr>
                      <w:color w:val="000000"/>
                      <w:szCs w:val="22"/>
                      <w:highlight w:val="black"/>
                      <w:lang w:val="en-US"/>
                    </w:rPr>
                    <w:t>5 000 000</w:t>
                  </w:r>
                </w:p>
              </w:tc>
              <w:tc>
                <w:tcPr>
                  <w:tcW w:w="349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14:paraId="28032AB8" w14:textId="1FC5619B" w:rsidR="00507345" w:rsidRPr="006B5748" w:rsidRDefault="00061188" w:rsidP="00507345">
                  <w:pPr>
                    <w:jc w:val="center"/>
                    <w:rPr>
                      <w:color w:val="000000"/>
                      <w:szCs w:val="22"/>
                      <w:highlight w:val="black"/>
                      <w:lang w:val="en-US"/>
                    </w:rPr>
                  </w:pPr>
                  <w:r w:rsidRPr="006B5748">
                    <w:rPr>
                      <w:color w:val="000000"/>
                      <w:szCs w:val="22"/>
                      <w:highlight w:val="black"/>
                      <w:lang w:val="en-US"/>
                    </w:rPr>
                    <w:t>900 000</w:t>
                  </w:r>
                </w:p>
              </w:tc>
            </w:tr>
            <w:tr w:rsidR="00507345" w:rsidRPr="00562ABC" w14:paraId="102B5C0F" w14:textId="77777777">
              <w:trPr>
                <w:trHeight w:val="480"/>
              </w:trPr>
              <w:tc>
                <w:tcPr>
                  <w:tcW w:w="2839" w:type="dxa"/>
                  <w:tcBorders>
                    <w:top w:val="single" w:sz="4" w:space="0" w:color="000000"/>
                    <w:left w:val="single" w:sz="8" w:space="0" w:color="000000"/>
                    <w:bottom w:val="single" w:sz="4" w:space="0" w:color="000000"/>
                    <w:right w:val="single" w:sz="4" w:space="0" w:color="000000"/>
                  </w:tcBorders>
                  <w:noWrap/>
                  <w:tcMar>
                    <w:top w:w="0" w:type="dxa"/>
                    <w:left w:w="108" w:type="dxa"/>
                    <w:bottom w:w="0" w:type="dxa"/>
                    <w:right w:w="108" w:type="dxa"/>
                  </w:tcMar>
                  <w:vAlign w:val="bottom"/>
                </w:tcPr>
                <w:p w14:paraId="0D84D675" w14:textId="77777777" w:rsidR="00507345" w:rsidRPr="00562ABC" w:rsidRDefault="00507345" w:rsidP="00507345">
                  <w:pPr>
                    <w:jc w:val="center"/>
                    <w:rPr>
                      <w:color w:val="000000"/>
                      <w:szCs w:val="22"/>
                      <w:lang w:val="en-US"/>
                    </w:rPr>
                  </w:pPr>
                  <w:r w:rsidRPr="00562ABC">
                    <w:rPr>
                      <w:color w:val="000000"/>
                      <w:szCs w:val="22"/>
                      <w:lang w:val="en-US"/>
                    </w:rPr>
                    <w:t>&gt;=</w:t>
                  </w:r>
                </w:p>
              </w:tc>
              <w:tc>
                <w:tcPr>
                  <w:tcW w:w="2594"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14:paraId="3C241135" w14:textId="04930FA6" w:rsidR="00507345" w:rsidRPr="006B5748" w:rsidRDefault="00061188" w:rsidP="00507345">
                  <w:pPr>
                    <w:jc w:val="center"/>
                    <w:rPr>
                      <w:color w:val="000000"/>
                      <w:szCs w:val="22"/>
                      <w:highlight w:val="black"/>
                      <w:lang w:val="en-US"/>
                    </w:rPr>
                  </w:pPr>
                  <w:r w:rsidRPr="006B5748">
                    <w:rPr>
                      <w:color w:val="000000"/>
                      <w:szCs w:val="22"/>
                      <w:highlight w:val="black"/>
                      <w:lang w:val="en-US"/>
                    </w:rPr>
                    <w:t>7 250 000</w:t>
                  </w:r>
                </w:p>
              </w:tc>
              <w:tc>
                <w:tcPr>
                  <w:tcW w:w="349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14:paraId="4EB4FBC4" w14:textId="2BDC6C02" w:rsidR="00507345" w:rsidRPr="006B5748" w:rsidRDefault="00061188" w:rsidP="00507345">
                  <w:pPr>
                    <w:jc w:val="center"/>
                    <w:rPr>
                      <w:color w:val="000000"/>
                      <w:szCs w:val="22"/>
                      <w:highlight w:val="black"/>
                      <w:lang w:val="en-US"/>
                    </w:rPr>
                  </w:pPr>
                  <w:r w:rsidRPr="006B5748">
                    <w:rPr>
                      <w:color w:val="000000"/>
                      <w:szCs w:val="22"/>
                      <w:highlight w:val="black"/>
                      <w:lang w:val="en-US"/>
                    </w:rPr>
                    <w:t>1</w:t>
                  </w:r>
                  <w:r w:rsidR="0038721B" w:rsidRPr="006B5748">
                    <w:rPr>
                      <w:color w:val="000000"/>
                      <w:szCs w:val="22"/>
                      <w:highlight w:val="black"/>
                      <w:lang w:val="en-US"/>
                    </w:rPr>
                    <w:t> 305 000</w:t>
                  </w:r>
                </w:p>
              </w:tc>
            </w:tr>
            <w:tr w:rsidR="00507345" w:rsidRPr="00562ABC" w14:paraId="34FA11A4" w14:textId="77777777">
              <w:trPr>
                <w:trHeight w:val="480"/>
              </w:trPr>
              <w:tc>
                <w:tcPr>
                  <w:tcW w:w="2839" w:type="dxa"/>
                  <w:tcBorders>
                    <w:top w:val="single" w:sz="4" w:space="0" w:color="000000"/>
                    <w:left w:val="single" w:sz="8" w:space="0" w:color="000000"/>
                    <w:bottom w:val="single" w:sz="4" w:space="0" w:color="000000"/>
                    <w:right w:val="single" w:sz="4" w:space="0" w:color="000000"/>
                  </w:tcBorders>
                  <w:noWrap/>
                  <w:tcMar>
                    <w:top w:w="0" w:type="dxa"/>
                    <w:left w:w="108" w:type="dxa"/>
                    <w:bottom w:w="0" w:type="dxa"/>
                    <w:right w:w="108" w:type="dxa"/>
                  </w:tcMar>
                  <w:vAlign w:val="bottom"/>
                </w:tcPr>
                <w:p w14:paraId="6A77545C" w14:textId="77777777" w:rsidR="00507345" w:rsidRPr="00562ABC" w:rsidRDefault="00507345" w:rsidP="00507345">
                  <w:pPr>
                    <w:jc w:val="center"/>
                    <w:rPr>
                      <w:color w:val="000000"/>
                      <w:szCs w:val="22"/>
                      <w:lang w:val="en-US"/>
                    </w:rPr>
                  </w:pPr>
                  <w:r w:rsidRPr="00562ABC">
                    <w:rPr>
                      <w:color w:val="000000"/>
                      <w:szCs w:val="22"/>
                      <w:lang w:val="en-US"/>
                    </w:rPr>
                    <w:t>&gt;=</w:t>
                  </w:r>
                </w:p>
              </w:tc>
              <w:tc>
                <w:tcPr>
                  <w:tcW w:w="2594"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14:paraId="7EEC2E00" w14:textId="69075EED" w:rsidR="00507345" w:rsidRPr="006B5748" w:rsidRDefault="0038721B" w:rsidP="00507345">
                  <w:pPr>
                    <w:jc w:val="center"/>
                    <w:rPr>
                      <w:color w:val="000000"/>
                      <w:szCs w:val="22"/>
                      <w:highlight w:val="black"/>
                      <w:lang w:val="en-US"/>
                    </w:rPr>
                  </w:pPr>
                  <w:r w:rsidRPr="006B5748">
                    <w:rPr>
                      <w:color w:val="000000"/>
                      <w:szCs w:val="22"/>
                      <w:highlight w:val="black"/>
                      <w:lang w:val="en-US"/>
                    </w:rPr>
                    <w:t>9 </w:t>
                  </w:r>
                  <w:r w:rsidR="000C3853" w:rsidRPr="006B5748">
                    <w:rPr>
                      <w:color w:val="000000"/>
                      <w:szCs w:val="22"/>
                      <w:highlight w:val="black"/>
                      <w:lang w:val="en-US"/>
                    </w:rPr>
                    <w:t>7</w:t>
                  </w:r>
                  <w:r w:rsidRPr="006B5748">
                    <w:rPr>
                      <w:color w:val="000000"/>
                      <w:szCs w:val="22"/>
                      <w:highlight w:val="black"/>
                      <w:lang w:val="en-US"/>
                    </w:rPr>
                    <w:t>50 000</w:t>
                  </w:r>
                </w:p>
              </w:tc>
              <w:tc>
                <w:tcPr>
                  <w:tcW w:w="349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14:paraId="45ADBB5F" w14:textId="34AF6BBA" w:rsidR="00507345" w:rsidRPr="006B5748" w:rsidRDefault="009D027A" w:rsidP="00507345">
                  <w:pPr>
                    <w:jc w:val="center"/>
                    <w:rPr>
                      <w:color w:val="000000"/>
                      <w:szCs w:val="22"/>
                      <w:highlight w:val="black"/>
                      <w:lang w:val="en-US"/>
                    </w:rPr>
                  </w:pPr>
                  <w:r w:rsidRPr="006B5748">
                    <w:rPr>
                      <w:color w:val="000000"/>
                      <w:szCs w:val="22"/>
                      <w:highlight w:val="black"/>
                      <w:lang w:val="en-US"/>
                    </w:rPr>
                    <w:t>1 950 000</w:t>
                  </w:r>
                </w:p>
              </w:tc>
            </w:tr>
            <w:tr w:rsidR="00507345" w:rsidRPr="00562ABC" w14:paraId="7FE6BB8F" w14:textId="77777777">
              <w:trPr>
                <w:trHeight w:val="480"/>
              </w:trPr>
              <w:tc>
                <w:tcPr>
                  <w:tcW w:w="2839" w:type="dxa"/>
                  <w:tcBorders>
                    <w:top w:val="single" w:sz="4" w:space="0" w:color="000000"/>
                    <w:left w:val="single" w:sz="8" w:space="0" w:color="000000"/>
                    <w:bottom w:val="single" w:sz="4" w:space="0" w:color="000000"/>
                    <w:right w:val="single" w:sz="4" w:space="0" w:color="000000"/>
                  </w:tcBorders>
                  <w:noWrap/>
                  <w:tcMar>
                    <w:top w:w="0" w:type="dxa"/>
                    <w:left w:w="108" w:type="dxa"/>
                    <w:bottom w:w="0" w:type="dxa"/>
                    <w:right w:w="108" w:type="dxa"/>
                  </w:tcMar>
                  <w:vAlign w:val="bottom"/>
                </w:tcPr>
                <w:p w14:paraId="78838A28" w14:textId="77777777" w:rsidR="00507345" w:rsidRPr="00562ABC" w:rsidRDefault="00507345" w:rsidP="00507345">
                  <w:pPr>
                    <w:jc w:val="center"/>
                    <w:rPr>
                      <w:color w:val="000000"/>
                      <w:szCs w:val="22"/>
                      <w:lang w:val="en-US"/>
                    </w:rPr>
                  </w:pPr>
                  <w:r w:rsidRPr="00562ABC">
                    <w:rPr>
                      <w:color w:val="000000"/>
                      <w:szCs w:val="22"/>
                      <w:lang w:val="en-US"/>
                    </w:rPr>
                    <w:t>&gt;=</w:t>
                  </w:r>
                </w:p>
              </w:tc>
              <w:tc>
                <w:tcPr>
                  <w:tcW w:w="2594"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14:paraId="6958089B" w14:textId="60A10CEF" w:rsidR="00507345" w:rsidRPr="006B5748" w:rsidRDefault="009D027A" w:rsidP="00507345">
                  <w:pPr>
                    <w:jc w:val="center"/>
                    <w:rPr>
                      <w:color w:val="000000"/>
                      <w:szCs w:val="22"/>
                      <w:highlight w:val="black"/>
                      <w:lang w:val="en-US"/>
                    </w:rPr>
                  </w:pPr>
                  <w:r w:rsidRPr="006B5748">
                    <w:rPr>
                      <w:color w:val="000000"/>
                      <w:szCs w:val="22"/>
                      <w:highlight w:val="black"/>
                      <w:lang w:val="en-US"/>
                    </w:rPr>
                    <w:t>12 250 000</w:t>
                  </w:r>
                </w:p>
              </w:tc>
              <w:tc>
                <w:tcPr>
                  <w:tcW w:w="3497" w:type="dxa"/>
                  <w:tcBorders>
                    <w:top w:val="single" w:sz="4" w:space="0" w:color="000000"/>
                    <w:bottom w:val="single" w:sz="4" w:space="0" w:color="000000"/>
                    <w:right w:val="single" w:sz="4" w:space="0" w:color="000000"/>
                  </w:tcBorders>
                  <w:noWrap/>
                  <w:tcMar>
                    <w:top w:w="0" w:type="dxa"/>
                    <w:left w:w="108" w:type="dxa"/>
                    <w:bottom w:w="0" w:type="dxa"/>
                    <w:right w:w="108" w:type="dxa"/>
                  </w:tcMar>
                  <w:vAlign w:val="bottom"/>
                </w:tcPr>
                <w:p w14:paraId="714F07AF" w14:textId="48959395" w:rsidR="00507345" w:rsidRPr="006B5748" w:rsidRDefault="00846B2E" w:rsidP="00507345">
                  <w:pPr>
                    <w:jc w:val="center"/>
                    <w:rPr>
                      <w:color w:val="000000"/>
                      <w:szCs w:val="22"/>
                      <w:highlight w:val="black"/>
                      <w:lang w:val="en-US"/>
                    </w:rPr>
                  </w:pPr>
                  <w:r w:rsidRPr="006B5748">
                    <w:rPr>
                      <w:color w:val="000000"/>
                      <w:szCs w:val="22"/>
                      <w:highlight w:val="black"/>
                      <w:lang w:val="en-US"/>
                    </w:rPr>
                    <w:t>2 450 000</w:t>
                  </w:r>
                </w:p>
              </w:tc>
            </w:tr>
          </w:tbl>
          <w:p w14:paraId="137695FF" w14:textId="63216C16" w:rsidR="00BD563F" w:rsidRPr="00562ABC" w:rsidRDefault="00BD563F" w:rsidP="00BD563F">
            <w:pPr>
              <w:rPr>
                <w:szCs w:val="22"/>
              </w:rPr>
            </w:pPr>
            <w:r w:rsidRPr="00562ABC">
              <w:rPr>
                <w:b/>
                <w:szCs w:val="22"/>
                <w:lang w:val="en-US" w:eastAsia="cs-CZ"/>
              </w:rPr>
              <w:t>The Bonus will be provided if the respective threshold limit values given in the table are reached. The Bonus will be provided only for the highest threshold limit value reached in the Reference period (i.e. the bonuses for all threshold limit values reached are not cumulative, only the highest one is provided).</w:t>
            </w:r>
          </w:p>
          <w:p w14:paraId="50213883" w14:textId="1BE60A2F" w:rsidR="00507345" w:rsidRPr="00562ABC" w:rsidRDefault="00BD563F" w:rsidP="00BD563F">
            <w:pPr>
              <w:tabs>
                <w:tab w:val="left" w:pos="1178"/>
              </w:tabs>
              <w:rPr>
                <w:b/>
                <w:szCs w:val="22"/>
                <w:lang w:eastAsia="cs-CZ"/>
              </w:rPr>
            </w:pPr>
            <w:r w:rsidRPr="00562ABC">
              <w:rPr>
                <w:i/>
                <w:szCs w:val="22"/>
                <w:lang w:eastAsia="cs-CZ"/>
              </w:rPr>
              <w:t>Bonus bude poskytnut při dosažení příslušných prahových limitních hodnot uvedených v tabulce. Bonus bude poskytnut pouze za nejvyšší prahový limit dosažený v Referenčním období (tj. bonusy všech dosažených prahových limitních hodnot se nesčítají, poskytován je pouze nejvyšší z nich).</w:t>
            </w:r>
            <w:r w:rsidR="00507345" w:rsidRPr="00562ABC">
              <w:rPr>
                <w:b/>
                <w:szCs w:val="22"/>
                <w:lang w:eastAsia="cs-CZ"/>
              </w:rPr>
              <w:tab/>
            </w:r>
          </w:p>
        </w:tc>
      </w:tr>
      <w:tr w:rsidR="00A05D99" w:rsidRPr="00512FB9" w14:paraId="26C52413" w14:textId="77777777">
        <w:tc>
          <w:tcPr>
            <w:tcW w:w="4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95617" w14:textId="0D72C925" w:rsidR="00A05D99" w:rsidRPr="00562ABC" w:rsidRDefault="00A05D99">
            <w:pPr>
              <w:pStyle w:val="Zkladntext"/>
              <w:tabs>
                <w:tab w:val="left" w:pos="1980"/>
              </w:tabs>
              <w:jc w:val="left"/>
              <w:rPr>
                <w:szCs w:val="22"/>
              </w:rPr>
            </w:pPr>
            <w:r w:rsidRPr="00562ABC">
              <w:rPr>
                <w:b/>
                <w:bCs/>
                <w:szCs w:val="22"/>
              </w:rPr>
              <w:t>Produkty</w:t>
            </w:r>
            <w:r w:rsidRPr="00562ABC">
              <w:rPr>
                <w:szCs w:val="22"/>
              </w:rPr>
              <w:t xml:space="preserve">: </w:t>
            </w:r>
            <w:proofErr w:type="spellStart"/>
            <w:r w:rsidRPr="006B5748">
              <w:rPr>
                <w:szCs w:val="22"/>
                <w:highlight w:val="black"/>
              </w:rPr>
              <w:t>Epclusa</w:t>
            </w:r>
            <w:proofErr w:type="spellEnd"/>
            <w:r w:rsidRPr="006B5748">
              <w:rPr>
                <w:szCs w:val="22"/>
                <w:highlight w:val="black"/>
              </w:rPr>
              <w:t xml:space="preserve"> 400MG/100MG TBL FLM</w:t>
            </w:r>
          </w:p>
        </w:tc>
        <w:tc>
          <w:tcPr>
            <w:tcW w:w="4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87FA2" w14:textId="242DBF36" w:rsidR="00A05D99" w:rsidRPr="00562ABC" w:rsidRDefault="00A05D99">
            <w:pPr>
              <w:pStyle w:val="Zkladntext"/>
              <w:tabs>
                <w:tab w:val="left" w:pos="1980"/>
              </w:tabs>
              <w:rPr>
                <w:color w:val="000000"/>
                <w:szCs w:val="22"/>
                <w:lang w:eastAsia="cs-CZ"/>
              </w:rPr>
            </w:pPr>
            <w:r w:rsidRPr="00562ABC">
              <w:rPr>
                <w:b/>
                <w:bCs/>
                <w:szCs w:val="22"/>
                <w:lang w:val="en" w:eastAsia="cs-CZ"/>
              </w:rPr>
              <w:t>Products</w:t>
            </w:r>
            <w:r w:rsidRPr="00562ABC">
              <w:rPr>
                <w:szCs w:val="22"/>
                <w:lang w:val="en" w:eastAsia="cs-CZ"/>
              </w:rPr>
              <w:t>:</w:t>
            </w:r>
            <w:r w:rsidR="00603AAC" w:rsidRPr="00562ABC">
              <w:rPr>
                <w:szCs w:val="22"/>
              </w:rPr>
              <w:t xml:space="preserve"> </w:t>
            </w:r>
            <w:proofErr w:type="spellStart"/>
            <w:r w:rsidR="00603AAC" w:rsidRPr="006B5748">
              <w:rPr>
                <w:szCs w:val="22"/>
                <w:highlight w:val="black"/>
              </w:rPr>
              <w:t>Epclusa</w:t>
            </w:r>
            <w:proofErr w:type="spellEnd"/>
            <w:r w:rsidR="00603AAC" w:rsidRPr="006B5748">
              <w:rPr>
                <w:szCs w:val="22"/>
                <w:highlight w:val="black"/>
              </w:rPr>
              <w:t xml:space="preserve"> 400MG/100MG TBL FLM</w:t>
            </w:r>
          </w:p>
        </w:tc>
      </w:tr>
    </w:tbl>
    <w:p w14:paraId="0711FB7D" w14:textId="77777777" w:rsidR="00DB050C" w:rsidRPr="00512FB9" w:rsidRDefault="00DB050C" w:rsidP="005E391C"/>
    <w:sectPr w:rsidR="00DB050C" w:rsidRPr="00512FB9" w:rsidSect="000D6F14">
      <w:footerReference w:type="default" r:id="rId11"/>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1B803" w14:textId="77777777" w:rsidR="00B7544C" w:rsidRDefault="00B7544C">
      <w:r>
        <w:separator/>
      </w:r>
    </w:p>
  </w:endnote>
  <w:endnote w:type="continuationSeparator" w:id="0">
    <w:p w14:paraId="1D3B8AE8" w14:textId="77777777" w:rsidR="00B7544C" w:rsidRDefault="00B7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mago">
    <w:altName w:val="Times New Roman"/>
    <w:charset w:val="EE"/>
    <w:family w:val="auto"/>
    <w:pitch w:val="variable"/>
    <w:sig w:usb0="00000001" w:usb1="500020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693C" w14:textId="00BB1838" w:rsidR="00C71ECF" w:rsidRPr="009E6F28" w:rsidRDefault="00E6169F" w:rsidP="00E55F4F">
    <w:pPr>
      <w:pStyle w:val="Zpat"/>
      <w:tabs>
        <w:tab w:val="clear" w:pos="4703"/>
        <w:tab w:val="clear" w:pos="9406"/>
      </w:tabs>
      <w:rPr>
        <w:rFonts w:ascii="Arial" w:hAnsi="Arial" w:cs="Arial"/>
        <w:b/>
        <w:sz w:val="15"/>
        <w:szCs w:val="15"/>
      </w:rPr>
    </w:pPr>
    <w:proofErr w:type="spellStart"/>
    <w:r>
      <w:t>Version</w:t>
    </w:r>
    <w:proofErr w:type="spellEnd"/>
    <w:r>
      <w:t xml:space="preserve"> </w:t>
    </w:r>
    <w:proofErr w:type="spellStart"/>
    <w:r>
      <w:t>date</w:t>
    </w:r>
    <w:proofErr w:type="spellEnd"/>
    <w:r>
      <w:t xml:space="preserve"> 8 </w:t>
    </w:r>
    <w:proofErr w:type="spellStart"/>
    <w:r>
      <w:t>January</w:t>
    </w:r>
    <w:proofErr w:type="spellEnd"/>
    <w:r>
      <w:t xml:space="preserve"> 2025</w:t>
    </w:r>
    <w:r w:rsidR="00E55F4F">
      <w:tab/>
    </w:r>
    <w:r w:rsidR="00E55F4F">
      <w:tab/>
    </w:r>
    <w:r w:rsidR="00E55F4F">
      <w:tab/>
    </w:r>
    <w:r w:rsidR="00E55F4F">
      <w:tab/>
    </w:r>
    <w:r w:rsidR="00E55F4F">
      <w:tab/>
    </w:r>
    <w:r w:rsidR="00E55F4F">
      <w:tab/>
    </w:r>
    <w:r w:rsidR="00E55F4F">
      <w:tab/>
    </w:r>
    <w:r w:rsidR="00C71ECF">
      <w:tab/>
    </w:r>
    <w:r w:rsidR="00C71ECF">
      <w:tab/>
    </w:r>
    <w:r w:rsidR="00C71ECF" w:rsidRPr="009E6F28">
      <w:rPr>
        <w:rStyle w:val="slostrnky"/>
        <w:rFonts w:ascii="Arial" w:hAnsi="Arial" w:cs="Arial"/>
        <w:b/>
        <w:sz w:val="15"/>
        <w:szCs w:val="15"/>
      </w:rPr>
      <w:fldChar w:fldCharType="begin"/>
    </w:r>
    <w:r w:rsidR="00C71ECF" w:rsidRPr="009E6F28">
      <w:rPr>
        <w:rStyle w:val="slostrnky"/>
        <w:rFonts w:ascii="Arial" w:hAnsi="Arial" w:cs="Arial"/>
        <w:b/>
        <w:sz w:val="15"/>
        <w:szCs w:val="15"/>
      </w:rPr>
      <w:instrText xml:space="preserve"> PAGE </w:instrText>
    </w:r>
    <w:r w:rsidR="00C71ECF" w:rsidRPr="009E6F28">
      <w:rPr>
        <w:rStyle w:val="slostrnky"/>
        <w:rFonts w:ascii="Arial" w:hAnsi="Arial" w:cs="Arial"/>
        <w:b/>
        <w:sz w:val="15"/>
        <w:szCs w:val="15"/>
      </w:rPr>
      <w:fldChar w:fldCharType="separate"/>
    </w:r>
    <w:r w:rsidR="003A2521">
      <w:rPr>
        <w:rStyle w:val="slostrnky"/>
        <w:rFonts w:ascii="Arial" w:hAnsi="Arial" w:cs="Arial"/>
        <w:b/>
        <w:noProof/>
        <w:sz w:val="15"/>
        <w:szCs w:val="15"/>
      </w:rPr>
      <w:t>1</w:t>
    </w:r>
    <w:r w:rsidR="00C71ECF" w:rsidRPr="009E6F28">
      <w:rPr>
        <w:rStyle w:val="slostrnky"/>
        <w:rFonts w:ascii="Arial" w:hAnsi="Arial" w:cs="Arial"/>
        <w:b/>
        <w:sz w:val="15"/>
        <w:szCs w:val="15"/>
      </w:rPr>
      <w:fldChar w:fldCharType="end"/>
    </w:r>
    <w:r w:rsidR="00C71ECF" w:rsidRPr="009E6F28">
      <w:rPr>
        <w:rStyle w:val="slostrnky"/>
        <w:rFonts w:ascii="Arial" w:hAnsi="Arial" w:cs="Arial"/>
        <w:b/>
        <w:sz w:val="15"/>
        <w:szCs w:val="15"/>
      </w:rPr>
      <w:t xml:space="preserve"> / </w:t>
    </w:r>
    <w:r w:rsidR="00C71ECF" w:rsidRPr="009E6F28">
      <w:rPr>
        <w:rStyle w:val="slostrnky"/>
        <w:rFonts w:ascii="Arial" w:hAnsi="Arial" w:cs="Arial"/>
        <w:b/>
        <w:sz w:val="15"/>
        <w:szCs w:val="15"/>
      </w:rPr>
      <w:fldChar w:fldCharType="begin"/>
    </w:r>
    <w:r w:rsidR="00C71ECF" w:rsidRPr="009E6F28">
      <w:rPr>
        <w:rStyle w:val="slostrnky"/>
        <w:rFonts w:ascii="Arial" w:hAnsi="Arial" w:cs="Arial"/>
        <w:b/>
        <w:sz w:val="15"/>
        <w:szCs w:val="15"/>
      </w:rPr>
      <w:instrText xml:space="preserve"> NUMPAGES </w:instrText>
    </w:r>
    <w:r w:rsidR="00C71ECF" w:rsidRPr="009E6F28">
      <w:rPr>
        <w:rStyle w:val="slostrnky"/>
        <w:rFonts w:ascii="Arial" w:hAnsi="Arial" w:cs="Arial"/>
        <w:b/>
        <w:sz w:val="15"/>
        <w:szCs w:val="15"/>
      </w:rPr>
      <w:fldChar w:fldCharType="separate"/>
    </w:r>
    <w:r w:rsidR="003A2521">
      <w:rPr>
        <w:rStyle w:val="slostrnky"/>
        <w:rFonts w:ascii="Arial" w:hAnsi="Arial" w:cs="Arial"/>
        <w:b/>
        <w:noProof/>
        <w:sz w:val="15"/>
        <w:szCs w:val="15"/>
      </w:rPr>
      <w:t>5</w:t>
    </w:r>
    <w:r w:rsidR="00C71ECF" w:rsidRPr="009E6F28">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53D3" w14:textId="77777777" w:rsidR="00B7544C" w:rsidRDefault="00B7544C">
      <w:r>
        <w:separator/>
      </w:r>
    </w:p>
  </w:footnote>
  <w:footnote w:type="continuationSeparator" w:id="0">
    <w:p w14:paraId="2182EB87" w14:textId="77777777" w:rsidR="00B7544C" w:rsidRDefault="00B75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3C4CC334"/>
    <w:lvl w:ilvl="0">
      <w:start w:val="1"/>
      <w:numFmt w:val="decimal"/>
      <w:pStyle w:val="slovanseznam4"/>
      <w:lvlText w:val="(%1)"/>
      <w:lvlJc w:val="left"/>
      <w:pPr>
        <w:tabs>
          <w:tab w:val="num" w:pos="851"/>
        </w:tabs>
        <w:ind w:left="851" w:hanging="851"/>
      </w:pPr>
      <w:rPr>
        <w:rFonts w:hint="default"/>
        <w:b w:val="0"/>
      </w:rPr>
    </w:lvl>
  </w:abstractNum>
  <w:abstractNum w:abstractNumId="1" w15:restartNumberingAfterBreak="0">
    <w:nsid w:val="08C75B64"/>
    <w:multiLevelType w:val="hybridMultilevel"/>
    <w:tmpl w:val="CEB6CCDC"/>
    <w:lvl w:ilvl="0" w:tplc="11DA2ECE">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2"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CF6A9C"/>
    <w:multiLevelType w:val="hybridMultilevel"/>
    <w:tmpl w:val="B68834AA"/>
    <w:lvl w:ilvl="0" w:tplc="F35EFE6A">
      <w:start w:val="1"/>
      <w:numFmt w:val="bullet"/>
      <w:pStyle w:val="CZ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6D03A1"/>
    <w:multiLevelType w:val="multilevel"/>
    <w:tmpl w:val="0894507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3104773"/>
    <w:multiLevelType w:val="multilevel"/>
    <w:tmpl w:val="6008B126"/>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27"/>
      <w:numFmt w:val="lowerLetter"/>
      <w:pStyle w:val="CMSANSchedule9"/>
      <w:lvlText w:val="(%9)"/>
      <w:lvlJc w:val="left"/>
      <w:pPr>
        <w:tabs>
          <w:tab w:val="num" w:pos="4253"/>
        </w:tabs>
        <w:ind w:left="4253" w:hanging="851"/>
      </w:pPr>
      <w:rPr>
        <w:rFonts w:hint="default"/>
      </w:rPr>
    </w:lvl>
  </w:abstractNum>
  <w:abstractNum w:abstractNumId="11" w15:restartNumberingAfterBreak="0">
    <w:nsid w:val="23A17E65"/>
    <w:multiLevelType w:val="hybridMultilevel"/>
    <w:tmpl w:val="92FAEAAE"/>
    <w:lvl w:ilvl="0" w:tplc="5C1AABAC">
      <w:start w:val="1"/>
      <w:numFmt w:val="bullet"/>
      <w:pStyle w:val="CZ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B37DD3"/>
    <w:multiLevelType w:val="hybridMultilevel"/>
    <w:tmpl w:val="C65A02D6"/>
    <w:lvl w:ilvl="0" w:tplc="DD8A9AFC">
      <w:start w:val="1"/>
      <w:numFmt w:val="upperLetter"/>
      <w:pStyle w:val="EN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59413B"/>
    <w:multiLevelType w:val="hybridMultilevel"/>
    <w:tmpl w:val="90E06CC0"/>
    <w:lvl w:ilvl="0" w:tplc="3D8A1FEE">
      <w:start w:val="1"/>
      <w:numFmt w:val="upperLetter"/>
      <w:lvlText w:val="(%1)"/>
      <w:lvlJc w:val="left"/>
      <w:pPr>
        <w:tabs>
          <w:tab w:val="num" w:pos="567"/>
        </w:tabs>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FA2AD1"/>
    <w:multiLevelType w:val="hybridMultilevel"/>
    <w:tmpl w:val="266ED4D0"/>
    <w:lvl w:ilvl="0" w:tplc="B9EC08CE">
      <w:start w:val="1"/>
      <w:numFmt w:val="bullet"/>
      <w:pStyle w:val="CZ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E143F13"/>
    <w:multiLevelType w:val="multilevel"/>
    <w:tmpl w:val="9AE00D96"/>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1134"/>
        </w:tabs>
        <w:ind w:left="1134"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21" w15:restartNumberingAfterBreak="0">
    <w:nsid w:val="45ED6A63"/>
    <w:multiLevelType w:val="multilevel"/>
    <w:tmpl w:val="A35A37B8"/>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8"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9430C0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4B5D6A"/>
    <w:multiLevelType w:val="multilevel"/>
    <w:tmpl w:val="061EE84E"/>
    <w:lvl w:ilvl="0">
      <w:start w:val="1"/>
      <w:numFmt w:val="decimal"/>
      <w:pStyle w:val="Nadpis1"/>
      <w:lvlText w:val="%1."/>
      <w:lvlJc w:val="left"/>
      <w:pPr>
        <w:tabs>
          <w:tab w:val="num" w:pos="567"/>
        </w:tabs>
        <w:ind w:left="567" w:hanging="567"/>
      </w:pPr>
      <w:rPr>
        <w:rFonts w:ascii="Times New Roman" w:hAnsi="Times New Roman" w:hint="default"/>
        <w:b/>
        <w:i w:val="0"/>
        <w:sz w:val="20"/>
        <w:szCs w:val="24"/>
      </w:rPr>
    </w:lvl>
    <w:lvl w:ilvl="1">
      <w:start w:val="1"/>
      <w:numFmt w:val="decimal"/>
      <w:pStyle w:val="CZClanek11"/>
      <w:lvlText w:val="%1.%2"/>
      <w:lvlJc w:val="left"/>
      <w:pPr>
        <w:tabs>
          <w:tab w:val="num" w:pos="567"/>
        </w:tabs>
        <w:ind w:left="567" w:hanging="567"/>
      </w:pPr>
      <w:rPr>
        <w:rFonts w:ascii="Times New Roman Bold" w:hAnsi="Times New Roman Bold" w:hint="default"/>
        <w:b w:val="0"/>
        <w:i w:val="0"/>
        <w:sz w:val="20"/>
        <w:szCs w:val="24"/>
      </w:rPr>
    </w:lvl>
    <w:lvl w:ilvl="2">
      <w:start w:val="1"/>
      <w:numFmt w:val="lowerLetter"/>
      <w:pStyle w:val="CZClaneka"/>
      <w:lvlText w:val="(%3)"/>
      <w:lvlJc w:val="left"/>
      <w:pPr>
        <w:tabs>
          <w:tab w:val="num" w:pos="992"/>
        </w:tabs>
        <w:ind w:left="992" w:hanging="425"/>
      </w:pPr>
      <w:rPr>
        <w:rFonts w:hint="default"/>
      </w:rPr>
    </w:lvl>
    <w:lvl w:ilvl="3">
      <w:start w:val="1"/>
      <w:numFmt w:val="lowerRoman"/>
      <w:pStyle w:val="CZ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09B3F5F"/>
    <w:multiLevelType w:val="multilevel"/>
    <w:tmpl w:val="5F6C3F64"/>
    <w:name w:val="EN_Clanky"/>
    <w:lvl w:ilvl="0">
      <w:start w:val="1"/>
      <w:numFmt w:val="decimal"/>
      <w:pStyle w:val="ENNadpis1"/>
      <w:lvlText w:val="%1."/>
      <w:lvlJc w:val="left"/>
      <w:pPr>
        <w:tabs>
          <w:tab w:val="num" w:pos="567"/>
        </w:tabs>
        <w:ind w:left="567" w:hanging="567"/>
      </w:pPr>
      <w:rPr>
        <w:rFonts w:ascii="Times" w:hAnsi="Times" w:hint="default"/>
        <w:b/>
        <w:i w:val="0"/>
        <w:sz w:val="20"/>
        <w:szCs w:val="24"/>
      </w:rPr>
    </w:lvl>
    <w:lvl w:ilvl="1">
      <w:start w:val="1"/>
      <w:numFmt w:val="decimal"/>
      <w:pStyle w:val="ENClanek11"/>
      <w:lvlText w:val="%1.%2"/>
      <w:lvlJc w:val="left"/>
      <w:pPr>
        <w:tabs>
          <w:tab w:val="num" w:pos="567"/>
        </w:tabs>
        <w:ind w:left="567" w:hanging="567"/>
      </w:pPr>
      <w:rPr>
        <w:rFonts w:ascii="Times New Roman" w:hAnsi="Times New Roman" w:hint="default"/>
        <w:b w:val="0"/>
        <w:i w:val="0"/>
        <w:sz w:val="20"/>
        <w:szCs w:val="24"/>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0DC78C5"/>
    <w:multiLevelType w:val="hybridMultilevel"/>
    <w:tmpl w:val="72DE3F08"/>
    <w:lvl w:ilvl="0" w:tplc="F6A0F0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7EE8533E"/>
    <w:multiLevelType w:val="hybridMultilevel"/>
    <w:tmpl w:val="09F8E518"/>
    <w:lvl w:ilvl="0" w:tplc="4E326518">
      <w:start w:val="1"/>
      <w:numFmt w:val="upperLetter"/>
      <w:pStyle w:val="CZ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3098540">
    <w:abstractNumId w:val="19"/>
  </w:num>
  <w:num w:numId="2" w16cid:durableId="1128402636">
    <w:abstractNumId w:val="30"/>
  </w:num>
  <w:num w:numId="3" w16cid:durableId="608897131">
    <w:abstractNumId w:val="25"/>
  </w:num>
  <w:num w:numId="4" w16cid:durableId="1877424334">
    <w:abstractNumId w:val="33"/>
  </w:num>
  <w:num w:numId="5" w16cid:durableId="1922326797">
    <w:abstractNumId w:val="2"/>
  </w:num>
  <w:num w:numId="6" w16cid:durableId="884414876">
    <w:abstractNumId w:val="15"/>
  </w:num>
  <w:num w:numId="7" w16cid:durableId="1820342752">
    <w:abstractNumId w:val="36"/>
  </w:num>
  <w:num w:numId="8" w16cid:durableId="1343776157">
    <w:abstractNumId w:val="32"/>
  </w:num>
  <w:num w:numId="9" w16cid:durableId="2026636284">
    <w:abstractNumId w:val="40"/>
  </w:num>
  <w:num w:numId="10" w16cid:durableId="2060471313">
    <w:abstractNumId w:val="16"/>
  </w:num>
  <w:num w:numId="11" w16cid:durableId="71898784">
    <w:abstractNumId w:val="6"/>
  </w:num>
  <w:num w:numId="12" w16cid:durableId="2103527045">
    <w:abstractNumId w:val="42"/>
  </w:num>
  <w:num w:numId="13" w16cid:durableId="1270241874">
    <w:abstractNumId w:val="35"/>
  </w:num>
  <w:num w:numId="14" w16cid:durableId="808280642">
    <w:abstractNumId w:val="26"/>
  </w:num>
  <w:num w:numId="15" w16cid:durableId="912349768">
    <w:abstractNumId w:val="29"/>
  </w:num>
  <w:num w:numId="16" w16cid:durableId="1299651974">
    <w:abstractNumId w:val="7"/>
  </w:num>
  <w:num w:numId="17" w16cid:durableId="619411724">
    <w:abstractNumId w:val="37"/>
  </w:num>
  <w:num w:numId="18" w16cid:durableId="2064450787">
    <w:abstractNumId w:val="5"/>
  </w:num>
  <w:num w:numId="19" w16cid:durableId="1052846795">
    <w:abstractNumId w:val="41"/>
  </w:num>
  <w:num w:numId="20" w16cid:durableId="1454909477">
    <w:abstractNumId w:val="9"/>
  </w:num>
  <w:num w:numId="21" w16cid:durableId="1059397106">
    <w:abstractNumId w:val="18"/>
  </w:num>
  <w:num w:numId="22" w16cid:durableId="132443298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194509">
    <w:abstractNumId w:val="27"/>
  </w:num>
  <w:num w:numId="24" w16cid:durableId="1361666203">
    <w:abstractNumId w:val="37"/>
  </w:num>
  <w:num w:numId="25" w16cid:durableId="2059161731">
    <w:abstractNumId w:val="23"/>
  </w:num>
  <w:num w:numId="26" w16cid:durableId="1650672681">
    <w:abstractNumId w:val="3"/>
  </w:num>
  <w:num w:numId="27" w16cid:durableId="1370885216">
    <w:abstractNumId w:val="22"/>
  </w:num>
  <w:num w:numId="28" w16cid:durableId="1971134267">
    <w:abstractNumId w:val="11"/>
  </w:num>
  <w:num w:numId="29" w16cid:durableId="1589389316">
    <w:abstractNumId w:val="4"/>
  </w:num>
  <w:num w:numId="30" w16cid:durableId="1752389141">
    <w:abstractNumId w:val="14"/>
  </w:num>
  <w:num w:numId="31" w16cid:durableId="225187814">
    <w:abstractNumId w:val="34"/>
  </w:num>
  <w:num w:numId="32" w16cid:durableId="806818028">
    <w:abstractNumId w:val="13"/>
  </w:num>
  <w:num w:numId="33" w16cid:durableId="2057387553">
    <w:abstractNumId w:val="12"/>
  </w:num>
  <w:num w:numId="34" w16cid:durableId="128859188">
    <w:abstractNumId w:val="39"/>
  </w:num>
  <w:num w:numId="35" w16cid:durableId="1418138526">
    <w:abstractNumId w:val="1"/>
  </w:num>
  <w:num w:numId="36" w16cid:durableId="1746561168">
    <w:abstractNumId w:val="24"/>
  </w:num>
  <w:num w:numId="37" w16cid:durableId="247815051">
    <w:abstractNumId w:val="38"/>
  </w:num>
  <w:num w:numId="38" w16cid:durableId="1176772140">
    <w:abstractNumId w:val="17"/>
  </w:num>
  <w:num w:numId="39" w16cid:durableId="968585811">
    <w:abstractNumId w:val="28"/>
  </w:num>
  <w:num w:numId="40" w16cid:durableId="2017147797">
    <w:abstractNumId w:val="31"/>
  </w:num>
  <w:num w:numId="41" w16cid:durableId="1216239026">
    <w:abstractNumId w:val="20"/>
  </w:num>
  <w:num w:numId="42" w16cid:durableId="1748185728">
    <w:abstractNumId w:val="0"/>
  </w:num>
  <w:num w:numId="43" w16cid:durableId="1801456339">
    <w:abstractNumId w:val="8"/>
  </w:num>
  <w:num w:numId="44" w16cid:durableId="1915434872">
    <w:abstractNumId w:val="10"/>
  </w:num>
  <w:num w:numId="45" w16cid:durableId="52437900">
    <w:abstractNumId w:val="21"/>
    <w:lvlOverride w:ilvl="0">
      <w:lvl w:ilvl="0">
        <w:start w:val="1"/>
        <w:numFmt w:val="decimal"/>
        <w:pStyle w:val="CMSANParties"/>
        <w:lvlText w:val="(%1)"/>
        <w:lvlJc w:val="left"/>
        <w:pPr>
          <w:tabs>
            <w:tab w:val="num" w:pos="851"/>
          </w:tabs>
          <w:ind w:left="851" w:hanging="851"/>
        </w:pPr>
        <w:rPr>
          <w:rFonts w:hint="default"/>
          <w:b w:val="0"/>
        </w:rPr>
      </w:lvl>
    </w:lvlOverride>
  </w:num>
  <w:num w:numId="46" w16cid:durableId="2093046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A6"/>
    <w:rsid w:val="000005BD"/>
    <w:rsid w:val="00005E16"/>
    <w:rsid w:val="0000715D"/>
    <w:rsid w:val="000100EE"/>
    <w:rsid w:val="000108D8"/>
    <w:rsid w:val="0001148D"/>
    <w:rsid w:val="0001501E"/>
    <w:rsid w:val="000305D0"/>
    <w:rsid w:val="00030A13"/>
    <w:rsid w:val="000335FD"/>
    <w:rsid w:val="00045B0C"/>
    <w:rsid w:val="0005075F"/>
    <w:rsid w:val="00051D3E"/>
    <w:rsid w:val="00051ECF"/>
    <w:rsid w:val="00061188"/>
    <w:rsid w:val="00065BEB"/>
    <w:rsid w:val="000731E4"/>
    <w:rsid w:val="00084858"/>
    <w:rsid w:val="00093FE3"/>
    <w:rsid w:val="00094BC7"/>
    <w:rsid w:val="000971B1"/>
    <w:rsid w:val="00097749"/>
    <w:rsid w:val="000A3CEE"/>
    <w:rsid w:val="000C3853"/>
    <w:rsid w:val="000C46A0"/>
    <w:rsid w:val="000C52D4"/>
    <w:rsid w:val="000C6501"/>
    <w:rsid w:val="000D2DFE"/>
    <w:rsid w:val="000D3DD4"/>
    <w:rsid w:val="000D6F14"/>
    <w:rsid w:val="000D7CC9"/>
    <w:rsid w:val="000E05A2"/>
    <w:rsid w:val="000E1A47"/>
    <w:rsid w:val="000E5F86"/>
    <w:rsid w:val="000F61BB"/>
    <w:rsid w:val="001130BB"/>
    <w:rsid w:val="00115C64"/>
    <w:rsid w:val="00123072"/>
    <w:rsid w:val="001271C7"/>
    <w:rsid w:val="00130C12"/>
    <w:rsid w:val="00136447"/>
    <w:rsid w:val="00151FC6"/>
    <w:rsid w:val="001552C3"/>
    <w:rsid w:val="00157A17"/>
    <w:rsid w:val="00160188"/>
    <w:rsid w:val="00160BF8"/>
    <w:rsid w:val="00164144"/>
    <w:rsid w:val="00165105"/>
    <w:rsid w:val="00167129"/>
    <w:rsid w:val="00196C01"/>
    <w:rsid w:val="001A1A63"/>
    <w:rsid w:val="001C144E"/>
    <w:rsid w:val="001C2AEE"/>
    <w:rsid w:val="001D50DD"/>
    <w:rsid w:val="001E4E5F"/>
    <w:rsid w:val="00204189"/>
    <w:rsid w:val="00214F33"/>
    <w:rsid w:val="002169A5"/>
    <w:rsid w:val="00217213"/>
    <w:rsid w:val="002224E5"/>
    <w:rsid w:val="00234017"/>
    <w:rsid w:val="00234A53"/>
    <w:rsid w:val="002352A7"/>
    <w:rsid w:val="00252038"/>
    <w:rsid w:val="00261137"/>
    <w:rsid w:val="0026400A"/>
    <w:rsid w:val="00264FAD"/>
    <w:rsid w:val="0027460B"/>
    <w:rsid w:val="002748EE"/>
    <w:rsid w:val="00280D90"/>
    <w:rsid w:val="00287155"/>
    <w:rsid w:val="002B54AA"/>
    <w:rsid w:val="002B6347"/>
    <w:rsid w:val="002B6851"/>
    <w:rsid w:val="002C2157"/>
    <w:rsid w:val="002C2865"/>
    <w:rsid w:val="002C52AA"/>
    <w:rsid w:val="002D0C28"/>
    <w:rsid w:val="002E107B"/>
    <w:rsid w:val="002E1679"/>
    <w:rsid w:val="002E5A76"/>
    <w:rsid w:val="002E6F71"/>
    <w:rsid w:val="002F2E47"/>
    <w:rsid w:val="002F3819"/>
    <w:rsid w:val="002F6C83"/>
    <w:rsid w:val="003014EC"/>
    <w:rsid w:val="00302B7B"/>
    <w:rsid w:val="00311A39"/>
    <w:rsid w:val="0032165B"/>
    <w:rsid w:val="00326A98"/>
    <w:rsid w:val="00336A01"/>
    <w:rsid w:val="0034093C"/>
    <w:rsid w:val="003414FB"/>
    <w:rsid w:val="00345067"/>
    <w:rsid w:val="0035536B"/>
    <w:rsid w:val="00355FBC"/>
    <w:rsid w:val="0036567F"/>
    <w:rsid w:val="00366234"/>
    <w:rsid w:val="00371272"/>
    <w:rsid w:val="003726F0"/>
    <w:rsid w:val="0038316F"/>
    <w:rsid w:val="00384147"/>
    <w:rsid w:val="0038619B"/>
    <w:rsid w:val="00386343"/>
    <w:rsid w:val="0038721B"/>
    <w:rsid w:val="003916B0"/>
    <w:rsid w:val="003A2521"/>
    <w:rsid w:val="003A2578"/>
    <w:rsid w:val="003A26B7"/>
    <w:rsid w:val="003A5DF0"/>
    <w:rsid w:val="003A6B77"/>
    <w:rsid w:val="003B2942"/>
    <w:rsid w:val="003B2C73"/>
    <w:rsid w:val="003C0F2E"/>
    <w:rsid w:val="003C7F06"/>
    <w:rsid w:val="003D7B71"/>
    <w:rsid w:val="003E4F18"/>
    <w:rsid w:val="003E5031"/>
    <w:rsid w:val="004039B5"/>
    <w:rsid w:val="00403B47"/>
    <w:rsid w:val="00420173"/>
    <w:rsid w:val="00424B61"/>
    <w:rsid w:val="00436F42"/>
    <w:rsid w:val="004445C7"/>
    <w:rsid w:val="00452864"/>
    <w:rsid w:val="004607F9"/>
    <w:rsid w:val="00463262"/>
    <w:rsid w:val="004642C9"/>
    <w:rsid w:val="00464B2C"/>
    <w:rsid w:val="0047224D"/>
    <w:rsid w:val="004757E5"/>
    <w:rsid w:val="00481000"/>
    <w:rsid w:val="004A1EFB"/>
    <w:rsid w:val="004B0318"/>
    <w:rsid w:val="004C319C"/>
    <w:rsid w:val="004C3F3A"/>
    <w:rsid w:val="004D0A5A"/>
    <w:rsid w:val="004D61F1"/>
    <w:rsid w:val="004E1788"/>
    <w:rsid w:val="004F25DA"/>
    <w:rsid w:val="004F2F6B"/>
    <w:rsid w:val="004F5760"/>
    <w:rsid w:val="00507345"/>
    <w:rsid w:val="00512FB9"/>
    <w:rsid w:val="0051796C"/>
    <w:rsid w:val="00517A06"/>
    <w:rsid w:val="00531C13"/>
    <w:rsid w:val="00533530"/>
    <w:rsid w:val="0053473F"/>
    <w:rsid w:val="00542CE7"/>
    <w:rsid w:val="005438C2"/>
    <w:rsid w:val="005463D3"/>
    <w:rsid w:val="00562ABC"/>
    <w:rsid w:val="00572A5D"/>
    <w:rsid w:val="00574499"/>
    <w:rsid w:val="005760CD"/>
    <w:rsid w:val="00576C25"/>
    <w:rsid w:val="00577754"/>
    <w:rsid w:val="00591839"/>
    <w:rsid w:val="005A2287"/>
    <w:rsid w:val="005B1CB1"/>
    <w:rsid w:val="005B45D5"/>
    <w:rsid w:val="005D2264"/>
    <w:rsid w:val="005D33F2"/>
    <w:rsid w:val="005E391C"/>
    <w:rsid w:val="005E6329"/>
    <w:rsid w:val="005F193A"/>
    <w:rsid w:val="00603AAC"/>
    <w:rsid w:val="006044DC"/>
    <w:rsid w:val="00620684"/>
    <w:rsid w:val="00621640"/>
    <w:rsid w:val="00625107"/>
    <w:rsid w:val="00626F68"/>
    <w:rsid w:val="00627A93"/>
    <w:rsid w:val="0063562B"/>
    <w:rsid w:val="00635FEC"/>
    <w:rsid w:val="00637301"/>
    <w:rsid w:val="00640FC4"/>
    <w:rsid w:val="006433E8"/>
    <w:rsid w:val="006445BB"/>
    <w:rsid w:val="00645977"/>
    <w:rsid w:val="006575D5"/>
    <w:rsid w:val="00670F77"/>
    <w:rsid w:val="006710F7"/>
    <w:rsid w:val="006777E9"/>
    <w:rsid w:val="00681752"/>
    <w:rsid w:val="00681C3F"/>
    <w:rsid w:val="00687000"/>
    <w:rsid w:val="006913F0"/>
    <w:rsid w:val="00694320"/>
    <w:rsid w:val="006A25E0"/>
    <w:rsid w:val="006B5748"/>
    <w:rsid w:val="006C3E78"/>
    <w:rsid w:val="006D5B18"/>
    <w:rsid w:val="006E17B2"/>
    <w:rsid w:val="006E2AD7"/>
    <w:rsid w:val="006F2F62"/>
    <w:rsid w:val="006F2FC6"/>
    <w:rsid w:val="006F5DD4"/>
    <w:rsid w:val="006F7E96"/>
    <w:rsid w:val="007052DB"/>
    <w:rsid w:val="00711F5A"/>
    <w:rsid w:val="007211D6"/>
    <w:rsid w:val="0073132C"/>
    <w:rsid w:val="00734253"/>
    <w:rsid w:val="00740CC8"/>
    <w:rsid w:val="0074633B"/>
    <w:rsid w:val="0075391C"/>
    <w:rsid w:val="007579E3"/>
    <w:rsid w:val="00760F22"/>
    <w:rsid w:val="00763E34"/>
    <w:rsid w:val="00765E30"/>
    <w:rsid w:val="007706EC"/>
    <w:rsid w:val="00772515"/>
    <w:rsid w:val="0077430E"/>
    <w:rsid w:val="00776F9F"/>
    <w:rsid w:val="00777AFD"/>
    <w:rsid w:val="007812A1"/>
    <w:rsid w:val="00781453"/>
    <w:rsid w:val="007902E3"/>
    <w:rsid w:val="00792918"/>
    <w:rsid w:val="00794680"/>
    <w:rsid w:val="00796C1F"/>
    <w:rsid w:val="00797195"/>
    <w:rsid w:val="007A0DFD"/>
    <w:rsid w:val="007A5AC7"/>
    <w:rsid w:val="007B0C84"/>
    <w:rsid w:val="007B429B"/>
    <w:rsid w:val="007C34A9"/>
    <w:rsid w:val="007D789D"/>
    <w:rsid w:val="007E1044"/>
    <w:rsid w:val="007E622A"/>
    <w:rsid w:val="007E7893"/>
    <w:rsid w:val="007F2154"/>
    <w:rsid w:val="0080629A"/>
    <w:rsid w:val="00806CAC"/>
    <w:rsid w:val="00840CA9"/>
    <w:rsid w:val="00841743"/>
    <w:rsid w:val="00842EE5"/>
    <w:rsid w:val="00846B2E"/>
    <w:rsid w:val="008667C5"/>
    <w:rsid w:val="008714D2"/>
    <w:rsid w:val="008964D0"/>
    <w:rsid w:val="008A79BA"/>
    <w:rsid w:val="008B31BF"/>
    <w:rsid w:val="008B70EB"/>
    <w:rsid w:val="008C4D36"/>
    <w:rsid w:val="008D5B3F"/>
    <w:rsid w:val="008E2A0E"/>
    <w:rsid w:val="008F3569"/>
    <w:rsid w:val="008F4F15"/>
    <w:rsid w:val="008F6868"/>
    <w:rsid w:val="00900C5C"/>
    <w:rsid w:val="00914FC9"/>
    <w:rsid w:val="00921581"/>
    <w:rsid w:val="0094253B"/>
    <w:rsid w:val="00946CD8"/>
    <w:rsid w:val="00947A65"/>
    <w:rsid w:val="00955720"/>
    <w:rsid w:val="00962085"/>
    <w:rsid w:val="00962CFB"/>
    <w:rsid w:val="00975CC4"/>
    <w:rsid w:val="00983379"/>
    <w:rsid w:val="009A231C"/>
    <w:rsid w:val="009A32A6"/>
    <w:rsid w:val="009A4979"/>
    <w:rsid w:val="009C0796"/>
    <w:rsid w:val="009C4EA6"/>
    <w:rsid w:val="009D027A"/>
    <w:rsid w:val="009D4120"/>
    <w:rsid w:val="009D5421"/>
    <w:rsid w:val="009D5CA4"/>
    <w:rsid w:val="009D7383"/>
    <w:rsid w:val="009E60CF"/>
    <w:rsid w:val="009E6F28"/>
    <w:rsid w:val="009F51ED"/>
    <w:rsid w:val="009F5527"/>
    <w:rsid w:val="009F70CB"/>
    <w:rsid w:val="00A02763"/>
    <w:rsid w:val="00A03D69"/>
    <w:rsid w:val="00A045F5"/>
    <w:rsid w:val="00A05D99"/>
    <w:rsid w:val="00A0653D"/>
    <w:rsid w:val="00A13CC7"/>
    <w:rsid w:val="00A16DD7"/>
    <w:rsid w:val="00A20276"/>
    <w:rsid w:val="00A20385"/>
    <w:rsid w:val="00A335F9"/>
    <w:rsid w:val="00A43D7C"/>
    <w:rsid w:val="00A446FF"/>
    <w:rsid w:val="00A44FE6"/>
    <w:rsid w:val="00A47B34"/>
    <w:rsid w:val="00A6248B"/>
    <w:rsid w:val="00A6742A"/>
    <w:rsid w:val="00A76E11"/>
    <w:rsid w:val="00A8169A"/>
    <w:rsid w:val="00A8298A"/>
    <w:rsid w:val="00A9555A"/>
    <w:rsid w:val="00A95C59"/>
    <w:rsid w:val="00AB0CE9"/>
    <w:rsid w:val="00AB79E1"/>
    <w:rsid w:val="00AE0032"/>
    <w:rsid w:val="00AE784D"/>
    <w:rsid w:val="00B0692F"/>
    <w:rsid w:val="00B1543C"/>
    <w:rsid w:val="00B1661E"/>
    <w:rsid w:val="00B174DA"/>
    <w:rsid w:val="00B20F4D"/>
    <w:rsid w:val="00B24C71"/>
    <w:rsid w:val="00B27DA4"/>
    <w:rsid w:val="00B34562"/>
    <w:rsid w:val="00B56995"/>
    <w:rsid w:val="00B62C10"/>
    <w:rsid w:val="00B65FB9"/>
    <w:rsid w:val="00B6685F"/>
    <w:rsid w:val="00B70CEE"/>
    <w:rsid w:val="00B74F70"/>
    <w:rsid w:val="00B7544C"/>
    <w:rsid w:val="00B84AE9"/>
    <w:rsid w:val="00B9013B"/>
    <w:rsid w:val="00B97856"/>
    <w:rsid w:val="00BB3DC6"/>
    <w:rsid w:val="00BC2264"/>
    <w:rsid w:val="00BC4C76"/>
    <w:rsid w:val="00BC5BD3"/>
    <w:rsid w:val="00BD563F"/>
    <w:rsid w:val="00BE0C27"/>
    <w:rsid w:val="00BE4437"/>
    <w:rsid w:val="00BE58BA"/>
    <w:rsid w:val="00BF71EF"/>
    <w:rsid w:val="00BF72D4"/>
    <w:rsid w:val="00BF73DB"/>
    <w:rsid w:val="00BF7743"/>
    <w:rsid w:val="00C010B4"/>
    <w:rsid w:val="00C20B10"/>
    <w:rsid w:val="00C222C2"/>
    <w:rsid w:val="00C23A8F"/>
    <w:rsid w:val="00C242A5"/>
    <w:rsid w:val="00C2525A"/>
    <w:rsid w:val="00C25EA6"/>
    <w:rsid w:val="00C334F1"/>
    <w:rsid w:val="00C373D5"/>
    <w:rsid w:val="00C52D7A"/>
    <w:rsid w:val="00C54BEE"/>
    <w:rsid w:val="00C5619B"/>
    <w:rsid w:val="00C57669"/>
    <w:rsid w:val="00C630FF"/>
    <w:rsid w:val="00C71ECF"/>
    <w:rsid w:val="00C779FD"/>
    <w:rsid w:val="00C83373"/>
    <w:rsid w:val="00C8575C"/>
    <w:rsid w:val="00C86494"/>
    <w:rsid w:val="00C93545"/>
    <w:rsid w:val="00C94720"/>
    <w:rsid w:val="00C94952"/>
    <w:rsid w:val="00C961D4"/>
    <w:rsid w:val="00C96716"/>
    <w:rsid w:val="00C96A38"/>
    <w:rsid w:val="00CA6B1C"/>
    <w:rsid w:val="00CB018A"/>
    <w:rsid w:val="00CB25C5"/>
    <w:rsid w:val="00CB2DB0"/>
    <w:rsid w:val="00CB7D63"/>
    <w:rsid w:val="00CC17D1"/>
    <w:rsid w:val="00CC3BD8"/>
    <w:rsid w:val="00CC3CCC"/>
    <w:rsid w:val="00CD0E7C"/>
    <w:rsid w:val="00CD1FAC"/>
    <w:rsid w:val="00CE126B"/>
    <w:rsid w:val="00CE5E82"/>
    <w:rsid w:val="00CF7B10"/>
    <w:rsid w:val="00D03437"/>
    <w:rsid w:val="00D04B72"/>
    <w:rsid w:val="00D115EA"/>
    <w:rsid w:val="00D206C2"/>
    <w:rsid w:val="00D214B8"/>
    <w:rsid w:val="00D23684"/>
    <w:rsid w:val="00D3221F"/>
    <w:rsid w:val="00D34E6B"/>
    <w:rsid w:val="00D35CC5"/>
    <w:rsid w:val="00D37DE0"/>
    <w:rsid w:val="00D6261F"/>
    <w:rsid w:val="00D644A4"/>
    <w:rsid w:val="00D73F0B"/>
    <w:rsid w:val="00D8772B"/>
    <w:rsid w:val="00D916B8"/>
    <w:rsid w:val="00D9503C"/>
    <w:rsid w:val="00D9592F"/>
    <w:rsid w:val="00DA02F3"/>
    <w:rsid w:val="00DA4F8E"/>
    <w:rsid w:val="00DB050C"/>
    <w:rsid w:val="00DC024C"/>
    <w:rsid w:val="00DC0410"/>
    <w:rsid w:val="00DC3507"/>
    <w:rsid w:val="00DC7EBA"/>
    <w:rsid w:val="00DD2023"/>
    <w:rsid w:val="00DE0EBC"/>
    <w:rsid w:val="00E034C1"/>
    <w:rsid w:val="00E03FD1"/>
    <w:rsid w:val="00E06200"/>
    <w:rsid w:val="00E06EC2"/>
    <w:rsid w:val="00E0762F"/>
    <w:rsid w:val="00E07E67"/>
    <w:rsid w:val="00E17B1D"/>
    <w:rsid w:val="00E2532A"/>
    <w:rsid w:val="00E3167C"/>
    <w:rsid w:val="00E42D1A"/>
    <w:rsid w:val="00E47028"/>
    <w:rsid w:val="00E55F4F"/>
    <w:rsid w:val="00E561E8"/>
    <w:rsid w:val="00E6169F"/>
    <w:rsid w:val="00E62684"/>
    <w:rsid w:val="00E7767F"/>
    <w:rsid w:val="00E84C60"/>
    <w:rsid w:val="00E907FF"/>
    <w:rsid w:val="00E931EE"/>
    <w:rsid w:val="00E94CD7"/>
    <w:rsid w:val="00EA40FC"/>
    <w:rsid w:val="00EB10BF"/>
    <w:rsid w:val="00EC1C0A"/>
    <w:rsid w:val="00EC215B"/>
    <w:rsid w:val="00EC4025"/>
    <w:rsid w:val="00EF4594"/>
    <w:rsid w:val="00EF6550"/>
    <w:rsid w:val="00F00B1C"/>
    <w:rsid w:val="00F12B85"/>
    <w:rsid w:val="00F132AD"/>
    <w:rsid w:val="00F46885"/>
    <w:rsid w:val="00F47D6F"/>
    <w:rsid w:val="00F53B4C"/>
    <w:rsid w:val="00F5418B"/>
    <w:rsid w:val="00F56C80"/>
    <w:rsid w:val="00F57FFA"/>
    <w:rsid w:val="00F63A19"/>
    <w:rsid w:val="00F71F66"/>
    <w:rsid w:val="00F73EB9"/>
    <w:rsid w:val="00F806C6"/>
    <w:rsid w:val="00F81417"/>
    <w:rsid w:val="00F81FE9"/>
    <w:rsid w:val="00F853FB"/>
    <w:rsid w:val="00F864B9"/>
    <w:rsid w:val="00F91455"/>
    <w:rsid w:val="00F95109"/>
    <w:rsid w:val="00F9529C"/>
    <w:rsid w:val="00FA1287"/>
    <w:rsid w:val="00FA41BE"/>
    <w:rsid w:val="00FB02D9"/>
    <w:rsid w:val="00FB6744"/>
    <w:rsid w:val="00FD0419"/>
    <w:rsid w:val="00FD3065"/>
    <w:rsid w:val="00FD4E0F"/>
    <w:rsid w:val="00FD604D"/>
    <w:rsid w:val="00FD7DA6"/>
    <w:rsid w:val="00FE2C4F"/>
    <w:rsid w:val="00FE65F7"/>
    <w:rsid w:val="00FF031F"/>
    <w:rsid w:val="00FF2CE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2D0C4"/>
  <w15:docId w15:val="{BE076114-2D1C-4A55-AC7C-E37AECAE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CZ_Normální"/>
    <w:qFormat/>
    <w:rsid w:val="00FD4E0F"/>
    <w:pPr>
      <w:spacing w:before="120" w:after="120"/>
      <w:jc w:val="both"/>
    </w:pPr>
    <w:rPr>
      <w:sz w:val="22"/>
      <w:szCs w:val="24"/>
      <w:lang w:eastAsia="en-US"/>
    </w:rPr>
  </w:style>
  <w:style w:type="paragraph" w:styleId="Nadpis1">
    <w:name w:val="heading 1"/>
    <w:aliases w:val="CZ_Nadpis 1"/>
    <w:basedOn w:val="Normln"/>
    <w:next w:val="CZClanek11"/>
    <w:qFormat/>
    <w:rsid w:val="001D50DD"/>
    <w:pPr>
      <w:keepNext/>
      <w:numPr>
        <w:numId w:val="17"/>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ZClanek11"/>
    <w:semiHidden/>
    <w:unhideWhenUsed/>
    <w:qFormat/>
    <w:rsid w:val="001D50DD"/>
    <w:pPr>
      <w:ind w:firstLine="0"/>
    </w:pPr>
  </w:style>
  <w:style w:type="paragraph" w:customStyle="1" w:styleId="CZClanek11">
    <w:name w:val="CZ_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ZClaneka">
    <w:name w:val="CZ_Clanek (a)"/>
    <w:basedOn w:val="Normln"/>
    <w:qFormat/>
    <w:rsid w:val="00FF031F"/>
    <w:pPr>
      <w:keepLines/>
      <w:widowControl w:val="0"/>
      <w:numPr>
        <w:ilvl w:val="2"/>
        <w:numId w:val="17"/>
      </w:numPr>
    </w:pPr>
  </w:style>
  <w:style w:type="paragraph" w:customStyle="1" w:styleId="CZClaneki">
    <w:name w:val="CZ_Clanek (i)"/>
    <w:basedOn w:val="Normln"/>
    <w:qFormat/>
    <w:rsid w:val="00E06EC2"/>
    <w:pPr>
      <w:keepNext/>
      <w:numPr>
        <w:ilvl w:val="3"/>
        <w:numId w:val="17"/>
      </w:numPr>
    </w:pPr>
    <w:rPr>
      <w:color w:val="000000"/>
    </w:rPr>
  </w:style>
  <w:style w:type="paragraph" w:customStyle="1" w:styleId="CZText11">
    <w:name w:val="CZ_Text 1.1"/>
    <w:basedOn w:val="Normln"/>
    <w:qFormat/>
    <w:rsid w:val="004D0A5A"/>
    <w:pPr>
      <w:keepNext/>
      <w:ind w:left="561"/>
    </w:pPr>
    <w:rPr>
      <w:szCs w:val="20"/>
    </w:rPr>
  </w:style>
  <w:style w:type="paragraph" w:customStyle="1" w:styleId="CZTexta">
    <w:name w:val="CZ_Text (a)"/>
    <w:basedOn w:val="Normln"/>
    <w:link w:val="CZTextaChar"/>
    <w:qFormat/>
    <w:rsid w:val="004D0A5A"/>
    <w:pPr>
      <w:keepNext/>
      <w:ind w:left="992"/>
    </w:pPr>
    <w:rPr>
      <w:szCs w:val="20"/>
    </w:rPr>
  </w:style>
  <w:style w:type="paragraph" w:customStyle="1" w:styleId="CZTexti">
    <w:name w:val="CZ_Text (i)"/>
    <w:basedOn w:val="Normln"/>
    <w:link w:val="CZ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CZPreambule">
    <w:name w:val="CZ_Preambule"/>
    <w:basedOn w:val="Normln"/>
    <w:link w:val="CZPreambuleChar"/>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semiHidden/>
    <w:rsid w:val="00FF2CEE"/>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637301"/>
    <w:pPr>
      <w:spacing w:before="240" w:after="60"/>
      <w:jc w:val="center"/>
      <w:outlineLvl w:val="0"/>
    </w:pPr>
    <w:rPr>
      <w:rFonts w:cs="Arial"/>
      <w:b/>
      <w:bCs/>
      <w:caps/>
      <w:kern w:val="28"/>
      <w:szCs w:val="32"/>
    </w:rPr>
  </w:style>
  <w:style w:type="paragraph" w:customStyle="1" w:styleId="HHTitle2">
    <w:name w:val="HH Title 2"/>
    <w:basedOn w:val="Nzev"/>
    <w:rsid w:val="00637301"/>
    <w:pPr>
      <w:spacing w:after="120"/>
    </w:pPr>
  </w:style>
  <w:style w:type="paragraph" w:customStyle="1" w:styleId="Smluvnistranypreambule">
    <w:name w:val="Smluvni_strany_preambule"/>
    <w:basedOn w:val="Normln"/>
    <w:next w:val="Normln"/>
    <w:semiHidden/>
    <w:rsid w:val="00FF2CEE"/>
    <w:pPr>
      <w:spacing w:before="480" w:after="240"/>
    </w:pPr>
    <w:rPr>
      <w:b/>
      <w:caps/>
    </w:rPr>
  </w:style>
  <w:style w:type="paragraph" w:customStyle="1" w:styleId="Smluvstranya">
    <w:name w:val="Smluv.strany_&quot;a&quot;"/>
    <w:basedOn w:val="CZ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CZOdrazkapro1a11">
    <w:name w:val="CZ_Odrazka pro 1 a 1.1"/>
    <w:basedOn w:val="Normln"/>
    <w:link w:val="CZOdrazkapro1a11Char"/>
    <w:qFormat/>
    <w:rsid w:val="000E05A2"/>
    <w:pPr>
      <w:numPr>
        <w:numId w:val="28"/>
      </w:numPr>
      <w:tabs>
        <w:tab w:val="left" w:pos="992"/>
      </w:tabs>
      <w:ind w:left="992" w:hanging="425"/>
    </w:pPr>
  </w:style>
  <w:style w:type="paragraph" w:customStyle="1" w:styleId="StyleClanekaBold">
    <w:name w:val="Style Clanek (a) + Bold"/>
    <w:basedOn w:val="CZ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CZOdrazkaproa">
    <w:name w:val="CZ_Odrazka pro (a)"/>
    <w:basedOn w:val="CZTexta"/>
    <w:link w:val="CZOdrazkaproaChar"/>
    <w:qFormat/>
    <w:rsid w:val="000E05A2"/>
    <w:pPr>
      <w:numPr>
        <w:numId w:val="29"/>
      </w:numPr>
      <w:tabs>
        <w:tab w:val="left" w:pos="1418"/>
      </w:tabs>
      <w:ind w:left="1417" w:hanging="425"/>
    </w:pPr>
  </w:style>
  <w:style w:type="character" w:customStyle="1" w:styleId="CZOdrazkapro1a11Char">
    <w:name w:val="CZ_Odrazka pro 1 a 1.1 Char"/>
    <w:basedOn w:val="Standardnpsmoodstavce"/>
    <w:link w:val="CZOdrazkapro1a11"/>
    <w:rsid w:val="000E05A2"/>
    <w:rPr>
      <w:sz w:val="22"/>
      <w:szCs w:val="24"/>
      <w:lang w:eastAsia="en-US"/>
    </w:rPr>
  </w:style>
  <w:style w:type="paragraph" w:customStyle="1" w:styleId="CZOdrazkyproi">
    <w:name w:val="CZ_Odrazky pro (i)"/>
    <w:basedOn w:val="CZTexti"/>
    <w:link w:val="CZOdrazkyproiChar"/>
    <w:qFormat/>
    <w:rsid w:val="000E05A2"/>
    <w:pPr>
      <w:numPr>
        <w:numId w:val="30"/>
      </w:numPr>
      <w:tabs>
        <w:tab w:val="left" w:pos="1843"/>
      </w:tabs>
      <w:ind w:left="1843" w:hanging="425"/>
    </w:pPr>
  </w:style>
  <w:style w:type="character" w:customStyle="1" w:styleId="CZTextaChar">
    <w:name w:val="CZ_Text (a) Char"/>
    <w:basedOn w:val="Standardnpsmoodstavce"/>
    <w:link w:val="CZTexta"/>
    <w:rsid w:val="008E2A0E"/>
    <w:rPr>
      <w:sz w:val="22"/>
      <w:lang w:eastAsia="en-US"/>
    </w:rPr>
  </w:style>
  <w:style w:type="character" w:customStyle="1" w:styleId="CZOdrazkaproaChar">
    <w:name w:val="CZ_Odrazka pro (a) Char"/>
    <w:basedOn w:val="CZTextaChar"/>
    <w:link w:val="CZOdrazkaproa"/>
    <w:rsid w:val="000E05A2"/>
    <w:rPr>
      <w:sz w:val="22"/>
      <w:lang w:eastAsia="en-US"/>
    </w:rPr>
  </w:style>
  <w:style w:type="character" w:customStyle="1" w:styleId="CZTextiChar">
    <w:name w:val="CZ_Text (i) Char"/>
    <w:basedOn w:val="Standardnpsmoodstavce"/>
    <w:link w:val="CZTexti"/>
    <w:rsid w:val="008E2A0E"/>
    <w:rPr>
      <w:sz w:val="22"/>
      <w:lang w:eastAsia="en-US"/>
    </w:rPr>
  </w:style>
  <w:style w:type="character" w:customStyle="1" w:styleId="CZOdrazkyproiChar">
    <w:name w:val="CZ_Odrazky pro (i) Char"/>
    <w:basedOn w:val="CZTextiChar"/>
    <w:link w:val="CZOdrazkyproi"/>
    <w:rsid w:val="000E05A2"/>
    <w:rPr>
      <w:sz w:val="22"/>
      <w:lang w:eastAsia="en-US"/>
    </w:rPr>
  </w:style>
  <w:style w:type="table" w:styleId="Mkatabulky">
    <w:name w:val="Table Grid"/>
    <w:basedOn w:val="Normlntabulka"/>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ln"/>
    <w:link w:val="ENPreambuleChar"/>
    <w:rsid w:val="007B429B"/>
    <w:pPr>
      <w:numPr>
        <w:numId w:val="33"/>
      </w:numPr>
      <w:ind w:left="567" w:hanging="567"/>
    </w:pPr>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CZPreambuleChar">
    <w:name w:val="CZ_Preambule Char"/>
    <w:basedOn w:val="Standardnpsmoodstavce"/>
    <w:link w:val="CZPreambule"/>
    <w:rsid w:val="00F864B9"/>
    <w:rPr>
      <w:sz w:val="22"/>
      <w:szCs w:val="24"/>
      <w:lang w:eastAsia="en-US"/>
    </w:rPr>
  </w:style>
  <w:style w:type="character" w:customStyle="1" w:styleId="ENPreambuleChar">
    <w:name w:val="EN_Preambule Char"/>
    <w:basedOn w:val="CZPreambuleChar"/>
    <w:link w:val="ENPreambule"/>
    <w:rsid w:val="007B429B"/>
    <w:rPr>
      <w:sz w:val="22"/>
      <w:szCs w:val="24"/>
      <w:lang w:eastAsia="en-US"/>
    </w:rPr>
  </w:style>
  <w:style w:type="paragraph" w:customStyle="1" w:styleId="ENNadpis1">
    <w:name w:val="EN_Nadpis 1"/>
    <w:basedOn w:val="ENNormalni"/>
    <w:next w:val="ENClanek11"/>
    <w:qFormat/>
    <w:rsid w:val="00E3167C"/>
    <w:pPr>
      <w:numPr>
        <w:numId w:val="37"/>
      </w:numPr>
      <w:spacing w:before="240" w:after="0"/>
    </w:pPr>
    <w:rPr>
      <w:b/>
      <w:caps/>
    </w:rPr>
  </w:style>
  <w:style w:type="paragraph" w:customStyle="1" w:styleId="ENClanek11">
    <w:name w:val="EN_Clanek 1.1"/>
    <w:basedOn w:val="ENNormalni"/>
    <w:qFormat/>
    <w:rsid w:val="00E3167C"/>
    <w:pPr>
      <w:numPr>
        <w:ilvl w:val="1"/>
        <w:numId w:val="37"/>
      </w:numPr>
    </w:pPr>
  </w:style>
  <w:style w:type="paragraph" w:customStyle="1" w:styleId="ENClaneka">
    <w:name w:val="EN_Clanek (a)"/>
    <w:basedOn w:val="ENNormalni"/>
    <w:qFormat/>
    <w:rsid w:val="00E3167C"/>
    <w:pPr>
      <w:numPr>
        <w:ilvl w:val="2"/>
        <w:numId w:val="37"/>
      </w:numPr>
    </w:pPr>
  </w:style>
  <w:style w:type="paragraph" w:customStyle="1" w:styleId="ENClaneki">
    <w:name w:val="EN_Clanek (i)"/>
    <w:basedOn w:val="ENNormalni"/>
    <w:qFormat/>
    <w:rsid w:val="00E3167C"/>
    <w:pPr>
      <w:numPr>
        <w:ilvl w:val="3"/>
        <w:numId w:val="37"/>
      </w:numPr>
    </w:pPr>
  </w:style>
  <w:style w:type="paragraph" w:customStyle="1" w:styleId="ENPartiesNumber">
    <w:name w:val="EN_Parties_Number"/>
    <w:basedOn w:val="ENNormalni"/>
    <w:qFormat/>
    <w:rsid w:val="00B1661E"/>
    <w:pPr>
      <w:numPr>
        <w:numId w:val="35"/>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B1661E"/>
    <w:pPr>
      <w:ind w:left="992"/>
    </w:pPr>
  </w:style>
  <w:style w:type="paragraph" w:customStyle="1" w:styleId="ENTexti">
    <w:name w:val="EN_Text (i)"/>
    <w:basedOn w:val="ENNormalni"/>
    <w:qFormat/>
    <w:rsid w:val="00B1661E"/>
    <w:pPr>
      <w:ind w:left="1418"/>
    </w:pPr>
  </w:style>
  <w:style w:type="paragraph" w:customStyle="1" w:styleId="CZStranyNumber">
    <w:name w:val="CZ_Strany_Number"/>
    <w:basedOn w:val="Normln"/>
    <w:qFormat/>
    <w:rsid w:val="00FD4E0F"/>
    <w:pPr>
      <w:numPr>
        <w:numId w:val="36"/>
      </w:numPr>
      <w:ind w:left="567" w:hanging="567"/>
    </w:pPr>
  </w:style>
  <w:style w:type="paragraph" w:customStyle="1" w:styleId="ENOdrazkapro1a11">
    <w:name w:val="EN_Odrazka pro 1 a 1.1"/>
    <w:basedOn w:val="ENNormalni"/>
    <w:qFormat/>
    <w:rsid w:val="00123072"/>
    <w:pPr>
      <w:numPr>
        <w:numId w:val="38"/>
      </w:numPr>
      <w:ind w:left="992" w:hanging="425"/>
    </w:pPr>
  </w:style>
  <w:style w:type="paragraph" w:customStyle="1" w:styleId="ENOdrazkaproa">
    <w:name w:val="EN_Odrazka pro (a)"/>
    <w:basedOn w:val="ENNormalni"/>
    <w:qFormat/>
    <w:rsid w:val="00123072"/>
    <w:pPr>
      <w:numPr>
        <w:numId w:val="39"/>
      </w:numPr>
      <w:ind w:left="1417" w:hanging="425"/>
    </w:pPr>
  </w:style>
  <w:style w:type="paragraph" w:customStyle="1" w:styleId="ENOdrazkaproi">
    <w:name w:val="EN_Odrazka pro (i)"/>
    <w:basedOn w:val="ENNormalni"/>
    <w:qFormat/>
    <w:rsid w:val="00123072"/>
    <w:pPr>
      <w:numPr>
        <w:numId w:val="40"/>
      </w:numPr>
      <w:ind w:left="1843" w:hanging="425"/>
    </w:pPr>
  </w:style>
  <w:style w:type="paragraph" w:customStyle="1" w:styleId="StyleBodyText">
    <w:name w:val="Style Body Text"/>
    <w:aliases w:val="b + Bold"/>
    <w:basedOn w:val="Zkladntext"/>
    <w:link w:val="StyleBodyTextChar"/>
    <w:rsid w:val="00FD7DA6"/>
    <w:pPr>
      <w:spacing w:before="0" w:after="240"/>
    </w:pPr>
    <w:rPr>
      <w:b/>
      <w:bCs/>
      <w:lang w:val="en-GB"/>
    </w:rPr>
  </w:style>
  <w:style w:type="character" w:customStyle="1" w:styleId="StyleBodyTextChar">
    <w:name w:val="Style Body Text Char"/>
    <w:aliases w:val="b + Bold Char"/>
    <w:link w:val="StyleBodyText"/>
    <w:rsid w:val="00FD7DA6"/>
    <w:rPr>
      <w:b/>
      <w:bCs/>
      <w:sz w:val="22"/>
      <w:szCs w:val="24"/>
      <w:lang w:val="en-GB" w:eastAsia="en-US"/>
    </w:rPr>
  </w:style>
  <w:style w:type="paragraph" w:styleId="Zkladntext">
    <w:name w:val="Body Text"/>
    <w:aliases w:val="b"/>
    <w:basedOn w:val="Normln"/>
    <w:link w:val="ZkladntextChar"/>
    <w:rsid w:val="00FD7DA6"/>
  </w:style>
  <w:style w:type="character" w:customStyle="1" w:styleId="ZkladntextChar">
    <w:name w:val="Základní text Char"/>
    <w:aliases w:val="b Char"/>
    <w:basedOn w:val="Standardnpsmoodstavce"/>
    <w:link w:val="Zkladntext"/>
    <w:rsid w:val="00FD7DA6"/>
    <w:rPr>
      <w:sz w:val="22"/>
      <w:szCs w:val="24"/>
      <w:lang w:eastAsia="en-US"/>
    </w:rPr>
  </w:style>
  <w:style w:type="paragraph" w:customStyle="1" w:styleId="CMSHeadL1">
    <w:name w:val="CMS Head L1"/>
    <w:basedOn w:val="Normln"/>
    <w:next w:val="CMSHeadL2"/>
    <w:rsid w:val="009E60CF"/>
    <w:pPr>
      <w:pageBreakBefore/>
      <w:numPr>
        <w:numId w:val="41"/>
      </w:numPr>
      <w:spacing w:before="240" w:after="240"/>
      <w:jc w:val="center"/>
      <w:outlineLvl w:val="0"/>
    </w:pPr>
    <w:rPr>
      <w:b/>
      <w:sz w:val="28"/>
      <w:lang w:val="en-GB"/>
    </w:rPr>
  </w:style>
  <w:style w:type="paragraph" w:customStyle="1" w:styleId="CMSHeadL2">
    <w:name w:val="CMS Head L2"/>
    <w:basedOn w:val="Normln"/>
    <w:next w:val="CMSHeadL3"/>
    <w:rsid w:val="009E60CF"/>
    <w:pPr>
      <w:keepNext/>
      <w:keepLines/>
      <w:numPr>
        <w:ilvl w:val="1"/>
        <w:numId w:val="41"/>
      </w:numPr>
      <w:spacing w:before="240" w:after="240"/>
      <w:jc w:val="left"/>
      <w:outlineLvl w:val="1"/>
    </w:pPr>
    <w:rPr>
      <w:b/>
      <w:lang w:val="en-GB"/>
    </w:rPr>
  </w:style>
  <w:style w:type="paragraph" w:customStyle="1" w:styleId="CMSHeadL3">
    <w:name w:val="CMS Head L3"/>
    <w:basedOn w:val="Normln"/>
    <w:link w:val="CMSHeadL3Char"/>
    <w:rsid w:val="009E60CF"/>
    <w:pPr>
      <w:numPr>
        <w:ilvl w:val="2"/>
        <w:numId w:val="41"/>
      </w:numPr>
      <w:spacing w:before="0" w:after="240"/>
      <w:jc w:val="left"/>
      <w:outlineLvl w:val="2"/>
    </w:pPr>
    <w:rPr>
      <w:lang w:val="en-GB"/>
    </w:rPr>
  </w:style>
  <w:style w:type="paragraph" w:customStyle="1" w:styleId="CMSHeadL4">
    <w:name w:val="CMS Head L4"/>
    <w:basedOn w:val="Normln"/>
    <w:rsid w:val="009E60CF"/>
    <w:pPr>
      <w:numPr>
        <w:ilvl w:val="3"/>
        <w:numId w:val="41"/>
      </w:numPr>
      <w:spacing w:before="0" w:after="240"/>
      <w:jc w:val="left"/>
      <w:outlineLvl w:val="3"/>
    </w:pPr>
    <w:rPr>
      <w:lang w:val="en-GB"/>
    </w:rPr>
  </w:style>
  <w:style w:type="paragraph" w:customStyle="1" w:styleId="CMSHeadL5">
    <w:name w:val="CMS Head L5"/>
    <w:basedOn w:val="Normln"/>
    <w:rsid w:val="009E60CF"/>
    <w:pPr>
      <w:numPr>
        <w:ilvl w:val="4"/>
        <w:numId w:val="41"/>
      </w:numPr>
      <w:spacing w:before="0" w:after="240"/>
      <w:jc w:val="left"/>
      <w:outlineLvl w:val="4"/>
    </w:pPr>
    <w:rPr>
      <w:lang w:val="en-GB"/>
    </w:rPr>
  </w:style>
  <w:style w:type="paragraph" w:customStyle="1" w:styleId="CMSHeadL6">
    <w:name w:val="CMS Head L6"/>
    <w:basedOn w:val="Normln"/>
    <w:rsid w:val="009E60CF"/>
    <w:pPr>
      <w:numPr>
        <w:ilvl w:val="5"/>
        <w:numId w:val="41"/>
      </w:numPr>
      <w:spacing w:before="0" w:after="240"/>
      <w:jc w:val="left"/>
      <w:outlineLvl w:val="5"/>
    </w:pPr>
    <w:rPr>
      <w:lang w:val="en-GB"/>
    </w:rPr>
  </w:style>
  <w:style w:type="paragraph" w:customStyle="1" w:styleId="CMSHeadL7">
    <w:name w:val="CMS Head L7"/>
    <w:basedOn w:val="Normln"/>
    <w:rsid w:val="009E60CF"/>
    <w:pPr>
      <w:numPr>
        <w:ilvl w:val="6"/>
        <w:numId w:val="41"/>
      </w:numPr>
      <w:spacing w:before="0" w:after="240"/>
      <w:jc w:val="left"/>
      <w:outlineLvl w:val="6"/>
    </w:pPr>
    <w:rPr>
      <w:lang w:val="en-GB"/>
    </w:rPr>
  </w:style>
  <w:style w:type="paragraph" w:customStyle="1" w:styleId="CMSHeadL8">
    <w:name w:val="CMS Head L8"/>
    <w:basedOn w:val="Normln"/>
    <w:rsid w:val="009E60CF"/>
    <w:pPr>
      <w:numPr>
        <w:ilvl w:val="7"/>
        <w:numId w:val="41"/>
      </w:numPr>
      <w:spacing w:before="0" w:after="240"/>
      <w:jc w:val="left"/>
      <w:outlineLvl w:val="7"/>
    </w:pPr>
    <w:rPr>
      <w:lang w:val="en-GB"/>
    </w:rPr>
  </w:style>
  <w:style w:type="paragraph" w:customStyle="1" w:styleId="CMSHeadL9">
    <w:name w:val="CMS Head L9"/>
    <w:basedOn w:val="Normln"/>
    <w:rsid w:val="009E60CF"/>
    <w:pPr>
      <w:numPr>
        <w:ilvl w:val="8"/>
        <w:numId w:val="41"/>
      </w:numPr>
      <w:spacing w:before="0" w:after="240"/>
      <w:jc w:val="left"/>
      <w:outlineLvl w:val="8"/>
    </w:pPr>
    <w:rPr>
      <w:lang w:val="en-GB"/>
    </w:rPr>
  </w:style>
  <w:style w:type="character" w:customStyle="1" w:styleId="CMSHeadL3Char">
    <w:name w:val="CMS Head L3 Char"/>
    <w:link w:val="CMSHeadL3"/>
    <w:rsid w:val="009E60CF"/>
    <w:rPr>
      <w:sz w:val="22"/>
      <w:szCs w:val="24"/>
      <w:lang w:val="en-GB" w:eastAsia="en-US"/>
    </w:rPr>
  </w:style>
  <w:style w:type="paragraph" w:styleId="slovanseznam4">
    <w:name w:val="List Number 4"/>
    <w:basedOn w:val="Normln"/>
    <w:rsid w:val="004A1EFB"/>
    <w:pPr>
      <w:numPr>
        <w:numId w:val="42"/>
      </w:numPr>
      <w:spacing w:before="0" w:after="240"/>
      <w:jc w:val="left"/>
    </w:pPr>
    <w:rPr>
      <w:lang w:val="en-GB"/>
    </w:rPr>
  </w:style>
  <w:style w:type="paragraph" w:customStyle="1" w:styleId="Default">
    <w:name w:val="Default"/>
    <w:rsid w:val="004A1EFB"/>
    <w:pPr>
      <w:autoSpaceDE w:val="0"/>
      <w:autoSpaceDN w:val="0"/>
      <w:adjustRightInd w:val="0"/>
    </w:pPr>
    <w:rPr>
      <w:color w:val="000000"/>
      <w:sz w:val="24"/>
      <w:szCs w:val="24"/>
      <w:lang w:val="en-US" w:eastAsia="pl-PL"/>
    </w:rPr>
  </w:style>
  <w:style w:type="paragraph" w:customStyle="1" w:styleId="Clanek11">
    <w:name w:val="Clanek 1.1"/>
    <w:basedOn w:val="Nadpis2"/>
    <w:link w:val="Clanek11Char"/>
    <w:qFormat/>
    <w:rsid w:val="004A1EFB"/>
    <w:pPr>
      <w:keepNext w:val="0"/>
      <w:widowControl w:val="0"/>
      <w:numPr>
        <w:ilvl w:val="0"/>
        <w:numId w:val="0"/>
      </w:numPr>
      <w:tabs>
        <w:tab w:val="num" w:pos="567"/>
      </w:tabs>
      <w:spacing w:before="120" w:after="120"/>
      <w:ind w:left="567" w:hanging="567"/>
    </w:pPr>
    <w:rPr>
      <w:rFonts w:ascii="Imago" w:hAnsi="Imago"/>
      <w:b w:val="0"/>
      <w:i w:val="0"/>
      <w:sz w:val="22"/>
    </w:rPr>
  </w:style>
  <w:style w:type="character" w:customStyle="1" w:styleId="Clanek11Char">
    <w:name w:val="Clanek 1.1 Char"/>
    <w:link w:val="Clanek11"/>
    <w:locked/>
    <w:rsid w:val="004A1EFB"/>
    <w:rPr>
      <w:rFonts w:ascii="Imago" w:hAnsi="Imago" w:cs="Arial"/>
      <w:bCs/>
      <w:iCs/>
      <w:sz w:val="22"/>
      <w:szCs w:val="28"/>
      <w:lang w:eastAsia="en-US"/>
    </w:rPr>
  </w:style>
  <w:style w:type="paragraph" w:customStyle="1" w:styleId="CoverSheetParty">
    <w:name w:val="CoverSheet Party"/>
    <w:basedOn w:val="Normln"/>
    <w:rsid w:val="003A2521"/>
    <w:pPr>
      <w:keepNext/>
      <w:spacing w:before="0" w:after="240"/>
      <w:jc w:val="center"/>
    </w:pPr>
    <w:rPr>
      <w:rFonts w:eastAsia="SimSun"/>
      <w:b/>
      <w:sz w:val="28"/>
      <w:lang w:val="en-GB" w:eastAsia="zh-CN"/>
    </w:rPr>
  </w:style>
  <w:style w:type="paragraph" w:customStyle="1" w:styleId="CoverSheetTitle">
    <w:name w:val="CoverSheet Title"/>
    <w:basedOn w:val="Normln"/>
    <w:rsid w:val="003A2521"/>
    <w:pPr>
      <w:keepNext/>
      <w:spacing w:before="0" w:after="0"/>
      <w:jc w:val="center"/>
    </w:pPr>
    <w:rPr>
      <w:rFonts w:eastAsia="SimSun"/>
      <w:b/>
      <w:sz w:val="28"/>
      <w:lang w:val="en-GB" w:eastAsia="zh-CN"/>
    </w:rPr>
  </w:style>
  <w:style w:type="paragraph" w:customStyle="1" w:styleId="CMSANSchedule1">
    <w:name w:val="CMS AN Schedule 1"/>
    <w:next w:val="CMSANSchedule2"/>
    <w:uiPriority w:val="23"/>
    <w:rsid w:val="00796C1F"/>
    <w:pPr>
      <w:keepNext/>
      <w:pageBreakBefore/>
      <w:numPr>
        <w:numId w:val="44"/>
      </w:numPr>
      <w:spacing w:after="240" w:line="300" w:lineRule="atLeast"/>
      <w:jc w:val="center"/>
      <w:outlineLvl w:val="0"/>
    </w:pPr>
    <w:rPr>
      <w:rFonts w:eastAsiaTheme="minorHAnsi" w:cs="Segoe Script"/>
      <w:b/>
      <w:caps/>
      <w:color w:val="000000" w:themeColor="text1"/>
      <w:sz w:val="22"/>
      <w:szCs w:val="22"/>
      <w:lang w:val="en-GB" w:eastAsia="en-US"/>
    </w:rPr>
  </w:style>
  <w:style w:type="paragraph" w:customStyle="1" w:styleId="CMSANSchedule2">
    <w:name w:val="CMS AN Schedule 2"/>
    <w:next w:val="CMSANSchedule4"/>
    <w:uiPriority w:val="23"/>
    <w:rsid w:val="00796C1F"/>
    <w:pPr>
      <w:keepNext/>
      <w:numPr>
        <w:ilvl w:val="1"/>
        <w:numId w:val="44"/>
      </w:numPr>
      <w:spacing w:before="240" w:after="120" w:line="300" w:lineRule="atLeast"/>
      <w:jc w:val="center"/>
      <w:outlineLvl w:val="1"/>
    </w:pPr>
    <w:rPr>
      <w:rFonts w:eastAsiaTheme="minorHAnsi" w:cs="Segoe Script"/>
      <w:b/>
      <w:color w:val="000000" w:themeColor="text1"/>
      <w:sz w:val="22"/>
      <w:szCs w:val="22"/>
      <w:lang w:val="en-GB" w:eastAsia="en-US"/>
    </w:rPr>
  </w:style>
  <w:style w:type="paragraph" w:customStyle="1" w:styleId="CMSANSchedule3">
    <w:name w:val="CMS AN Schedule 3"/>
    <w:next w:val="CMSANSchedule4"/>
    <w:uiPriority w:val="23"/>
    <w:rsid w:val="00796C1F"/>
    <w:pPr>
      <w:numPr>
        <w:ilvl w:val="2"/>
        <w:numId w:val="44"/>
      </w:numPr>
      <w:spacing w:before="240" w:after="120" w:line="300" w:lineRule="atLeast"/>
      <w:jc w:val="center"/>
      <w:outlineLvl w:val="2"/>
    </w:pPr>
    <w:rPr>
      <w:rFonts w:eastAsiaTheme="minorHAnsi" w:cs="Segoe Script"/>
      <w:b/>
      <w:color w:val="000000" w:themeColor="text1"/>
      <w:sz w:val="22"/>
      <w:szCs w:val="22"/>
      <w:lang w:val="en-GB" w:eastAsia="en-US"/>
    </w:rPr>
  </w:style>
  <w:style w:type="paragraph" w:customStyle="1" w:styleId="CMSANSchedule4">
    <w:name w:val="CMS AN Schedule 4"/>
    <w:next w:val="CMSANSchedule5"/>
    <w:uiPriority w:val="23"/>
    <w:rsid w:val="00796C1F"/>
    <w:pPr>
      <w:keepNext/>
      <w:numPr>
        <w:ilvl w:val="3"/>
        <w:numId w:val="44"/>
      </w:numPr>
      <w:spacing w:before="240" w:after="120" w:line="300" w:lineRule="atLeast"/>
      <w:jc w:val="both"/>
      <w:outlineLvl w:val="3"/>
    </w:pPr>
    <w:rPr>
      <w:rFonts w:eastAsiaTheme="minorHAnsi" w:cs="Segoe Script"/>
      <w:b/>
      <w:caps/>
      <w:color w:val="000000" w:themeColor="text1"/>
      <w:sz w:val="22"/>
      <w:szCs w:val="22"/>
      <w:lang w:val="en-GB" w:eastAsia="en-US"/>
    </w:rPr>
  </w:style>
  <w:style w:type="paragraph" w:customStyle="1" w:styleId="CMSANSchedule5">
    <w:name w:val="CMS AN Schedule 5"/>
    <w:uiPriority w:val="23"/>
    <w:rsid w:val="00796C1F"/>
    <w:pPr>
      <w:numPr>
        <w:ilvl w:val="4"/>
        <w:numId w:val="44"/>
      </w:numPr>
      <w:spacing w:before="120" w:after="120" w:line="300" w:lineRule="atLeast"/>
      <w:jc w:val="both"/>
      <w:outlineLvl w:val="4"/>
    </w:pPr>
    <w:rPr>
      <w:rFonts w:eastAsiaTheme="minorHAnsi" w:cs="Segoe Script"/>
      <w:color w:val="000000" w:themeColor="text1"/>
      <w:sz w:val="22"/>
      <w:szCs w:val="22"/>
      <w:lang w:val="en-GB" w:eastAsia="en-US"/>
    </w:rPr>
  </w:style>
  <w:style w:type="paragraph" w:customStyle="1" w:styleId="CMSANSchedule6">
    <w:name w:val="CMS AN Schedule 6"/>
    <w:uiPriority w:val="23"/>
    <w:rsid w:val="00796C1F"/>
    <w:pPr>
      <w:numPr>
        <w:ilvl w:val="5"/>
        <w:numId w:val="44"/>
      </w:numPr>
      <w:spacing w:before="120" w:after="120" w:line="300" w:lineRule="atLeast"/>
      <w:jc w:val="both"/>
      <w:outlineLvl w:val="5"/>
    </w:pPr>
    <w:rPr>
      <w:rFonts w:eastAsiaTheme="minorHAnsi" w:cs="Segoe Script"/>
      <w:color w:val="000000" w:themeColor="text1"/>
      <w:sz w:val="22"/>
      <w:szCs w:val="22"/>
      <w:lang w:val="en-GB" w:eastAsia="en-US"/>
    </w:rPr>
  </w:style>
  <w:style w:type="paragraph" w:customStyle="1" w:styleId="CMSANSchedule7">
    <w:name w:val="CMS AN Schedule 7"/>
    <w:uiPriority w:val="23"/>
    <w:rsid w:val="00796C1F"/>
    <w:pPr>
      <w:numPr>
        <w:ilvl w:val="6"/>
        <w:numId w:val="44"/>
      </w:numPr>
      <w:spacing w:before="120" w:after="120" w:line="300" w:lineRule="atLeast"/>
      <w:jc w:val="both"/>
      <w:outlineLvl w:val="6"/>
    </w:pPr>
    <w:rPr>
      <w:rFonts w:eastAsiaTheme="minorHAnsi" w:cs="Segoe Script"/>
      <w:color w:val="000000" w:themeColor="text1"/>
      <w:sz w:val="22"/>
      <w:szCs w:val="22"/>
      <w:lang w:val="en-GB" w:eastAsia="en-US"/>
    </w:rPr>
  </w:style>
  <w:style w:type="paragraph" w:customStyle="1" w:styleId="CMSANBodyText">
    <w:name w:val="CMS AN Body Text"/>
    <w:uiPriority w:val="9"/>
    <w:qFormat/>
    <w:rsid w:val="00796C1F"/>
    <w:pPr>
      <w:spacing w:before="120" w:after="120" w:line="300" w:lineRule="atLeast"/>
      <w:jc w:val="both"/>
    </w:pPr>
    <w:rPr>
      <w:rFonts w:eastAsiaTheme="minorHAnsi" w:cs="Segoe Script"/>
      <w:color w:val="000000" w:themeColor="text1"/>
      <w:sz w:val="22"/>
      <w:szCs w:val="22"/>
      <w:lang w:val="en-GB" w:eastAsia="en-US"/>
    </w:rPr>
  </w:style>
  <w:style w:type="paragraph" w:customStyle="1" w:styleId="CMSANSchedule8">
    <w:name w:val="CMS AN Schedule 8"/>
    <w:uiPriority w:val="23"/>
    <w:rsid w:val="00796C1F"/>
    <w:pPr>
      <w:numPr>
        <w:ilvl w:val="7"/>
        <w:numId w:val="44"/>
      </w:numPr>
      <w:spacing w:before="120" w:after="120" w:line="300" w:lineRule="atLeast"/>
      <w:jc w:val="both"/>
      <w:outlineLvl w:val="7"/>
    </w:pPr>
    <w:rPr>
      <w:rFonts w:eastAsiaTheme="minorHAnsi"/>
      <w:color w:val="000000" w:themeColor="text1"/>
      <w:sz w:val="22"/>
      <w:szCs w:val="22"/>
      <w:lang w:val="en-GB" w:eastAsia="en-US"/>
    </w:rPr>
  </w:style>
  <w:style w:type="paragraph" w:customStyle="1" w:styleId="CMSANSchedule9">
    <w:name w:val="CMS AN Schedule 9"/>
    <w:uiPriority w:val="23"/>
    <w:rsid w:val="00796C1F"/>
    <w:pPr>
      <w:numPr>
        <w:ilvl w:val="8"/>
        <w:numId w:val="44"/>
      </w:numPr>
      <w:spacing w:before="120" w:after="120" w:line="300" w:lineRule="atLeast"/>
      <w:jc w:val="both"/>
      <w:outlineLvl w:val="8"/>
    </w:pPr>
    <w:rPr>
      <w:rFonts w:eastAsiaTheme="minorHAnsi"/>
      <w:color w:val="000000" w:themeColor="text1"/>
      <w:sz w:val="22"/>
      <w:szCs w:val="22"/>
      <w:lang w:val="en-GB" w:eastAsia="en-US"/>
    </w:rPr>
  </w:style>
  <w:style w:type="numbering" w:customStyle="1" w:styleId="CMS-ANSchedule">
    <w:name w:val="CMS-AN Schedule"/>
    <w:uiPriority w:val="99"/>
    <w:rsid w:val="00796C1F"/>
    <w:pPr>
      <w:numPr>
        <w:numId w:val="44"/>
      </w:numPr>
    </w:pPr>
  </w:style>
  <w:style w:type="table" w:customStyle="1" w:styleId="CMSTableHRlight2">
    <w:name w:val="CMS Table HR light 2"/>
    <w:basedOn w:val="Normlntabulka"/>
    <w:uiPriority w:val="99"/>
    <w:rsid w:val="00796C1F"/>
    <w:rPr>
      <w:rFonts w:eastAsiaTheme="minorHAnsi" w:cstheme="minorBidi"/>
      <w:sz w:val="22"/>
      <w:szCs w:val="22"/>
      <w:lang w:val="en-GB"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A09791"/>
      </w:tcPr>
    </w:tblStylePr>
  </w:style>
  <w:style w:type="character" w:styleId="Odkaznakoment">
    <w:name w:val="annotation reference"/>
    <w:basedOn w:val="Standardnpsmoodstavce"/>
    <w:semiHidden/>
    <w:unhideWhenUsed/>
    <w:rsid w:val="00B74F70"/>
    <w:rPr>
      <w:sz w:val="16"/>
      <w:szCs w:val="16"/>
    </w:rPr>
  </w:style>
  <w:style w:type="paragraph" w:styleId="Textkomente">
    <w:name w:val="annotation text"/>
    <w:basedOn w:val="Normln"/>
    <w:link w:val="TextkomenteChar"/>
    <w:unhideWhenUsed/>
    <w:rsid w:val="00B74F70"/>
    <w:rPr>
      <w:sz w:val="20"/>
      <w:szCs w:val="20"/>
    </w:rPr>
  </w:style>
  <w:style w:type="character" w:customStyle="1" w:styleId="TextkomenteChar">
    <w:name w:val="Text komentáře Char"/>
    <w:basedOn w:val="Standardnpsmoodstavce"/>
    <w:link w:val="Textkomente"/>
    <w:rsid w:val="00B74F70"/>
    <w:rPr>
      <w:lang w:eastAsia="en-US"/>
    </w:rPr>
  </w:style>
  <w:style w:type="paragraph" w:styleId="Textbubliny">
    <w:name w:val="Balloon Text"/>
    <w:basedOn w:val="Normln"/>
    <w:link w:val="TextbublinyChar"/>
    <w:rsid w:val="00B74F70"/>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B74F70"/>
    <w:rPr>
      <w:rFonts w:ascii="Segoe UI" w:hAnsi="Segoe UI" w:cs="Segoe UI"/>
      <w:sz w:val="18"/>
      <w:szCs w:val="18"/>
      <w:lang w:eastAsia="en-US"/>
    </w:rPr>
  </w:style>
  <w:style w:type="paragraph" w:customStyle="1" w:styleId="CMSANParties">
    <w:name w:val="CMS AN Parties"/>
    <w:rsid w:val="00C5619B"/>
    <w:pPr>
      <w:numPr>
        <w:numId w:val="45"/>
      </w:numPr>
      <w:spacing w:before="120" w:after="120" w:line="300" w:lineRule="atLeast"/>
      <w:jc w:val="both"/>
      <w:outlineLvl w:val="3"/>
    </w:pPr>
    <w:rPr>
      <w:rFonts w:eastAsia="Calibri" w:cs="Segoe Script"/>
      <w:color w:val="000000"/>
      <w:sz w:val="22"/>
      <w:szCs w:val="22"/>
      <w:lang w:val="en-GB" w:eastAsia="en-US"/>
    </w:rPr>
  </w:style>
  <w:style w:type="numbering" w:customStyle="1" w:styleId="CMS-ANParties">
    <w:name w:val="CMS-AN Parties"/>
    <w:uiPriority w:val="99"/>
    <w:rsid w:val="00C5619B"/>
    <w:pPr>
      <w:numPr>
        <w:numId w:val="46"/>
      </w:numPr>
    </w:pPr>
  </w:style>
  <w:style w:type="paragraph" w:styleId="Pedmtkomente">
    <w:name w:val="annotation subject"/>
    <w:basedOn w:val="Textkomente"/>
    <w:next w:val="Textkomente"/>
    <w:link w:val="PedmtkomenteChar"/>
    <w:semiHidden/>
    <w:unhideWhenUsed/>
    <w:rsid w:val="00366234"/>
    <w:rPr>
      <w:b/>
      <w:bCs/>
    </w:rPr>
  </w:style>
  <w:style w:type="character" w:customStyle="1" w:styleId="PedmtkomenteChar">
    <w:name w:val="Předmět komentáře Char"/>
    <w:basedOn w:val="TextkomenteChar"/>
    <w:link w:val="Pedmtkomente"/>
    <w:semiHidden/>
    <w:rsid w:val="0036623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17129">
      <w:bodyDiv w:val="1"/>
      <w:marLeft w:val="0"/>
      <w:marRight w:val="0"/>
      <w:marTop w:val="0"/>
      <w:marBottom w:val="0"/>
      <w:divBdr>
        <w:top w:val="none" w:sz="0" w:space="0" w:color="auto"/>
        <w:left w:val="none" w:sz="0" w:space="0" w:color="auto"/>
        <w:bottom w:val="none" w:sz="0" w:space="0" w:color="auto"/>
        <w:right w:val="none" w:sz="0" w:space="0" w:color="auto"/>
      </w:divBdr>
    </w:div>
    <w:div w:id="1201017906">
      <w:bodyDiv w:val="1"/>
      <w:marLeft w:val="0"/>
      <w:marRight w:val="0"/>
      <w:marTop w:val="0"/>
      <w:marBottom w:val="0"/>
      <w:divBdr>
        <w:top w:val="none" w:sz="0" w:space="0" w:color="auto"/>
        <w:left w:val="none" w:sz="0" w:space="0" w:color="auto"/>
        <w:bottom w:val="none" w:sz="0" w:space="0" w:color="auto"/>
        <w:right w:val="none" w:sz="0" w:space="0" w:color="auto"/>
      </w:divBdr>
    </w:div>
    <w:div w:id="1923833819">
      <w:bodyDiv w:val="1"/>
      <w:marLeft w:val="0"/>
      <w:marRight w:val="0"/>
      <w:marTop w:val="0"/>
      <w:marBottom w:val="0"/>
      <w:divBdr>
        <w:top w:val="none" w:sz="0" w:space="0" w:color="auto"/>
        <w:left w:val="none" w:sz="0" w:space="0" w:color="auto"/>
        <w:bottom w:val="none" w:sz="0" w:space="0" w:color="auto"/>
        <w:right w:val="none" w:sz="0" w:space="0" w:color="auto"/>
      </w:divBdr>
    </w:div>
    <w:div w:id="1927957195">
      <w:bodyDiv w:val="1"/>
      <w:marLeft w:val="0"/>
      <w:marRight w:val="0"/>
      <w:marTop w:val="0"/>
      <w:marBottom w:val="0"/>
      <w:divBdr>
        <w:top w:val="none" w:sz="0" w:space="0" w:color="auto"/>
        <w:left w:val="none" w:sz="0" w:space="0" w:color="auto"/>
        <w:bottom w:val="none" w:sz="0" w:space="0" w:color="auto"/>
        <w:right w:val="none" w:sz="0" w:space="0" w:color="auto"/>
      </w:divBdr>
    </w:div>
    <w:div w:id="1977756871">
      <w:bodyDiv w:val="1"/>
      <w:marLeft w:val="0"/>
      <w:marRight w:val="0"/>
      <w:marTop w:val="0"/>
      <w:marBottom w:val="0"/>
      <w:divBdr>
        <w:top w:val="none" w:sz="0" w:space="0" w:color="auto"/>
        <w:left w:val="none" w:sz="0" w:space="0" w:color="auto"/>
        <w:bottom w:val="none" w:sz="0" w:space="0" w:color="auto"/>
        <w:right w:val="none" w:sz="0" w:space="0" w:color="auto"/>
      </w:divBdr>
    </w:div>
    <w:div w:id="209369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H&amp;P_Template_Smlouva_dvojjazycna_CZ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F8F34BDC8F3A4F82A1507557B331B3" ma:contentTypeVersion="9" ma:contentTypeDescription="Create a new document." ma:contentTypeScope="" ma:versionID="bc62f65564ca2fe78f4e84a447bb70f1">
  <xsd:schema xmlns:xsd="http://www.w3.org/2001/XMLSchema" xmlns:xs="http://www.w3.org/2001/XMLSchema" xmlns:p="http://schemas.microsoft.com/office/2006/metadata/properties" xmlns:ns1="http://schemas.microsoft.com/sharepoint/v3" xmlns:ns2="913c4f39-6d5a-4056-ac0b-3c005f1ed6b6" targetNamespace="http://schemas.microsoft.com/office/2006/metadata/properties" ma:root="true" ma:fieldsID="e607821fab106b62b12d0f1ceb9a2fd3" ns1:_="" ns2:_="">
    <xsd:import namespace="http://schemas.microsoft.com/sharepoint/v3"/>
    <xsd:import namespace="913c4f39-6d5a-4056-ac0b-3c005f1ed6b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c4f39-6d5a-4056-ac0b-3c005f1ed6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725E0-A676-47FE-948C-8EA1406F4D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3D19BA-D8B5-4E86-8007-3C2402B79C33}">
  <ds:schemaRefs>
    <ds:schemaRef ds:uri="http://schemas.openxmlformats.org/officeDocument/2006/bibliography"/>
  </ds:schemaRefs>
</ds:datastoreItem>
</file>

<file path=customXml/itemProps3.xml><?xml version="1.0" encoding="utf-8"?>
<ds:datastoreItem xmlns:ds="http://schemas.openxmlformats.org/officeDocument/2006/customXml" ds:itemID="{8DBD8B21-F002-4C4B-A273-6DF4700C6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c4f39-6d5a-4056-ac0b-3c005f1ed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99404-9A0B-4C65-8AF2-9F2568723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H&amp;P_Template_Smlouva_dvojjazycna_CZ_EN</Template>
  <TotalTime>13</TotalTime>
  <Pages>4</Pages>
  <Words>891</Words>
  <Characters>5260</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Heimlichova (Contractor)</dc:creator>
  <cp:keywords/>
  <dc:description/>
  <cp:lastModifiedBy>Lucie Heimlichova (Contractor)</cp:lastModifiedBy>
  <cp:revision>2</cp:revision>
  <cp:lastPrinted>2009-06-19T10:08:00Z</cp:lastPrinted>
  <dcterms:created xsi:type="dcterms:W3CDTF">2025-08-22T08:02:00Z</dcterms:created>
  <dcterms:modified xsi:type="dcterms:W3CDTF">2025-09-02T08:33:00Z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2025-01-06T21:05:45Z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e5e577f1-702c-463e-b634-db9e17aaf30e</vt:lpwstr>
  </property>
  <property fmtid="{D5CDD505-2E9C-101B-9397-08002B2CF9AE}" pid="8" name="MSIP_Label_f15a8442-68f3-4087-8f05-d564bed44e92_ContentBits">
    <vt:lpwstr>0</vt:lpwstr>
  </property>
  <property fmtid="{D5CDD505-2E9C-101B-9397-08002B2CF9AE}" pid="9" name="Order">
    <vt:r8>12300</vt:r8>
  </property>
  <property fmtid="{D5CDD505-2E9C-101B-9397-08002B2CF9AE}" pid="10" name="ContentTypeId">
    <vt:lpwstr>0x010100B2F8F34BDC8F3A4F82A1507557B331B3</vt:lpwstr>
  </property>
  <property fmtid="{D5CDD505-2E9C-101B-9397-08002B2CF9AE}" pid="11" name="MSIP_Label_418c1083-8924-401d-97ae-40f5eed0fcd8_Enabled">
    <vt:lpwstr>true</vt:lpwstr>
  </property>
  <property fmtid="{D5CDD505-2E9C-101B-9397-08002B2CF9AE}" pid="12" name="MSIP_Label_418c1083-8924-401d-97ae-40f5eed0fcd8_SetDate">
    <vt:lpwstr>2025-04-08T11:47:03Z</vt:lpwstr>
  </property>
  <property fmtid="{D5CDD505-2E9C-101B-9397-08002B2CF9AE}" pid="13" name="MSIP_Label_418c1083-8924-401d-97ae-40f5eed0fcd8_Method">
    <vt:lpwstr>Standard</vt:lpwstr>
  </property>
  <property fmtid="{D5CDD505-2E9C-101B-9397-08002B2CF9AE}" pid="14" name="MSIP_Label_418c1083-8924-401d-97ae-40f5eed0fcd8_Name">
    <vt:lpwstr>418c1083-8924-401d-97ae-40f5eed0fcd8</vt:lpwstr>
  </property>
  <property fmtid="{D5CDD505-2E9C-101B-9397-08002B2CF9AE}" pid="15" name="MSIP_Label_418c1083-8924-401d-97ae-40f5eed0fcd8_SiteId">
    <vt:lpwstr>a5a8bcaa-3292-41e6-b735-5e8b21f4dbfd</vt:lpwstr>
  </property>
  <property fmtid="{D5CDD505-2E9C-101B-9397-08002B2CF9AE}" pid="16" name="MSIP_Label_418c1083-8924-401d-97ae-40f5eed0fcd8_ActionId">
    <vt:lpwstr>9ef3b9ad-791b-4bbc-b4db-f59e61392280</vt:lpwstr>
  </property>
  <property fmtid="{D5CDD505-2E9C-101B-9397-08002B2CF9AE}" pid="17" name="MSIP_Label_418c1083-8924-401d-97ae-40f5eed0fcd8_ContentBits">
    <vt:lpwstr>0</vt:lpwstr>
  </property>
  <property fmtid="{D5CDD505-2E9C-101B-9397-08002B2CF9AE}" pid="18" name="MSIP_Label_418c1083-8924-401d-97ae-40f5eed0fcd8_Tag">
    <vt:lpwstr>50, 3, 0, 1</vt:lpwstr>
  </property>
</Properties>
</file>