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082800" cy="791210"/>
            <wp:effectExtent b="0" l="0" r="0" t="0"/>
            <wp:docPr descr="logo_CENTRUM_KOCIANKA-01" id="2" name="image1.jpg"/>
            <a:graphic>
              <a:graphicData uri="http://schemas.openxmlformats.org/drawingml/2006/picture">
                <pic:pic>
                  <pic:nvPicPr>
                    <pic:cNvPr descr="logo_CENTRUM_KOCIANKA-01" id="0" name="image1.jpg"/>
                    <pic:cNvPicPr preferRelativeResize="0"/>
                  </pic:nvPicPr>
                  <pic:blipFill>
                    <a:blip r:embed="rId7"/>
                    <a:srcRect b="25182" l="11601" r="11301" t="1658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91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NÁJEMNÍ SMLOUVA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uzavřená, níže uvedeného dne, měsíce a roku mezi smluvními stranami, kterými jsou:</w:t>
      </w:r>
    </w:p>
    <w:p w:rsidR="00000000" w:rsidDel="00000000" w:rsidP="00000000" w:rsidRDefault="00000000" w:rsidRPr="00000000" w14:paraId="00000007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Pronajímatel:              Centrum Kociánka</w:t>
      </w:r>
    </w:p>
    <w:p w:rsidR="00000000" w:rsidDel="00000000" w:rsidP="00000000" w:rsidRDefault="00000000" w:rsidRPr="00000000" w14:paraId="0000000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ab/>
        <w:t xml:space="preserve">Kociánka 93/2, 612 00 Brno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E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F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10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č. ú.</w:t>
        <w:tab/>
        <w:t xml:space="preserve">197136621/0710</w:t>
      </w:r>
    </w:p>
    <w:p w:rsidR="00000000" w:rsidDel="00000000" w:rsidP="00000000" w:rsidRDefault="00000000" w:rsidRPr="00000000" w14:paraId="00000011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Zastoupený:</w:t>
        <w:tab/>
        <w:tab/>
        <w:t xml:space="preserve">ředitelem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</w:p>
    <w:p w:rsidR="00000000" w:rsidDel="00000000" w:rsidP="00000000" w:rsidRDefault="00000000" w:rsidRPr="00000000" w14:paraId="0000001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plavčík</w:t>
      </w:r>
    </w:p>
    <w:p w:rsidR="00000000" w:rsidDel="00000000" w:rsidP="00000000" w:rsidRDefault="00000000" w:rsidRPr="00000000" w14:paraId="0000001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e-mail: plavcik@kocianka.cz</w:t>
      </w:r>
    </w:p>
    <w:p w:rsidR="00000000" w:rsidDel="00000000" w:rsidP="00000000" w:rsidRDefault="00000000" w:rsidRPr="00000000" w14:paraId="00000014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pronajímatel)</w:t>
      </w:r>
    </w:p>
    <w:p w:rsidR="00000000" w:rsidDel="00000000" w:rsidP="00000000" w:rsidRDefault="00000000" w:rsidRPr="00000000" w14:paraId="0000001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</w:p>
    <w:p w:rsidR="00000000" w:rsidDel="00000000" w:rsidP="00000000" w:rsidRDefault="00000000" w:rsidRPr="00000000" w14:paraId="0000001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Nájemce:</w:t>
        <w:tab/>
        <w:t xml:space="preserve">              Střední škola Gemini Brno, příspěvková organizace</w:t>
      </w:r>
    </w:p>
    <w:p w:rsidR="00000000" w:rsidDel="00000000" w:rsidP="00000000" w:rsidRDefault="00000000" w:rsidRPr="00000000" w14:paraId="0000001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 xml:space="preserve">               Vaculíkova 259/14, 638 00 Brno</w:t>
      </w:r>
    </w:p>
    <w:p w:rsidR="00000000" w:rsidDel="00000000" w:rsidP="00000000" w:rsidRDefault="00000000" w:rsidRPr="00000000" w14:paraId="0000001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ab/>
        <w:tab/>
        <w:t xml:space="preserve">48515027</w:t>
      </w:r>
    </w:p>
    <w:p w:rsidR="00000000" w:rsidDel="00000000" w:rsidP="00000000" w:rsidRDefault="00000000" w:rsidRPr="00000000" w14:paraId="0000001D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                                    není plátce DPH</w:t>
      </w:r>
    </w:p>
    <w:p w:rsidR="00000000" w:rsidDel="00000000" w:rsidP="00000000" w:rsidRDefault="00000000" w:rsidRPr="00000000" w14:paraId="0000001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Komerční banka a.s.</w:t>
      </w:r>
    </w:p>
    <w:p w:rsidR="00000000" w:rsidDel="00000000" w:rsidP="00000000" w:rsidRDefault="00000000" w:rsidRPr="00000000" w14:paraId="0000001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č. ú.:</w:t>
        <w:tab/>
        <w:tab/>
        <w:tab/>
        <w:t xml:space="preserve">107-5078940257/0100</w:t>
      </w:r>
    </w:p>
    <w:p w:rsidR="00000000" w:rsidDel="00000000" w:rsidP="00000000" w:rsidRDefault="00000000" w:rsidRPr="00000000" w14:paraId="0000002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Zastoupený:</w:t>
        <w:tab/>
        <w:t xml:space="preserve">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– ředitelem školy             </w:t>
      </w:r>
    </w:p>
    <w:p w:rsidR="00000000" w:rsidDel="00000000" w:rsidP="00000000" w:rsidRDefault="00000000" w:rsidRPr="00000000" w14:paraId="0000002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učitelka</w:t>
      </w:r>
    </w:p>
    <w:p w:rsidR="00000000" w:rsidDel="00000000" w:rsidP="00000000" w:rsidRDefault="00000000" w:rsidRPr="00000000" w14:paraId="00000022">
      <w:pPr>
        <w:ind w:right="141"/>
        <w:jc w:val="both"/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14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25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Předmět nájmu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20" w:right="20" w:hanging="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příslušnost hospodaření podle zákona č.219/2000 Sb. O majetku ČR a jejím vystupování v právních vztazích s budovami areálu na adrese Brno, Královo Pole, Kociánka 93/2, tak,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bazén + přilehlé šatny, sprchy a WC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budově bez č.p./ev. stojící na pozemku p.č. 4194/2, k. ú, Královo Pole, obec Brno.</w:t>
      </w:r>
    </w:p>
    <w:p w:rsidR="00000000" w:rsidDel="00000000" w:rsidP="00000000" w:rsidRDefault="00000000" w:rsidRPr="00000000" w14:paraId="0000002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E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Účel nájmu</w:t>
      </w:r>
    </w:p>
    <w:p w:rsidR="00000000" w:rsidDel="00000000" w:rsidP="00000000" w:rsidRDefault="00000000" w:rsidRPr="00000000" w14:paraId="0000002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za účelem provozu rehabilitačních plaveckých aktivit nájemce.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nebo k bezplatnému užívání třetí osobě.</w:t>
      </w:r>
    </w:p>
    <w:p w:rsidR="00000000" w:rsidDel="00000000" w:rsidP="00000000" w:rsidRDefault="00000000" w:rsidRPr="00000000" w14:paraId="00000033">
      <w:pPr>
        <w:ind w:right="141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35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Cena nájmu a služby s nájmem spojené, způsob úhrady</w:t>
      </w:r>
      <w:r w:rsidDel="00000000" w:rsidR="00000000" w:rsidRPr="00000000">
        <w:rPr>
          <w:rFonts w:ascii="Arial" w:cs="Arial" w:eastAsia="Arial" w:hAnsi="Arial"/>
          <w:color w:val="92d05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227" w:right="141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Nájemné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za předmět nájmu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včetně úhrady za služby s nájmem spojené (energie, voda, teplo, úklid) se sjednává dohodou smluvních stran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ve výši 2.000,-Kč za hodinu včetně  zákonné sazby DPH.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27" w:right="141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22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Úhradu nájemného a služeb provede nájemce po obdržení faktury vystavené pronajímatelem k vyznačenému datu splatnosti na účet pronajímatele uvedený v záhlaví smlouvy. Pronajímatel nájemci vystaví fakturu za období září – prosinec 2025  v lednu 2026 a za období leden – červen 2026 v červenci 2026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line="276" w:lineRule="auto"/>
        <w:ind w:left="227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Nebude-li nájemné zaplaceno ve sjednané lhůtě, zavazuje se nájemce zaplatit pronajímateli smluvní pokutu ve výši 0,05% dlužné částky za každý den prodlení.</w:t>
      </w:r>
    </w:p>
    <w:p w:rsidR="00000000" w:rsidDel="00000000" w:rsidP="00000000" w:rsidRDefault="00000000" w:rsidRPr="00000000" w14:paraId="0000003D">
      <w:pPr>
        <w:ind w:right="141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3F">
      <w:pPr>
        <w:ind w:right="14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nájemce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s 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13" w:right="141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povinen respektovat všechny bezpečnostní, hygienické, protipožární a další závazné předpisy pronajímatele týkající se předmětu nájmu.</w:t>
      </w:r>
    </w:p>
    <w:p w:rsidR="00000000" w:rsidDel="00000000" w:rsidP="00000000" w:rsidRDefault="00000000" w:rsidRPr="00000000" w14:paraId="00000042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v rámci touto smlouvou uzavřené dohody o spolupráci zajistí po dobu využívání předmětu nájmu v časovém rozsahu dle článku VI. bodu 2 smlouvy   účast osoby odpovědné za dozor nad bezpečností osob v bazénu ( plavčíka), který na bezpečnost osob v bazénu bude po tuto dobu vždy dohlížet a v případě nebezpečí odborně zasáhne  s poskytnutím odborné první pomoci a zajistí přivolání lékařské pomoci, bude-li toho třeba.</w:t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Klíče od předmětu nájmu převezme na recepci při vstupu do areálu a stejně tak odevzdá při odchodu výlučně plavčík nájemce. Osoba plavčíka bude pronajímatelem zaevidována s potvrzením o způsobilosti k výkonu plavčíka, jako osoba odpovědná ve smyslu čl. IV. odst. 2 smlouvy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za dozor nad bezpečností osob v bazénu. Jiné osobě než plavčíkovi, klíče vydány pronajímatelem nebudou. </w:t>
      </w:r>
    </w:p>
    <w:p w:rsidR="00000000" w:rsidDel="00000000" w:rsidP="00000000" w:rsidRDefault="00000000" w:rsidRPr="00000000" w14:paraId="00000046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Škody, které pronajímateli vzniknou v souvislosti s provozem předmětu nájmu, a to jak osobami z řad  nájemce, tak osobami, kterým nájemce umožní do pronajatých prostor přístup, hradí nájemce.</w:t>
      </w:r>
    </w:p>
    <w:p w:rsidR="00000000" w:rsidDel="00000000" w:rsidP="00000000" w:rsidRDefault="00000000" w:rsidRPr="00000000" w14:paraId="00000048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A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je povinen užívat předmět nájmu pouze k účelu stanovenému touto smlouvou.</w:t>
      </w:r>
    </w:p>
    <w:p w:rsidR="00000000" w:rsidDel="00000000" w:rsidP="00000000" w:rsidRDefault="00000000" w:rsidRPr="00000000" w14:paraId="0000004C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oprávněn přenechat předmět nájmu do užívání a podnájmu třetímu subjektu pouze na základě písemného souhlasu pronajímatele.</w:t>
      </w:r>
    </w:p>
    <w:p w:rsidR="00000000" w:rsidDel="00000000" w:rsidP="00000000" w:rsidRDefault="00000000" w:rsidRPr="00000000" w14:paraId="0000004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V.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pronajímatele</w:t>
      </w:r>
    </w:p>
    <w:p w:rsidR="00000000" w:rsidDel="00000000" w:rsidP="00000000" w:rsidRDefault="00000000" w:rsidRPr="00000000" w14:paraId="00000054">
      <w:pPr>
        <w:jc w:val="center"/>
        <w:rPr>
          <w:rFonts w:ascii="Georgia" w:cs="Georgia" w:eastAsia="Georgia" w:hAnsi="Georgia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umožnit ode dne účinnosti této smlouvy užívání předmětu nájmu.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5E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Doba nájmu</w:t>
      </w:r>
    </w:p>
    <w:p w:rsidR="00000000" w:rsidDel="00000000" w:rsidP="00000000" w:rsidRDefault="00000000" w:rsidRPr="00000000" w14:paraId="0000005F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na dobu určitou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 účinností od 5. 9. 2025  do  26.6. 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x8rbma65uuy1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mimo období prázdnin a státních svátků,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ltwgrrjti9p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41" w:hanging="36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každý pátek v čase  10:15 hodin – 11:45 hodin.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Doba 15 minut před zahájením užívání předmětu nájmu a 15 minut po ukončení doby užívání předmětu nájmu ve vyhrazeném čase se nepočítá.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skončí uplynutím ujednané doby nájmu. Nájem mohou smluvní strany ukončit též dohodou.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000000" w:rsidDel="00000000" w:rsidP="00000000" w:rsidRDefault="00000000" w:rsidRPr="00000000" w14:paraId="0000006A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Nájemce může vypovědět nájem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C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283"/>
        <w:jc w:val="both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7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Ostatní ujednání</w:t>
      </w:r>
    </w:p>
    <w:p w:rsidR="00000000" w:rsidDel="00000000" w:rsidP="00000000" w:rsidRDefault="00000000" w:rsidRPr="00000000" w14:paraId="0000007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smlouvy je příloha č.1. - situační plán bazénu.</w:t>
      </w:r>
    </w:p>
    <w:p w:rsidR="00000000" w:rsidDel="00000000" w:rsidP="00000000" w:rsidRDefault="00000000" w:rsidRPr="00000000" w14:paraId="0000007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možné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měnit nebo doplňovat pouze písemně za sebou řazenými číselně označenými dodatky.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je účinná zveřejněním v registru smluv podle podmínek zákona č.340/2015 Sb. o registru smluv. Zveřejnění provede pronajímatel.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si smlouvu přečetly,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 Brně dne 27.6.2025</w:t>
      </w:r>
    </w:p>
    <w:p w:rsidR="00000000" w:rsidDel="00000000" w:rsidP="00000000" w:rsidRDefault="00000000" w:rsidRPr="00000000" w14:paraId="0000008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</w:t>
      </w:r>
    </w:p>
    <w:p w:rsidR="00000000" w:rsidDel="00000000" w:rsidP="00000000" w:rsidRDefault="00000000" w:rsidRPr="00000000" w14:paraId="0000008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pronajímatele:</w:t>
        <w:tab/>
        <w:tab/>
        <w:tab/>
        <w:t xml:space="preserve">                Za nájemce:</w:t>
      </w:r>
    </w:p>
    <w:p w:rsidR="00000000" w:rsidDel="00000000" w:rsidP="00000000" w:rsidRDefault="00000000" w:rsidRPr="00000000" w14:paraId="0000008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………………………..…………</w:t>
        <w:tab/>
        <w:tab/>
        <w:t xml:space="preserve">                ………………………….………</w:t>
      </w:r>
    </w:p>
    <w:p w:rsidR="00000000" w:rsidDel="00000000" w:rsidP="00000000" w:rsidRDefault="00000000" w:rsidRPr="00000000" w14:paraId="0000008D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</w:t>
        <w:tab/>
        <w:tab/>
        <w:tab/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ředitel</w:t>
      </w:r>
    </w:p>
    <w:p w:rsidR="00000000" w:rsidDel="00000000" w:rsidP="00000000" w:rsidRDefault="00000000" w:rsidRPr="00000000" w14:paraId="0000008E">
      <w:pPr>
        <w:ind w:right="141"/>
        <w:rPr>
          <w:rFonts w:ascii="Georgia" w:cs="Georgia" w:eastAsia="Georgia" w:hAnsi="Georgia"/>
          <w:color w:val="000000"/>
          <w:highlight w:val="white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ab/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14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141"/>
        <w:jc w:val="right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ind w:right="141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Vogue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94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Georgia" w:cs="Georgia" w:eastAsia="Georgia" w:hAnsi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120" w:lineRule="auto"/>
      <w:jc w:val="center"/>
    </w:pPr>
    <w:rPr>
      <w:rFonts w:ascii="Vogue" w:cs="Vogue" w:eastAsia="Vogue" w:hAnsi="Vogue"/>
      <w:b w:val="1"/>
      <w:sz w:val="36"/>
      <w:szCs w:val="3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zevChar" w:customStyle="1">
    <w:name w:val="Název Char"/>
    <w:basedOn w:val="Standardnpsmoodstavce"/>
    <w:link w:val="Nzev"/>
    <w:rsid w:val="00765EC4"/>
    <w:rPr>
      <w:rFonts w:ascii="Vogue" w:cs="Times New Roman" w:eastAsia="Times New Roman" w:hAnsi="Vogue"/>
      <w:b w:val="1"/>
      <w:sz w:val="36"/>
      <w:szCs w:val="20"/>
    </w:rPr>
  </w:style>
  <w:style w:type="character" w:styleId="PodnadpisChar" w:customStyle="1">
    <w:name w:val="Podnadpis Char"/>
    <w:basedOn w:val="Standardnpsmoodstavce"/>
    <w:link w:val="Podnadpis"/>
    <w:rsid w:val="00765EC4"/>
    <w:rPr>
      <w:rFonts w:ascii="Arial" w:cs="Tahoma" w:eastAsia="Lucida Sans Unicode" w:hAnsi="Arial"/>
      <w:i w:val="1"/>
      <w:iCs w:val="1"/>
      <w:sz w:val="28"/>
      <w:szCs w:val="28"/>
    </w:rPr>
  </w:style>
  <w:style w:type="paragraph" w:styleId="Normlnweb">
    <w:name w:val="Normal (Web)"/>
    <w:basedOn w:val="Normln"/>
    <w:uiPriority w:val="99"/>
    <w:unhideWhenUsed w:val="1"/>
    <w:rsid w:val="00765EC4"/>
    <w:pPr>
      <w:suppressAutoHyphens w:val="0"/>
      <w:spacing w:after="100" w:afterAutospacing="1" w:before="100" w:before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765EC4"/>
    <w:rPr>
      <w:color w:val="0000ff"/>
      <w:u w:val="single"/>
    </w:rPr>
  </w:style>
  <w:style w:type="character" w:styleId="Nadpis3Char" w:customStyle="1">
    <w:name w:val="Nadpis 3 Char"/>
    <w:basedOn w:val="Standardnpsmoodstavce"/>
    <w:link w:val="Nadpis3"/>
    <w:uiPriority w:val="9"/>
    <w:rsid w:val="004E6FC0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Zkladntext">
    <w:name w:val="Body Text"/>
    <w:basedOn w:val="Normln"/>
    <w:link w:val="ZkladntextChar"/>
    <w:rsid w:val="004E6FC0"/>
    <w:pPr>
      <w:suppressAutoHyphens w:val="0"/>
      <w:jc w:val="center"/>
    </w:pPr>
    <w:rPr>
      <w:rFonts w:ascii="Arial" w:hAnsi="Arial"/>
      <w:sz w:val="22"/>
    </w:rPr>
  </w:style>
  <w:style w:type="character" w:styleId="ZkladntextChar" w:customStyle="1">
    <w:name w:val="Základní text Char"/>
    <w:basedOn w:val="Standardnpsmoodstavce"/>
    <w:link w:val="Zkladntext"/>
    <w:rsid w:val="004E6FC0"/>
    <w:rPr>
      <w:rFonts w:ascii="Arial" w:cs="Times New Roman" w:eastAsia="Times New Roman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 w:val="1"/>
    <w:rsid w:val="004E6FC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4E6FC0"/>
    <w:rPr>
      <w:rFonts w:ascii="Calibri" w:cs="Times New Roman" w:eastAsia="Calibri" w:hAnsi="Calibri"/>
    </w:rPr>
  </w:style>
  <w:style w:type="paragraph" w:styleId="Odstavecseseznamem">
    <w:name w:val="List Paragraph"/>
    <w:basedOn w:val="Normln"/>
    <w:uiPriority w:val="34"/>
    <w:qFormat w:val="1"/>
    <w:rsid w:val="004E6FC0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 w:val="1"/>
    <w:unhideWhenUsed w:val="1"/>
    <w:rsid w:val="0026552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26552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65524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65524"/>
    <w:rPr>
      <w:rFonts w:ascii="Tahoma" w:cs="Tahoma" w:eastAsia="Times New Roman" w:hAnsi="Tahoma"/>
      <w:sz w:val="16"/>
      <w:szCs w:val="16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9D00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4Z5KQlwVrxskzgI54EQAgZYPA==">CgMxLjAyDmgueDhyYm1hNjV1dXkxMg5oLmx0d2dycmp0aTlwZDgAciExMlN3X0pZQ3VrMDBHSkJiMUVPX1Y4ZFh4Wk56UW5DSzU=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2025-06-26T14:22:00Z</dcterms:created>
  <dc:creator>GitaPC</dc:creator>
</cp:coreProperties>
</file>