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300"/>
        <w:gridCol w:w="1380"/>
        <w:gridCol w:w="60"/>
        <w:gridCol w:w="20"/>
        <w:gridCol w:w="100"/>
        <w:gridCol w:w="20"/>
        <w:gridCol w:w="820"/>
        <w:gridCol w:w="1380"/>
        <w:gridCol w:w="520"/>
        <w:gridCol w:w="160"/>
        <w:gridCol w:w="240"/>
        <w:gridCol w:w="80"/>
        <w:gridCol w:w="20"/>
        <w:gridCol w:w="80"/>
        <w:gridCol w:w="240"/>
        <w:gridCol w:w="440"/>
        <w:gridCol w:w="180"/>
        <w:gridCol w:w="640"/>
        <w:gridCol w:w="2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20"/>
        <w:gridCol w:w="20"/>
        <w:gridCol w:w="20"/>
        <w:gridCol w:w="4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129169703" name="Picture">
</wp:docPr>
                  <a:graphic>
                    <a:graphicData uri="http://schemas.openxmlformats.org/drawingml/2006/picture">
                      <pic:pic>
                        <pic:nvPicPr>
                          <pic:cNvPr id="2129169703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80"/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b w:val="true"/>
                <w:i w:val="true"/>
              </w:rPr>
              <w:t xml:space="preserve">Objednávka č.: 0025010350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25010350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87775282" name="Picture">
</wp:docPr>
                  <a:graphic>
                    <a:graphicData uri="http://schemas.openxmlformats.org/drawingml/2006/picture">
                      <pic:pic>
                        <pic:nvPicPr>
                          <pic:cNvPr id="1587775282" name="Picture"/>
                          <pic:cNvPicPr/>
                        </pic:nvPicPr>
                        <pic:blipFill>
                          <a:blip r:embed="img_0_0_32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Dodavatel</w:t>
            </w:r>
          </w:p>
        </w:tc>
        <w:tc>
          <w:tcPr>
            <w:gridSpan w:val="14"/>
            <w:vMerge w:val="restart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Malvern Panalytical B.V., odštěpný závod</w:t>
              <w:br/>
              <w:t xml:space="preserve">Pod Krejcárkem 975/2</w:t>
              <w:br/>
              <w:t xml:space="preserve">130 00 Praha 3</w:t>
              <w:br/>
              <w:t xml:space="preserve">Česká republika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left="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Konečný příjemce</w:t>
            </w:r>
          </w:p>
        </w:tc>
        <w:tc>
          <w:tcPr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restart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RNDr. Dr. Bezdička Petr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28540077</w:t>
            </w:r>
          </w:p>
        </w:tc>
        <w:tc>
          <w:tcPr>
            <w:gridSpan w:val="2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CZ28540077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e-mail: petrb@iic.cas.cz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do:</w:t>
            </w:r>
          </w:p>
        </w:tc>
        <w:tc>
          <w:tcPr>
            <w:gridSpan w:val="3"/>
            <w:vMerge w:val="restart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15.09.2025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Místo dodání: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 ČR,v.v.i., Husinec-Řež č.p. 1001, budova 275 (FII), 250 68  Husinec-Řež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Způsob dopravy: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Dodací podmínky: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bez DPH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bez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Vysokonapěťový kabel 3M dle nabídky č.: DY2653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1,00</w:t>
            </w: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ks</w:t>
            </w:r>
          </w:p>
        </w:tc>
        <w:tc>
          <w:tcPr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117 600,00 Kč</w:t>
            </w:r>
          </w:p>
        </w:tc>
        <w:tc>
          <w:tcPr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117 600,00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 Předpokládaná cena celkem (bez DPH):</w:t>
            </w:r>
          </w:p>
        </w:tc>
        <w:tc>
          <w:tcPr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b w:val="true"/>
              </w:rPr>
              <w:t xml:space="preserve">117 600,00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01.09.2025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Müllerová Jana</w:t>
              <w:br/>
              <w:t xml:space="preserve">Tel.: 311236951, E-mail: objednavky@iic.cas.cz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: 742901 \ 320 \ 330002 Bezdička \ 0730   Deník: 1 \ Neinvestice - CZK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2" Type="http://schemas.openxmlformats.org/officeDocument/2006/relationships/image" Target="media/img_0_0_32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