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924F" w14:textId="77777777" w:rsidR="00A12DC6" w:rsidRDefault="00320781">
      <w:pPr>
        <w:pStyle w:val="Nadpis1"/>
      </w:pPr>
      <w:r>
        <w:t>předběžných tržních konzultací</w:t>
      </w:r>
      <w:r>
        <w:t xml:space="preserve"> </w:t>
      </w:r>
    </w:p>
    <w:p w14:paraId="3855E253" w14:textId="77777777" w:rsidR="00A12DC6" w:rsidRDefault="00320781">
      <w:pPr>
        <w:spacing w:after="7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1D86D48" w14:textId="77777777" w:rsidR="00A12DC6" w:rsidRDefault="00320781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14:paraId="76E548E8" w14:textId="77777777" w:rsidR="00A12DC6" w:rsidRDefault="00320781">
      <w:pPr>
        <w:spacing w:after="0" w:line="259" w:lineRule="auto"/>
        <w:ind w:left="0" w:firstLine="0"/>
        <w:jc w:val="left"/>
      </w:pPr>
      <w:r>
        <w:rPr>
          <w:b/>
          <w:sz w:val="26"/>
        </w:rPr>
        <w:t xml:space="preserve">Analýza návštěvnosti GSM dat </w:t>
      </w:r>
      <w:proofErr w:type="gramStart"/>
      <w:r>
        <w:rPr>
          <w:b/>
          <w:sz w:val="26"/>
        </w:rPr>
        <w:t>2025  N</w:t>
      </w:r>
      <w:proofErr w:type="gramEnd"/>
      <w:r>
        <w:rPr>
          <w:b/>
          <w:sz w:val="26"/>
        </w:rPr>
        <w:t xml:space="preserve">006/25/V000… </w:t>
      </w:r>
    </w:p>
    <w:p w14:paraId="552ADFBF" w14:textId="77777777" w:rsidR="00A12DC6" w:rsidRDefault="00320781">
      <w:pPr>
        <w:spacing w:after="9" w:line="259" w:lineRule="auto"/>
        <w:ind w:left="0" w:firstLine="0"/>
        <w:jc w:val="left"/>
      </w:pPr>
      <w:r>
        <w:t xml:space="preserve"> </w:t>
      </w:r>
      <w:r>
        <w:rPr>
          <w:sz w:val="18"/>
        </w:rPr>
        <w:t xml:space="preserve"> </w:t>
      </w:r>
    </w:p>
    <w:p w14:paraId="68D678C7" w14:textId="77777777" w:rsidR="00A12DC6" w:rsidRDefault="00320781">
      <w:pPr>
        <w:tabs>
          <w:tab w:val="center" w:pos="6326"/>
        </w:tabs>
        <w:spacing w:after="0" w:line="259" w:lineRule="auto"/>
        <w:ind w:left="-15" w:firstLine="0"/>
        <w:jc w:val="left"/>
      </w:pPr>
      <w:r>
        <w:t>N</w:t>
      </w:r>
      <w:r>
        <w:t xml:space="preserve">ázev </w:t>
      </w:r>
      <w:r>
        <w:t xml:space="preserve">   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 xml:space="preserve">Česká centrála cestovního ruchu – </w:t>
      </w:r>
    </w:p>
    <w:p w14:paraId="06E454B2" w14:textId="77777777" w:rsidR="00A12DC6" w:rsidRDefault="00320781">
      <w:pPr>
        <w:spacing w:after="0" w:line="259" w:lineRule="auto"/>
        <w:ind w:left="943" w:firstLine="0"/>
        <w:jc w:val="center"/>
      </w:pPr>
      <w:r>
        <w:rPr>
          <w:b/>
        </w:rPr>
        <w:t>CzechTourism</w:t>
      </w:r>
      <w:r>
        <w:t xml:space="preserve"> </w:t>
      </w:r>
      <w:r>
        <w:rPr>
          <w:sz w:val="24"/>
        </w:rPr>
        <w:t xml:space="preserve"> </w:t>
      </w:r>
    </w:p>
    <w:tbl>
      <w:tblPr>
        <w:tblStyle w:val="TableGrid"/>
        <w:tblW w:w="8433" w:type="dxa"/>
        <w:tblInd w:w="0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18"/>
        <w:gridCol w:w="4215"/>
      </w:tblGrid>
      <w:tr w:rsidR="00A12DC6" w14:paraId="66C45D13" w14:textId="77777777">
        <w:trPr>
          <w:trHeight w:val="314"/>
        </w:trPr>
        <w:tc>
          <w:tcPr>
            <w:tcW w:w="42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91E172" w14:textId="77777777" w:rsidR="00A12DC6" w:rsidRDefault="00320781">
            <w:pPr>
              <w:spacing w:after="0" w:line="259" w:lineRule="auto"/>
              <w:ind w:left="0" w:firstLine="0"/>
              <w:jc w:val="left"/>
            </w:pPr>
            <w:r>
              <w:t xml:space="preserve">Sídlo </w:t>
            </w:r>
            <w:r>
              <w:t xml:space="preserve"> 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828F67" w14:textId="77777777" w:rsidR="00A12DC6" w:rsidRDefault="00320781">
            <w:pPr>
              <w:spacing w:after="0" w:line="259" w:lineRule="auto"/>
              <w:ind w:left="0" w:firstLine="0"/>
              <w:jc w:val="left"/>
            </w:pPr>
            <w:r>
              <w:t>Štěpánská 567/15, 120 00 Praha 2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A12DC6" w14:paraId="52AF4EC1" w14:textId="77777777">
        <w:trPr>
          <w:trHeight w:val="317"/>
        </w:trPr>
        <w:tc>
          <w:tcPr>
            <w:tcW w:w="42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33949F" w14:textId="77777777" w:rsidR="00A12DC6" w:rsidRDefault="00320781">
            <w:pPr>
              <w:spacing w:after="0" w:line="259" w:lineRule="auto"/>
              <w:ind w:left="0" w:firstLine="0"/>
              <w:jc w:val="left"/>
            </w:pPr>
            <w:r>
              <w:t>IČO: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D94EC2" w14:textId="77777777" w:rsidR="00A12DC6" w:rsidRDefault="00320781">
            <w:pPr>
              <w:spacing w:after="0" w:line="259" w:lineRule="auto"/>
              <w:ind w:left="0" w:firstLine="0"/>
              <w:jc w:val="left"/>
            </w:pPr>
            <w:r>
              <w:t xml:space="preserve">49 27 76 00 </w:t>
            </w:r>
            <w:r>
              <w:rPr>
                <w:sz w:val="24"/>
              </w:rPr>
              <w:t xml:space="preserve"> </w:t>
            </w:r>
          </w:p>
        </w:tc>
      </w:tr>
      <w:tr w:rsidR="00A12DC6" w14:paraId="77A7D0D7" w14:textId="77777777">
        <w:trPr>
          <w:trHeight w:val="514"/>
        </w:trPr>
        <w:tc>
          <w:tcPr>
            <w:tcW w:w="42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6D19A2" w14:textId="77777777" w:rsidR="00A12DC6" w:rsidRDefault="00320781">
            <w:pPr>
              <w:spacing w:after="0" w:line="259" w:lineRule="auto"/>
              <w:ind w:left="0" w:firstLine="0"/>
              <w:jc w:val="left"/>
            </w:pPr>
            <w:r>
              <w:t xml:space="preserve">Osoba oprávněná jednat za </w:t>
            </w:r>
            <w:r>
              <w:t xml:space="preserve">zadavatele: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7D1553" w14:textId="77777777" w:rsidR="00A12DC6" w:rsidRDefault="00320781">
            <w:pPr>
              <w:spacing w:after="0" w:line="259" w:lineRule="auto"/>
              <w:ind w:left="0" w:right="140" w:firstLine="0"/>
              <w:jc w:val="left"/>
            </w:pPr>
            <w:r>
              <w:t xml:space="preserve">Mgr. František </w:t>
            </w:r>
            <w:proofErr w:type="spellStart"/>
            <w:r>
              <w:t>Reismüller</w:t>
            </w:r>
            <w:proofErr w:type="spellEnd"/>
            <w:r>
              <w:t>, Ph.D.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  <w:r>
              <w:t>ředitel ČCCR –</w:t>
            </w:r>
            <w:r>
              <w:t xml:space="preserve"> CzechTourism </w:t>
            </w:r>
            <w:r>
              <w:rPr>
                <w:sz w:val="24"/>
              </w:rPr>
              <w:t xml:space="preserve"> </w:t>
            </w:r>
          </w:p>
        </w:tc>
      </w:tr>
    </w:tbl>
    <w:p w14:paraId="7C03B114" w14:textId="09485E01" w:rsidR="00A12DC6" w:rsidRDefault="00320781">
      <w:pPr>
        <w:tabs>
          <w:tab w:val="center" w:pos="5264"/>
        </w:tabs>
        <w:ind w:left="0" w:firstLine="0"/>
        <w:jc w:val="left"/>
      </w:pPr>
      <w:r>
        <w:rPr>
          <w:u w:val="single" w:color="000000"/>
        </w:rPr>
        <w:t xml:space="preserve">Kontaktní </w:t>
      </w:r>
      <w:proofErr w:type="gramStart"/>
      <w:r>
        <w:rPr>
          <w:u w:val="single" w:color="000000"/>
        </w:rPr>
        <w:t>osoba:</w:t>
      </w:r>
      <w:r>
        <w:rPr>
          <w:u w:val="single" w:color="000000"/>
        </w:rPr>
        <w:t xml:space="preserve"> </w:t>
      </w:r>
      <w:r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ab/>
      </w:r>
      <w:proofErr w:type="gramEnd"/>
      <w:r>
        <w:t>XXX</w:t>
      </w:r>
    </w:p>
    <w:tbl>
      <w:tblPr>
        <w:tblStyle w:val="TableGrid"/>
        <w:tblW w:w="8447" w:type="dxa"/>
        <w:tblInd w:w="-14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32"/>
        <w:gridCol w:w="4215"/>
      </w:tblGrid>
      <w:tr w:rsidR="00A12DC6" w14:paraId="73BB080B" w14:textId="77777777">
        <w:trPr>
          <w:trHeight w:val="264"/>
        </w:trPr>
        <w:tc>
          <w:tcPr>
            <w:tcW w:w="42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4AD388A" w14:textId="77777777" w:rsidR="00A12DC6" w:rsidRDefault="00320781">
            <w:pPr>
              <w:spacing w:after="0" w:line="259" w:lineRule="auto"/>
              <w:ind w:left="14" w:firstLine="0"/>
              <w:jc w:val="left"/>
            </w:pPr>
            <w:r>
              <w:t xml:space="preserve">e-mail: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45ECBBD" w14:textId="3027CA11" w:rsidR="00A12DC6" w:rsidRDefault="00320781">
            <w:pPr>
              <w:spacing w:after="0" w:line="259" w:lineRule="auto"/>
              <w:ind w:left="0" w:firstLine="0"/>
              <w:jc w:val="left"/>
            </w:pPr>
            <w:r>
              <w:t>XXX</w:t>
            </w:r>
            <w:r>
              <w:rPr>
                <w:sz w:val="24"/>
              </w:rPr>
              <w:t xml:space="preserve"> </w:t>
            </w:r>
          </w:p>
        </w:tc>
      </w:tr>
    </w:tbl>
    <w:p w14:paraId="69308DE6" w14:textId="77777777" w:rsidR="00A12DC6" w:rsidRDefault="00320781">
      <w:pPr>
        <w:spacing w:after="156" w:line="259" w:lineRule="auto"/>
        <w:ind w:left="0" w:firstLine="0"/>
        <w:jc w:val="left"/>
      </w:pPr>
      <w:r>
        <w:t xml:space="preserve"> </w:t>
      </w:r>
    </w:p>
    <w:p w14:paraId="06C08CCC" w14:textId="77777777" w:rsidR="00A12DC6" w:rsidRDefault="00320781">
      <w:pPr>
        <w:spacing w:after="152"/>
        <w:ind w:left="45" w:right="43"/>
      </w:pPr>
      <w:r>
        <w:t>Předběžná tržní konzultace prokázala, že plánovaná veřejná zakázka je reálná a na jejím základě mohlo dojít k upřesnění základních požadavků na specifikaci předmětu veřejné zakázky.</w:t>
      </w:r>
      <w:r>
        <w:t xml:space="preserve">  </w:t>
      </w:r>
    </w:p>
    <w:p w14:paraId="23E6123A" w14:textId="77777777" w:rsidR="00A12DC6" w:rsidRDefault="00320781">
      <w:pPr>
        <w:spacing w:after="152"/>
        <w:ind w:left="45" w:right="43"/>
      </w:pPr>
      <w:r>
        <w:t>Analýza návštěvnosti GSM dat 2025 bude vypracována, tak aby byla zajištěna bezpečnost dat dle zákona č. 151/2000</w:t>
      </w:r>
      <w:r>
        <w:t xml:space="preserve"> Sb., GSM </w:t>
      </w:r>
      <w:r>
        <w:t>data budou anonymizovaná na datové agregáty, tak aby nebylo možné ztotožnit jedince ani v</w:t>
      </w:r>
      <w:r>
        <w:t xml:space="preserve"> </w:t>
      </w:r>
      <w:r>
        <w:t xml:space="preserve">případě použití jiných datových základen. </w:t>
      </w:r>
      <w:r>
        <w:t xml:space="preserve"> </w:t>
      </w:r>
    </w:p>
    <w:p w14:paraId="4C5603AD" w14:textId="77777777" w:rsidR="00A12DC6" w:rsidRDefault="00320781">
      <w:pPr>
        <w:spacing w:after="157"/>
        <w:ind w:left="45" w:right="43"/>
      </w:pPr>
      <w:r>
        <w:t>Surová data od operátora/operátorů budou přepočítána a kalibrována tak, aby byl výstup co nejblíže realitě a neobsahoval zkreslení způsobená např. přesahem vysílačů, dostupnosti mobilní sítě, disponování vícero SIM kartami, náhodné připojování mezi vysílač</w:t>
      </w:r>
      <w:r>
        <w:t xml:space="preserve">i atd.  </w:t>
      </w:r>
    </w:p>
    <w:p w14:paraId="1AD7DE10" w14:textId="77777777" w:rsidR="00A12DC6" w:rsidRDefault="00320781">
      <w:pPr>
        <w:spacing w:after="156" w:line="257" w:lineRule="auto"/>
        <w:ind w:left="-5" w:right="37"/>
      </w:pPr>
      <w:r>
        <w:t>Veškerá data jsou zpracovávána v</w:t>
      </w:r>
      <w:r>
        <w:rPr>
          <w:rFonts w:ascii="Times New Roman" w:eastAsia="Times New Roman" w:hAnsi="Times New Roman" w:cs="Times New Roman"/>
        </w:rPr>
        <w:t> </w:t>
      </w:r>
      <w:r>
        <w:t>n</w:t>
      </w:r>
      <w:r>
        <w:t>ě</w:t>
      </w:r>
      <w:r>
        <w:t>kolika itera</w:t>
      </w:r>
      <w:r>
        <w:t>č</w:t>
      </w:r>
      <w:r>
        <w:t>n</w:t>
      </w:r>
      <w:r>
        <w:t>í</w:t>
      </w:r>
      <w:r>
        <w:t>ch kroc</w:t>
      </w:r>
      <w:r>
        <w:t>í</w:t>
      </w:r>
      <w:r>
        <w:t>ch, kter</w:t>
      </w:r>
      <w:r>
        <w:t>é</w:t>
      </w:r>
      <w:r>
        <w:t xml:space="preserve"> vedou ke zp</w:t>
      </w:r>
      <w:r>
        <w:t>ř</w:t>
      </w:r>
      <w:r>
        <w:t>esn</w:t>
      </w:r>
      <w:r>
        <w:t>ě</w:t>
      </w:r>
      <w:r>
        <w:t>n</w:t>
      </w:r>
      <w:r>
        <w:t>í</w:t>
      </w:r>
      <w:r>
        <w:t xml:space="preserve"> dat tak, aby m</w:t>
      </w:r>
      <w:r>
        <w:t>ě</w:t>
      </w:r>
      <w:r>
        <w:t>la vypov</w:t>
      </w:r>
      <w:r>
        <w:t>í</w:t>
      </w:r>
      <w:r>
        <w:t>daj</w:t>
      </w:r>
      <w:r>
        <w:t>í</w:t>
      </w:r>
      <w:r>
        <w:t>c</w:t>
      </w:r>
      <w:r>
        <w:t>í</w:t>
      </w:r>
      <w:r>
        <w:t xml:space="preserve"> hodnotu, kter</w:t>
      </w:r>
      <w:r>
        <w:t>á</w:t>
      </w:r>
      <w:r>
        <w:t xml:space="preserve"> co nejv</w:t>
      </w:r>
      <w:r>
        <w:t>í</w:t>
      </w:r>
      <w:r>
        <w:t>ce odpov</w:t>
      </w:r>
      <w:r>
        <w:t>í</w:t>
      </w:r>
      <w:r>
        <w:t>d</w:t>
      </w:r>
      <w:r>
        <w:t>á</w:t>
      </w:r>
      <w:r>
        <w:t xml:space="preserve"> </w:t>
      </w:r>
      <w:r>
        <w:t>realitě.</w:t>
      </w:r>
      <w:r>
        <w:t xml:space="preserve">   </w:t>
      </w:r>
    </w:p>
    <w:p w14:paraId="666ED9F6" w14:textId="77777777" w:rsidR="00A12DC6" w:rsidRDefault="00320781">
      <w:pPr>
        <w:spacing w:after="156" w:line="257" w:lineRule="auto"/>
        <w:ind w:left="-5" w:right="37"/>
      </w:pPr>
      <w:r>
        <w:t xml:space="preserve">Do zpracování </w:t>
      </w:r>
      <w:r>
        <w:t>dat nejsou v</w:t>
      </w:r>
      <w:r>
        <w:rPr>
          <w:rFonts w:ascii="Times New Roman" w:eastAsia="Times New Roman" w:hAnsi="Times New Roman" w:cs="Times New Roman"/>
        </w:rPr>
        <w:t> </w:t>
      </w:r>
      <w:r>
        <w:t>r</w:t>
      </w:r>
      <w:r>
        <w:t>á</w:t>
      </w:r>
      <w:r>
        <w:t>mci prvn</w:t>
      </w:r>
      <w:r>
        <w:t>í</w:t>
      </w:r>
      <w:r>
        <w:t>ho kroku p</w:t>
      </w:r>
      <w:r>
        <w:t>ř</w:t>
      </w:r>
      <w:r>
        <w:t>ipu</w:t>
      </w:r>
      <w:r>
        <w:t>š</w:t>
      </w:r>
      <w:r>
        <w:t>t</w:t>
      </w:r>
      <w:r>
        <w:t>ě</w:t>
      </w:r>
      <w:r>
        <w:t xml:space="preserve">ny:  </w:t>
      </w:r>
    </w:p>
    <w:p w14:paraId="45AC9D84" w14:textId="77777777" w:rsidR="00A12DC6" w:rsidRDefault="00320781">
      <w:pPr>
        <w:numPr>
          <w:ilvl w:val="0"/>
          <w:numId w:val="1"/>
        </w:numPr>
        <w:ind w:right="43" w:hanging="360"/>
      </w:pPr>
      <w:r>
        <w:t>SIM karty v jiných zařízeních než mobilní telefony –</w:t>
      </w:r>
      <w:r>
        <w:t xml:space="preserve"> </w:t>
      </w:r>
      <w:r>
        <w:t xml:space="preserve">tzv. technické SIM karty v jiných zařízeních (tablety, hodinky aj.) </w:t>
      </w:r>
      <w:r>
        <w:t xml:space="preserve"> </w:t>
      </w:r>
    </w:p>
    <w:p w14:paraId="0A23A10E" w14:textId="77777777" w:rsidR="00A12DC6" w:rsidRDefault="00320781">
      <w:pPr>
        <w:numPr>
          <w:ilvl w:val="0"/>
          <w:numId w:val="1"/>
        </w:numPr>
        <w:ind w:right="43" w:hanging="360"/>
      </w:pPr>
      <w:r>
        <w:t>Neaktivní SIM karty –</w:t>
      </w:r>
      <w:r>
        <w:t xml:space="preserve"> </w:t>
      </w:r>
      <w:r>
        <w:t xml:space="preserve">SIM karta nesplňuje podmínku dostatečné aktivity ve sledovaném období  </w:t>
      </w:r>
      <w:r>
        <w:t xml:space="preserve"> </w:t>
      </w:r>
    </w:p>
    <w:p w14:paraId="13E6503C" w14:textId="77777777" w:rsidR="00A12DC6" w:rsidRDefault="00320781">
      <w:pPr>
        <w:numPr>
          <w:ilvl w:val="0"/>
          <w:numId w:val="1"/>
        </w:numPr>
        <w:spacing w:after="153"/>
        <w:ind w:right="43" w:hanging="360"/>
      </w:pPr>
      <w:r>
        <w:t xml:space="preserve">SIM karty </w:t>
      </w:r>
      <w:r>
        <w:t>s nepřiřazenou rezidenční obcí –</w:t>
      </w:r>
      <w:r>
        <w:t xml:space="preserve"> Nelze-</w:t>
      </w:r>
      <w:r>
        <w:t xml:space="preserve">li SIM kartě přiřadit rezidenční obec (místo domova) neexistuje pro ni základní referenční údaj a není s ní možné dále </w:t>
      </w:r>
      <w:r>
        <w:t xml:space="preserve">pracovat.  </w:t>
      </w:r>
    </w:p>
    <w:p w14:paraId="05A0BF7A" w14:textId="77777777" w:rsidR="00A12DC6" w:rsidRDefault="00320781">
      <w:pPr>
        <w:spacing w:after="156" w:line="257" w:lineRule="auto"/>
        <w:ind w:left="-5" w:right="37"/>
      </w:pPr>
      <w:r>
        <w:t xml:space="preserve">Ve výpočtu jsou ošetřeny také dva fenomény, a to mobilita osob bez mobilního telefonu (SIM </w:t>
      </w:r>
      <w:r>
        <w:t>karty) a osob s</w:t>
      </w:r>
      <w:r>
        <w:rPr>
          <w:rFonts w:ascii="Times New Roman" w:eastAsia="Times New Roman" w:hAnsi="Times New Roman" w:cs="Times New Roman"/>
        </w:rPr>
        <w:t> </w:t>
      </w:r>
      <w:r>
        <w:t>v</w:t>
      </w:r>
      <w:r>
        <w:t>í</w:t>
      </w:r>
      <w:r>
        <w:t>ce SIM kartami. Tyto jevy jsou strukturovan</w:t>
      </w:r>
      <w:r>
        <w:t>ý</w:t>
      </w:r>
      <w:r>
        <w:t>mi korek</w:t>
      </w:r>
      <w:r>
        <w:t>č</w:t>
      </w:r>
      <w:r>
        <w:t>n</w:t>
      </w:r>
      <w:r>
        <w:t>í</w:t>
      </w:r>
      <w:r>
        <w:t>mi koeficienty korigov</w:t>
      </w:r>
      <w:r>
        <w:t>á</w:t>
      </w:r>
      <w:r>
        <w:t>ny tak, aby byly v</w:t>
      </w:r>
      <w:r>
        <w:t>ý</w:t>
      </w:r>
      <w:r>
        <w:t>sledn</w:t>
      </w:r>
      <w:r>
        <w:t>é</w:t>
      </w:r>
      <w:r>
        <w:t xml:space="preserve"> v</w:t>
      </w:r>
      <w:r>
        <w:t>ý</w:t>
      </w:r>
      <w:r>
        <w:t>stupy z</w:t>
      </w:r>
      <w:r>
        <w:rPr>
          <w:rFonts w:ascii="Times New Roman" w:eastAsia="Times New Roman" w:hAnsi="Times New Roman" w:cs="Times New Roman"/>
        </w:rPr>
        <w:t> </w:t>
      </w:r>
      <w:r>
        <w:t>hlediska populace reprezentativn</w:t>
      </w:r>
      <w:r>
        <w:t>í</w:t>
      </w:r>
      <w:r>
        <w:t xml:space="preserve">. </w:t>
      </w:r>
    </w:p>
    <w:p w14:paraId="02DE6F36" w14:textId="77777777" w:rsidR="00A12DC6" w:rsidRDefault="00320781">
      <w:pPr>
        <w:ind w:left="45" w:right="43"/>
      </w:pPr>
      <w:r>
        <w:t xml:space="preserve">U </w:t>
      </w:r>
      <w:r>
        <w:t>zahraničních uživatelů je</w:t>
      </w:r>
      <w:r>
        <w:t xml:space="preserve"> </w:t>
      </w:r>
      <w:r>
        <w:t xml:space="preserve">jejich původ určován prostřednictvím tzv. mobile country </w:t>
      </w:r>
      <w:proofErr w:type="spellStart"/>
      <w:r>
        <w:t>code</w:t>
      </w:r>
      <w:proofErr w:type="spellEnd"/>
      <w:r>
        <w:t xml:space="preserve"> číselníku, který určuje obsluhujícího operátora a zemi původu SIM karty. Zahraniční uživatele </w:t>
      </w:r>
      <w:r>
        <w:lastRenderedPageBreak/>
        <w:t>tak lze rozdělit dle země původu SIM karty, se kterou se v rámci roamingu připojují do tuzemské mobilní sítě</w:t>
      </w:r>
      <w:r>
        <w:t xml:space="preserve"> </w:t>
      </w:r>
      <w:r>
        <w:t>v ČR</w:t>
      </w:r>
      <w:r>
        <w:t xml:space="preserve">.  </w:t>
      </w:r>
    </w:p>
    <w:p w14:paraId="2A5D0D76" w14:textId="77777777" w:rsidR="00A12DC6" w:rsidRDefault="00320781">
      <w:pPr>
        <w:pStyle w:val="Nadpis1"/>
      </w:pPr>
      <w:r>
        <w:t>předběžných tržních konzultací</w:t>
      </w:r>
      <w:r>
        <w:t xml:space="preserve"> </w:t>
      </w:r>
    </w:p>
    <w:p w14:paraId="4EDA2D1A" w14:textId="77777777" w:rsidR="00A12DC6" w:rsidRDefault="0032078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230128FF" w14:textId="77777777" w:rsidR="00A12DC6" w:rsidRDefault="00320781">
      <w:pPr>
        <w:spacing w:after="108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271F7E92" wp14:editId="7E475C3C">
            <wp:extent cx="5760720" cy="3141980"/>
            <wp:effectExtent l="0" t="0" r="0" b="0"/>
            <wp:docPr id="428" name="Picture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E8E7D59" w14:textId="77777777" w:rsidR="00A12DC6" w:rsidRDefault="00320781">
      <w:pPr>
        <w:spacing w:after="152"/>
        <w:ind w:left="45" w:right="43"/>
      </w:pPr>
      <w:r>
        <w:t>U zahraničních uživatelů, tedy zákazníků, kteří využívají mobilní síť v roamingu, je extrapolace přepočtu dat na celkovou populaci, která navštívila sledované území, založena na počtu připojení mobilních zařízení uživatelů zahraničních SIM k obsluhujícímu vysílači ve sledovaném území, informacích o tržním zastoupení mobilních operátorů daných SIM karet v zemi jejich původu, a koeficientu, vycházející z mezinárodních dohod mezi tuzemskými a zahraničními operátory, o využívání kapacity tuzemské mobilní sítě p</w:t>
      </w:r>
      <w:r>
        <w:t>ro účely roamingu. Vzhledem k tomu, že nelze sledovat trajektorii pohybu zahraničních SIM, využívajících roamingové služby v</w:t>
      </w:r>
      <w:r>
        <w:rPr>
          <w:rFonts w:ascii="Times New Roman" w:eastAsia="Times New Roman" w:hAnsi="Times New Roman" w:cs="Times New Roman"/>
        </w:rPr>
        <w:t> </w:t>
      </w:r>
      <w:r>
        <w:t>tuzemsk</w:t>
      </w:r>
      <w:r>
        <w:t>é</w:t>
      </w:r>
      <w:r>
        <w:t xml:space="preserve"> mobiln</w:t>
      </w:r>
      <w:r>
        <w:t>í</w:t>
      </w:r>
      <w:r>
        <w:t xml:space="preserve"> s</w:t>
      </w:r>
      <w:r>
        <w:t>í</w:t>
      </w:r>
      <w:r>
        <w:t>ti, jsou ve</w:t>
      </w:r>
      <w:r>
        <w:t>š</w:t>
      </w:r>
      <w:r>
        <w:t>ker</w:t>
      </w:r>
      <w:r>
        <w:t>é</w:t>
      </w:r>
      <w:r>
        <w:t xml:space="preserve"> statistiky po</w:t>
      </w:r>
      <w:r>
        <w:t>čí</w:t>
      </w:r>
      <w:r>
        <w:t>t</w:t>
      </w:r>
      <w:r>
        <w:t>á</w:t>
      </w:r>
      <w:r>
        <w:t>ny pomoc</w:t>
      </w:r>
      <w:r>
        <w:t>í</w:t>
      </w:r>
      <w:r>
        <w:t xml:space="preserve"> matematick</w:t>
      </w:r>
      <w:r>
        <w:t>é</w:t>
      </w:r>
      <w:r>
        <w:t>ho modelu, kter</w:t>
      </w:r>
      <w:r>
        <w:t>ý</w:t>
      </w:r>
      <w:r>
        <w:t xml:space="preserve"> odhaduje chov</w:t>
      </w:r>
      <w:r>
        <w:t>á</w:t>
      </w:r>
      <w:r>
        <w:t>n</w:t>
      </w:r>
      <w:r>
        <w:t>í</w:t>
      </w:r>
      <w:r>
        <w:t xml:space="preserve"> zahrani</w:t>
      </w:r>
      <w:r>
        <w:t>č</w:t>
      </w:r>
      <w:r>
        <w:t>n</w:t>
      </w:r>
      <w:r>
        <w:t>í</w:t>
      </w:r>
      <w:r>
        <w:t>ch u</w:t>
      </w:r>
      <w:r>
        <w:t>ž</w:t>
      </w:r>
      <w:r>
        <w:t>ivatel</w:t>
      </w:r>
      <w:r>
        <w:t>ů</w:t>
      </w:r>
      <w:r>
        <w:t xml:space="preserve"> na z</w:t>
      </w:r>
      <w:r>
        <w:t>á</w:t>
      </w:r>
      <w:r>
        <w:t>klad</w:t>
      </w:r>
      <w:r>
        <w:t>ě</w:t>
      </w:r>
      <w:r>
        <w:t xml:space="preserve"> mno</w:t>
      </w:r>
      <w:r>
        <w:t>ž</w:t>
      </w:r>
      <w:r>
        <w:t>stv</w:t>
      </w:r>
      <w:r>
        <w:t>í</w:t>
      </w:r>
      <w:r>
        <w:t xml:space="preserve"> zaznamenan</w:t>
      </w:r>
      <w:r>
        <w:t>ý</w:t>
      </w:r>
      <w:r>
        <w:t>ch p</w:t>
      </w:r>
      <w:r>
        <w:t>ř</w:t>
      </w:r>
      <w:r>
        <w:t>ipojen</w:t>
      </w:r>
      <w:r>
        <w:t>í</w:t>
      </w:r>
      <w:r>
        <w:t>, tzv. event</w:t>
      </w:r>
      <w:r>
        <w:t>ů</w:t>
      </w:r>
      <w:r>
        <w:t>, mobiln</w:t>
      </w:r>
      <w:r>
        <w:t>í</w:t>
      </w:r>
      <w:r>
        <w:t>ch telefon</w:t>
      </w:r>
      <w:r>
        <w:t>ů</w:t>
      </w:r>
      <w:r>
        <w:t xml:space="preserve"> se zahrani</w:t>
      </w:r>
      <w:r>
        <w:t>č</w:t>
      </w:r>
      <w:r>
        <w:t>n</w:t>
      </w:r>
      <w:r>
        <w:t>í</w:t>
      </w:r>
      <w:r>
        <w:t>mi SIM kartami k vys</w:t>
      </w:r>
      <w:r>
        <w:t>í</w:t>
      </w:r>
      <w:r>
        <w:t>la</w:t>
      </w:r>
      <w:r>
        <w:t>čů</w:t>
      </w:r>
      <w:r>
        <w:t>m, obsluhuj</w:t>
      </w:r>
      <w:r>
        <w:t>í</w:t>
      </w:r>
      <w:r>
        <w:t>c</w:t>
      </w:r>
      <w:r>
        <w:t>í</w:t>
      </w:r>
      <w:r>
        <w:t xml:space="preserve"> sledovanou oblast.   </w:t>
      </w:r>
    </w:p>
    <w:p w14:paraId="3B6BC0CF" w14:textId="77777777" w:rsidR="00A12DC6" w:rsidRDefault="00320781">
      <w:pPr>
        <w:spacing w:after="152"/>
        <w:ind w:left="45" w:right="43"/>
      </w:pPr>
      <w:r>
        <w:t>Před samotným výpočtem statistik proběhne agregace všech zaznamenaných eventů z vysílačů v analyzované oblasti (např. kraj ČR) a následně je pomocí matematického modelu odhadován počet uživatelů a jejich časoprostorové chování, kteří návštěvu sledované obl</w:t>
      </w:r>
      <w:r>
        <w:t xml:space="preserve">asti vykonali. </w:t>
      </w:r>
      <w:r>
        <w:t>Hlavními vstupy pro tzv. trénování matematického modelu jsou informace o počtu eventů českých uživatelů, kteří zároveň udělili souhlas se zpracováním osobních dat a u kterých je tak známá trajektorie pohybu SIM v mobilní síti. Na základě toh</w:t>
      </w:r>
      <w:r>
        <w:t>o je model schopen odhadnout z</w:t>
      </w:r>
      <w:r>
        <w:rPr>
          <w:rFonts w:ascii="Times New Roman" w:eastAsia="Times New Roman" w:hAnsi="Times New Roman" w:cs="Times New Roman"/>
        </w:rPr>
        <w:t> </w:t>
      </w:r>
      <w:r>
        <w:t>po</w:t>
      </w:r>
      <w:r>
        <w:t>č</w:t>
      </w:r>
      <w:r>
        <w:t>tu event</w:t>
      </w:r>
      <w:r>
        <w:t>ů</w:t>
      </w:r>
      <w:r>
        <w:t xml:space="preserve"> zahrani</w:t>
      </w:r>
      <w:r>
        <w:t>č</w:t>
      </w:r>
      <w:r>
        <w:t>n</w:t>
      </w:r>
      <w:r>
        <w:t>í</w:t>
      </w:r>
      <w:r>
        <w:t>ch u</w:t>
      </w:r>
      <w:r>
        <w:t>ž</w:t>
      </w:r>
      <w:r>
        <w:t>ivatel</w:t>
      </w:r>
      <w:r>
        <w:t>ů</w:t>
      </w:r>
      <w:r>
        <w:t xml:space="preserve"> i jejich </w:t>
      </w:r>
      <w:r>
        <w:t>č</w:t>
      </w:r>
      <w:r>
        <w:t>asoprostorov</w:t>
      </w:r>
      <w:r>
        <w:t>é</w:t>
      </w:r>
      <w:r>
        <w:t xml:space="preserve"> chov</w:t>
      </w:r>
      <w:r>
        <w:t>á</w:t>
      </w:r>
      <w:r>
        <w:t>n</w:t>
      </w:r>
      <w:r>
        <w:t>í</w:t>
      </w:r>
      <w:r>
        <w:t>, kter</w:t>
      </w:r>
      <w:r>
        <w:t>é</w:t>
      </w:r>
      <w:r>
        <w:t xml:space="preserve"> pak vstupuje do procesu za</w:t>
      </w:r>
      <w:r>
        <w:t>ř</w:t>
      </w:r>
      <w:r>
        <w:t>azen</w:t>
      </w:r>
      <w:r>
        <w:t>í</w:t>
      </w:r>
      <w:r>
        <w:t xml:space="preserve"> SIM karty do u</w:t>
      </w:r>
      <w:r>
        <w:t>ž</w:t>
      </w:r>
      <w:r>
        <w:t>ivatelsk</w:t>
      </w:r>
      <w:r>
        <w:t>ý</w:t>
      </w:r>
      <w:r>
        <w:t xml:space="preserve">ch skupin.  </w:t>
      </w:r>
    </w:p>
    <w:p w14:paraId="2FD09A3F" w14:textId="77777777" w:rsidR="00A12DC6" w:rsidRDefault="00320781">
      <w:pPr>
        <w:ind w:left="45" w:right="43"/>
      </w:pPr>
      <w:r>
        <w:t xml:space="preserve">Finální extrapolace na celkovou populaci zahraničních návštěvníků ve sledovaném území je realizována algoritmem, zohledňujícím kombinaci tržního podílu zahraničních operátorů, </w:t>
      </w:r>
      <w:r>
        <w:lastRenderedPageBreak/>
        <w:t>jejichž SIM karty byly připojeny na vysílače, obsluhující sledované území a koef</w:t>
      </w:r>
      <w:r>
        <w:t xml:space="preserve">icientu, </w:t>
      </w:r>
      <w:r>
        <w:t xml:space="preserve">vycházejícího z využívání kapacity tuzemské mobilní sítě zahraničními operátory pro účely roamingu. Pro co největší spolehlivost výsledků, jsou data také dále kalibrována pomocí </w:t>
      </w:r>
    </w:p>
    <w:p w14:paraId="70BA1C94" w14:textId="77777777" w:rsidR="00A12DC6" w:rsidRDefault="00320781">
      <w:pPr>
        <w:pStyle w:val="Nadpis1"/>
      </w:pPr>
      <w:r>
        <w:t>předběžných tržních konzultací</w:t>
      </w:r>
      <w:r>
        <w:t xml:space="preserve"> </w:t>
      </w:r>
    </w:p>
    <w:p w14:paraId="2EE754B9" w14:textId="77777777" w:rsidR="00A12DC6" w:rsidRDefault="0032078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7BAA19E4" w14:textId="77777777" w:rsidR="00A12DC6" w:rsidRDefault="00320781">
      <w:pPr>
        <w:spacing w:after="171"/>
        <w:ind w:left="45" w:right="43"/>
      </w:pPr>
      <w:r>
        <w:t xml:space="preserve">dalších datových zdrojů, jako např. data o tržním zastoupení jednotlivých roamingových partnerů, jejichž zákazníci přicestovali do sledovaných území v ČR, dále koeficienty, vycházející </w:t>
      </w:r>
      <w:r>
        <w:t>z</w:t>
      </w:r>
      <w:r>
        <w:rPr>
          <w:rFonts w:ascii="Times New Roman" w:eastAsia="Times New Roman" w:hAnsi="Times New Roman" w:cs="Times New Roman"/>
        </w:rPr>
        <w:t> </w:t>
      </w:r>
      <w:r>
        <w:t>mezin</w:t>
      </w:r>
      <w:r>
        <w:t>á</w:t>
      </w:r>
      <w:r>
        <w:t>rodn</w:t>
      </w:r>
      <w:r>
        <w:t>í</w:t>
      </w:r>
      <w:r>
        <w:t>ch dohod tuzemsk</w:t>
      </w:r>
      <w:r>
        <w:t>ý</w:t>
      </w:r>
      <w:r>
        <w:t>ch a zahrani</w:t>
      </w:r>
      <w:r>
        <w:t>č</w:t>
      </w:r>
      <w:r>
        <w:t>n</w:t>
      </w:r>
      <w:r>
        <w:t>í</w:t>
      </w:r>
      <w:r>
        <w:t>ch oper</w:t>
      </w:r>
      <w:r>
        <w:t>á</w:t>
      </w:r>
      <w:r>
        <w:t>tor</w:t>
      </w:r>
      <w:r>
        <w:t>ů</w:t>
      </w:r>
      <w:r>
        <w:t xml:space="preserve"> o vyu</w:t>
      </w:r>
      <w:r>
        <w:t>ží</w:t>
      </w:r>
      <w:r>
        <w:t>v</w:t>
      </w:r>
      <w:r>
        <w:t>á</w:t>
      </w:r>
      <w:r>
        <w:t>n</w:t>
      </w:r>
      <w:r>
        <w:t>í</w:t>
      </w:r>
      <w:r>
        <w:t xml:space="preserve"> kapacity tuzemsk</w:t>
      </w:r>
      <w:r>
        <w:t>é</w:t>
      </w:r>
      <w:r>
        <w:t xml:space="preserve"> mobiln</w:t>
      </w:r>
      <w:r>
        <w:t>í</w:t>
      </w:r>
      <w:r>
        <w:t xml:space="preserve"> s</w:t>
      </w:r>
      <w:r>
        <w:t>í</w:t>
      </w:r>
      <w:r>
        <w:t>t</w:t>
      </w:r>
      <w:r>
        <w:t>ě</w:t>
      </w:r>
      <w:r>
        <w:t xml:space="preserve"> pro </w:t>
      </w:r>
      <w:r>
        <w:t>úč</w:t>
      </w:r>
      <w:r>
        <w:t>ely roamingu, data o po</w:t>
      </w:r>
      <w:r>
        <w:t>č</w:t>
      </w:r>
      <w:r>
        <w:t>tu ubytovan</w:t>
      </w:r>
      <w:r>
        <w:t>ý</w:t>
      </w:r>
      <w:r>
        <w:t>ch v HUZ, experiment</w:t>
      </w:r>
      <w:r>
        <w:t>á</w:t>
      </w:r>
      <w:r>
        <w:t>ln</w:t>
      </w:r>
      <w:r>
        <w:t>í</w:t>
      </w:r>
      <w:r>
        <w:t xml:space="preserve"> datov</w:t>
      </w:r>
      <w:r>
        <w:t>é</w:t>
      </w:r>
      <w:r>
        <w:t xml:space="preserve"> </w:t>
      </w:r>
      <w:r>
        <w:t>vzorky z online ubytovac</w:t>
      </w:r>
      <w:r>
        <w:t>í</w:t>
      </w:r>
      <w:r>
        <w:t xml:space="preserve">ch platforem </w:t>
      </w:r>
      <w:r>
        <w:t>č</w:t>
      </w:r>
      <w:r>
        <w:t>i na z</w:t>
      </w:r>
      <w:r>
        <w:t>á</w:t>
      </w:r>
      <w:r>
        <w:t>klad</w:t>
      </w:r>
      <w:r>
        <w:t>ě</w:t>
      </w:r>
      <w:r>
        <w:t xml:space="preserve"> typov</w:t>
      </w:r>
      <w:r>
        <w:t>ě</w:t>
      </w:r>
      <w:r>
        <w:t xml:space="preserve"> podobn</w:t>
      </w:r>
      <w:r>
        <w:t>ý</w:t>
      </w:r>
      <w:r>
        <w:t>ch anal</w:t>
      </w:r>
      <w:r>
        <w:t>ý</w:t>
      </w:r>
      <w:r>
        <w:t xml:space="preserve">z. </w:t>
      </w:r>
    </w:p>
    <w:p w14:paraId="47B0341E" w14:textId="77777777" w:rsidR="00A12DC6" w:rsidRDefault="00320781">
      <w:pPr>
        <w:pStyle w:val="Nadpis2"/>
        <w:ind w:left="-5"/>
      </w:pPr>
      <w:r>
        <w:t>Základní terminologie</w:t>
      </w:r>
      <w:r>
        <w:t xml:space="preserve"> </w:t>
      </w:r>
    </w:p>
    <w:p w14:paraId="4DCC3924" w14:textId="77777777" w:rsidR="00A12DC6" w:rsidRDefault="00320781">
      <w:pPr>
        <w:spacing w:after="152"/>
        <w:ind w:left="45" w:right="43"/>
      </w:pPr>
      <w:r>
        <w:t>Pro analýz</w:t>
      </w:r>
      <w:r>
        <w:t xml:space="preserve">u </w:t>
      </w:r>
      <w:r>
        <w:t xml:space="preserve">monitoringu návštěvnosti destinace je využívána následující terminologie, která rozděluje účastníky cestovního ruchu do následujících skupin podle jejich charakteristických rysů chování, resp. podle počtu strávených hodin v destinaci.  </w:t>
      </w:r>
      <w:r>
        <w:t xml:space="preserve"> </w:t>
      </w:r>
    </w:p>
    <w:p w14:paraId="2EB8F68B" w14:textId="77777777" w:rsidR="00A12DC6" w:rsidRDefault="00320781">
      <w:pPr>
        <w:spacing w:after="166" w:line="259" w:lineRule="auto"/>
        <w:ind w:left="-5"/>
        <w:jc w:val="left"/>
      </w:pPr>
      <w:r>
        <w:rPr>
          <w:b/>
        </w:rPr>
        <w:t xml:space="preserve">Návštěvník </w:t>
      </w:r>
    </w:p>
    <w:p w14:paraId="08D6EB85" w14:textId="77777777" w:rsidR="00A12DC6" w:rsidRDefault="00320781">
      <w:pPr>
        <w:numPr>
          <w:ilvl w:val="0"/>
          <w:numId w:val="2"/>
        </w:numPr>
        <w:ind w:right="43" w:hanging="360"/>
      </w:pPr>
      <w:r>
        <w:t>osoba, která navštíví sledované / analyzované místo / oblast jednou či vícekrát ve sledovaném období, avšak vykazuje jiné vzorce chování než obyvatel, místní, dojíždějící a tranzitující</w:t>
      </w:r>
      <w:r>
        <w:t xml:space="preserve"> </w:t>
      </w:r>
    </w:p>
    <w:p w14:paraId="3816098F" w14:textId="77777777" w:rsidR="00A12DC6" w:rsidRDefault="00320781">
      <w:pPr>
        <w:numPr>
          <w:ilvl w:val="0"/>
          <w:numId w:val="2"/>
        </w:numPr>
        <w:spacing w:after="120"/>
        <w:ind w:right="43" w:hanging="360"/>
      </w:pPr>
      <w:r>
        <w:t>Návštěvníci se dále dělí na dvě skupiny: Turista a Výletník</w:t>
      </w:r>
      <w:r>
        <w:t xml:space="preserve"> </w:t>
      </w:r>
    </w:p>
    <w:p w14:paraId="40798E49" w14:textId="77777777" w:rsidR="00A12DC6" w:rsidRDefault="00320781">
      <w:pPr>
        <w:spacing w:after="156" w:line="257" w:lineRule="auto"/>
        <w:ind w:left="-5" w:right="37"/>
      </w:pPr>
      <w:r>
        <w:rPr>
          <w:b/>
        </w:rPr>
        <w:t xml:space="preserve">Výletník </w:t>
      </w:r>
      <w:r>
        <w:t xml:space="preserve">je jednodenní návštěvník, který navštíví dané místo minimálně jednou, a to bez přespání (1 </w:t>
      </w:r>
      <w:proofErr w:type="spellStart"/>
      <w:r>
        <w:t>výletoden</w:t>
      </w:r>
      <w:proofErr w:type="spellEnd"/>
      <w:r>
        <w:t>). Je stanovena podmínka, že se musí jednat o aktivní část dne (mezi 7:00 –</w:t>
      </w:r>
      <w:r>
        <w:t xml:space="preserve"> 22:00) a</w:t>
      </w:r>
      <w:r>
        <w:rPr>
          <w:rFonts w:ascii="Times New Roman" w:eastAsia="Times New Roman" w:hAnsi="Times New Roman" w:cs="Times New Roman"/>
        </w:rPr>
        <w:t> </w:t>
      </w:r>
      <w:r>
        <w:t>v</w:t>
      </w:r>
      <w:r>
        <w:t>ý</w:t>
      </w:r>
      <w:r>
        <w:t>letn</w:t>
      </w:r>
      <w:r>
        <w:t>í</w:t>
      </w:r>
      <w:r>
        <w:t>k v m</w:t>
      </w:r>
      <w:r>
        <w:t>í</w:t>
      </w:r>
      <w:r>
        <w:t>st</w:t>
      </w:r>
      <w:r>
        <w:t>ě</w:t>
      </w:r>
      <w:r>
        <w:t xml:space="preserve"> str</w:t>
      </w:r>
      <w:r>
        <w:t>á</w:t>
      </w:r>
      <w:r>
        <w:t>v</w:t>
      </w:r>
      <w:r>
        <w:t>í</w:t>
      </w:r>
      <w:r>
        <w:t xml:space="preserve"> alespo</w:t>
      </w:r>
      <w:r>
        <w:t>ň</w:t>
      </w:r>
      <w:r>
        <w:t xml:space="preserve"> 3 hodiny nep</w:t>
      </w:r>
      <w:r>
        <w:t>ř</w:t>
      </w:r>
      <w:r>
        <w:t>eru</w:t>
      </w:r>
      <w:r>
        <w:t>š</w:t>
      </w:r>
      <w:r>
        <w:t>ovan</w:t>
      </w:r>
      <w:r>
        <w:t>ě</w:t>
      </w:r>
      <w:r>
        <w:t>. Po</w:t>
      </w:r>
      <w:r>
        <w:t>č</w:t>
      </w:r>
      <w:r>
        <w:t>et jeho p</w:t>
      </w:r>
      <w:r>
        <w:t>ří</w:t>
      </w:r>
      <w:r>
        <w:t>jezd</w:t>
      </w:r>
      <w:r>
        <w:t>ů</w:t>
      </w:r>
      <w:r>
        <w:t xml:space="preserve"> do destinace dosahuje ur</w:t>
      </w:r>
      <w:r>
        <w:t>č</w:t>
      </w:r>
      <w:r>
        <w:t>it</w:t>
      </w:r>
      <w:r>
        <w:t>é</w:t>
      </w:r>
      <w:r>
        <w:t xml:space="preserve"> maxim</w:t>
      </w:r>
      <w:r>
        <w:t>á</w:t>
      </w:r>
      <w:r>
        <w:t>ln</w:t>
      </w:r>
      <w:r>
        <w:t>í</w:t>
      </w:r>
      <w:r>
        <w:t xml:space="preserve"> hodnoty v</w:t>
      </w:r>
      <w:r>
        <w:rPr>
          <w:rFonts w:ascii="Times New Roman" w:eastAsia="Times New Roman" w:hAnsi="Times New Roman" w:cs="Times New Roman"/>
        </w:rPr>
        <w:t> </w:t>
      </w:r>
      <w:r>
        <w:t>z</w:t>
      </w:r>
      <w:r>
        <w:t>á</w:t>
      </w:r>
      <w:r>
        <w:t>vislosti na geografick</w:t>
      </w:r>
      <w:r>
        <w:t>é</w:t>
      </w:r>
      <w:r>
        <w:t xml:space="preserve"> </w:t>
      </w:r>
      <w:r>
        <w:t>ú</w:t>
      </w:r>
      <w:r>
        <w:t>rovni (max. 27x za uplynul</w:t>
      </w:r>
      <w:r>
        <w:t>é</w:t>
      </w:r>
      <w:r>
        <w:t xml:space="preserve"> 3 m</w:t>
      </w:r>
      <w:r>
        <w:t>ě</w:t>
      </w:r>
      <w:r>
        <w:t>s</w:t>
      </w:r>
      <w:r>
        <w:t>í</w:t>
      </w:r>
      <w:r>
        <w:t>ce pro kraje, max. 15x za uplynul</w:t>
      </w:r>
      <w:r>
        <w:t>é</w:t>
      </w:r>
      <w:r>
        <w:t xml:space="preserve"> 3 m</w:t>
      </w:r>
      <w:r>
        <w:t>ě</w:t>
      </w:r>
      <w:r>
        <w:t>s</w:t>
      </w:r>
      <w:r>
        <w:t>í</w:t>
      </w:r>
      <w:r>
        <w:t>ce pro oblasti DMO). Osoby s</w:t>
      </w:r>
      <w:r>
        <w:rPr>
          <w:rFonts w:ascii="Times New Roman" w:eastAsia="Times New Roman" w:hAnsi="Times New Roman" w:cs="Times New Roman"/>
        </w:rPr>
        <w:t> </w:t>
      </w:r>
      <w:r>
        <w:t>v</w:t>
      </w:r>
      <w:r>
        <w:t>í</w:t>
      </w:r>
      <w:r>
        <w:t>ce p</w:t>
      </w:r>
      <w:r>
        <w:t>ří</w:t>
      </w:r>
      <w:r>
        <w:t>jezdy jsou ji</w:t>
      </w:r>
      <w:r>
        <w:t>ž</w:t>
      </w:r>
      <w:r>
        <w:t xml:space="preserve"> za</w:t>
      </w:r>
      <w:r>
        <w:t>ř</w:t>
      </w:r>
      <w:r>
        <w:t>azeny do kategorie doj</w:t>
      </w:r>
      <w:r>
        <w:t>íž</w:t>
      </w:r>
      <w:r>
        <w:t>d</w:t>
      </w:r>
      <w:r>
        <w:t>ě</w:t>
      </w:r>
      <w:r>
        <w:t>j</w:t>
      </w:r>
      <w:r>
        <w:t>í</w:t>
      </w:r>
      <w:r>
        <w:t>c</w:t>
      </w:r>
      <w:r>
        <w:t>í</w:t>
      </w:r>
      <w:r>
        <w:t xml:space="preserve">ch. </w:t>
      </w:r>
    </w:p>
    <w:p w14:paraId="12547079" w14:textId="77777777" w:rsidR="00A12DC6" w:rsidRDefault="00320781">
      <w:pPr>
        <w:spacing w:after="156" w:line="257" w:lineRule="auto"/>
        <w:ind w:left="-5" w:right="37"/>
      </w:pPr>
      <w:r>
        <w:rPr>
          <w:b/>
        </w:rPr>
        <w:t>Turista</w:t>
      </w:r>
      <w:r>
        <w:t xml:space="preserve"> </w:t>
      </w:r>
      <w:r>
        <w:t xml:space="preserve">je vícedenní návštěvník, který v daném místě stráví minimálně jednu noc (1 </w:t>
      </w:r>
      <w:proofErr w:type="spellStart"/>
      <w:r>
        <w:t>turistoden</w:t>
      </w:r>
      <w:proofErr w:type="spellEnd"/>
      <w:r>
        <w:t>). Je stanovena podmínka, že osoba musí v</w:t>
      </w:r>
      <w:r>
        <w:rPr>
          <w:rFonts w:ascii="Times New Roman" w:eastAsia="Times New Roman" w:hAnsi="Times New Roman" w:cs="Times New Roman"/>
        </w:rPr>
        <w:t> </w:t>
      </w:r>
      <w:r>
        <w:t>destinaci str</w:t>
      </w:r>
      <w:r>
        <w:t>á</w:t>
      </w:r>
      <w:r>
        <w:t>vit alespo</w:t>
      </w:r>
      <w:r>
        <w:t>ň</w:t>
      </w:r>
      <w:r>
        <w:t xml:space="preserve"> 3 hodiny v no</w:t>
      </w:r>
      <w:r>
        <w:t>č</w:t>
      </w:r>
      <w:r>
        <w:t>n</w:t>
      </w:r>
      <w:r>
        <w:t>í</w:t>
      </w:r>
      <w:r>
        <w:t>m obdob</w:t>
      </w:r>
      <w:r>
        <w:t>í</w:t>
      </w:r>
      <w:r>
        <w:t xml:space="preserve"> (mezi 1:00 </w:t>
      </w:r>
      <w:r>
        <w:t>–</w:t>
      </w:r>
      <w:r>
        <w:t xml:space="preserve"> 6:00). Po</w:t>
      </w:r>
      <w:r>
        <w:t>č</w:t>
      </w:r>
      <w:r>
        <w:t>et p</w:t>
      </w:r>
      <w:r>
        <w:t>ř</w:t>
      </w:r>
      <w:r>
        <w:t>enocov</w:t>
      </w:r>
      <w:r>
        <w:t>á</w:t>
      </w:r>
      <w:r>
        <w:t>n</w:t>
      </w:r>
      <w:r>
        <w:t>í</w:t>
      </w:r>
      <w:r>
        <w:t xml:space="preserve"> v destinaci dosahuje za sledovan</w:t>
      </w:r>
      <w:r>
        <w:t>é</w:t>
      </w:r>
      <w:r>
        <w:t xml:space="preserve"> </w:t>
      </w:r>
      <w:r>
        <w:t>ú</w:t>
      </w:r>
      <w:r>
        <w:t>zem</w:t>
      </w:r>
      <w:r>
        <w:t>í</w:t>
      </w:r>
      <w:r>
        <w:t xml:space="preserve"> ur</w:t>
      </w:r>
      <w:r>
        <w:t>č</w:t>
      </w:r>
      <w:r>
        <w:t>it</w:t>
      </w:r>
      <w:r>
        <w:t>é</w:t>
      </w:r>
      <w:r>
        <w:t xml:space="preserve"> maxim</w:t>
      </w:r>
      <w:r>
        <w:t>á</w:t>
      </w:r>
      <w:r>
        <w:t>ln</w:t>
      </w:r>
      <w:r>
        <w:t>í</w:t>
      </w:r>
      <w:r>
        <w:t xml:space="preserve"> hodnoty (max. 21x za m</w:t>
      </w:r>
      <w:r>
        <w:t>ě</w:t>
      </w:r>
      <w:r>
        <w:t>s</w:t>
      </w:r>
      <w:r>
        <w:t>í</w:t>
      </w:r>
      <w:r>
        <w:t>c). Osoba, kter</w:t>
      </w:r>
      <w:r>
        <w:t>á</w:t>
      </w:r>
      <w:r>
        <w:t xml:space="preserve"> v</w:t>
      </w:r>
      <w:r>
        <w:rPr>
          <w:rFonts w:ascii="Times New Roman" w:eastAsia="Times New Roman" w:hAnsi="Times New Roman" w:cs="Times New Roman"/>
        </w:rPr>
        <w:t> </w:t>
      </w:r>
      <w:r>
        <w:t>m</w:t>
      </w:r>
      <w:r>
        <w:t>í</w:t>
      </w:r>
      <w:r>
        <w:t>st</w:t>
      </w:r>
      <w:r>
        <w:t>ě</w:t>
      </w:r>
      <w:r>
        <w:t xml:space="preserve"> p</w:t>
      </w:r>
      <w:r>
        <w:t>ř</w:t>
      </w:r>
      <w:r>
        <w:t>enocuje v</w:t>
      </w:r>
      <w:r>
        <w:t>í</w:t>
      </w:r>
      <w:r>
        <w:t>cekr</w:t>
      </w:r>
      <w:r>
        <w:t>á</w:t>
      </w:r>
      <w:r>
        <w:t>t se ji</w:t>
      </w:r>
      <w:r>
        <w:t>ž</w:t>
      </w:r>
      <w:r>
        <w:t xml:space="preserve"> za</w:t>
      </w:r>
      <w:r>
        <w:t>ř</w:t>
      </w:r>
      <w:r>
        <w:t xml:space="preserve">azuje do kategorie obyvatel. </w:t>
      </w:r>
    </w:p>
    <w:p w14:paraId="4C6B7F4A" w14:textId="77777777" w:rsidR="00A12DC6" w:rsidRDefault="00320781">
      <w:pPr>
        <w:spacing w:after="152"/>
        <w:ind w:left="45" w:right="43"/>
      </w:pPr>
      <w:r>
        <w:t>Za stejným účelem jsou v</w:t>
      </w:r>
      <w:r>
        <w:t xml:space="preserve"> </w:t>
      </w:r>
      <w:r>
        <w:t>rámci analýzy původu návštěvníků z</w:t>
      </w:r>
      <w:r>
        <w:t xml:space="preserve"> </w:t>
      </w:r>
      <w:r>
        <w:t xml:space="preserve">Česka vyřazena data za obce přiléhající do okruhu cca 20 km od analyzovaného území. </w:t>
      </w:r>
      <w:r>
        <w:t xml:space="preserve"> </w:t>
      </w:r>
    </w:p>
    <w:p w14:paraId="52FF0F9A" w14:textId="77777777" w:rsidR="00A12DC6" w:rsidRDefault="00320781">
      <w:pPr>
        <w:spacing w:after="156" w:line="259" w:lineRule="auto"/>
        <w:ind w:left="-5"/>
        <w:jc w:val="left"/>
      </w:pPr>
      <w:r>
        <w:rPr>
          <w:b/>
        </w:rPr>
        <w:t xml:space="preserve">Základní členění měřených ukazatelů analýzy návštěvnosti </w:t>
      </w:r>
    </w:p>
    <w:p w14:paraId="1E0658FF" w14:textId="77777777" w:rsidR="00A12DC6" w:rsidRDefault="00320781">
      <w:pPr>
        <w:ind w:left="45" w:right="43"/>
      </w:pPr>
      <w:r>
        <w:t>Následující tabulka znázorňuje referenčního turistu, který přijel do destinace dvakrát a výletníka, který přijel do</w:t>
      </w:r>
      <w:r>
        <w:rPr>
          <w:rFonts w:ascii="Times New Roman" w:eastAsia="Times New Roman" w:hAnsi="Times New Roman" w:cs="Times New Roman"/>
        </w:rPr>
        <w:t> </w:t>
      </w:r>
      <w:r>
        <w:t>destinace t</w:t>
      </w:r>
      <w:r>
        <w:t>ř</w:t>
      </w:r>
      <w:r>
        <w:t>ikr</w:t>
      </w:r>
      <w:r>
        <w:t>á</w:t>
      </w:r>
      <w:r>
        <w:t xml:space="preserve">t. </w:t>
      </w:r>
      <w:r>
        <w:t>Č</w:t>
      </w:r>
      <w:r>
        <w:t>erven</w:t>
      </w:r>
      <w:r>
        <w:t>é</w:t>
      </w:r>
      <w:r>
        <w:t xml:space="preserve"> body zn</w:t>
      </w:r>
      <w:r>
        <w:t>á</w:t>
      </w:r>
      <w:r>
        <w:t>zor</w:t>
      </w:r>
      <w:r>
        <w:t>ň</w:t>
      </w:r>
      <w:r>
        <w:t>uj</w:t>
      </w:r>
      <w:r>
        <w:t>í</w:t>
      </w:r>
      <w:r>
        <w:t xml:space="preserve"> zachycen</w:t>
      </w:r>
      <w:r>
        <w:t>í</w:t>
      </w:r>
      <w:r>
        <w:t xml:space="preserve"> </w:t>
      </w:r>
      <w:r>
        <w:t>úč</w:t>
      </w:r>
      <w:r>
        <w:t>astn</w:t>
      </w:r>
      <w:r>
        <w:t>í</w:t>
      </w:r>
      <w:r>
        <w:t>ka v konkr</w:t>
      </w:r>
      <w:r>
        <w:t>é</w:t>
      </w:r>
      <w:r>
        <w:t>tn</w:t>
      </w:r>
      <w:r>
        <w:t>í</w:t>
      </w:r>
      <w:r>
        <w:t xml:space="preserve">ch dnech.  </w:t>
      </w:r>
    </w:p>
    <w:p w14:paraId="7490DE23" w14:textId="77777777" w:rsidR="00A12DC6" w:rsidRDefault="00320781">
      <w:pPr>
        <w:pStyle w:val="Nadpis1"/>
      </w:pPr>
      <w:r>
        <w:t>předběžných tržních konzultací</w:t>
      </w:r>
      <w:r>
        <w:t xml:space="preserve"> </w:t>
      </w:r>
    </w:p>
    <w:p w14:paraId="74A6EB0F" w14:textId="77777777" w:rsidR="00A12DC6" w:rsidRDefault="0032078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42949283" w14:textId="77777777" w:rsidR="00A12DC6" w:rsidRDefault="00320781">
      <w:pPr>
        <w:spacing w:after="106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12AA68A7" wp14:editId="2E7D9613">
            <wp:extent cx="5760720" cy="1939925"/>
            <wp:effectExtent l="0" t="0" r="0" b="0"/>
            <wp:docPr id="936" name="Picture 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Picture 9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8C5935D" w14:textId="77777777" w:rsidR="00A12DC6" w:rsidRDefault="00320781">
      <w:pPr>
        <w:spacing w:after="168" w:line="259" w:lineRule="auto"/>
        <w:ind w:left="0" w:firstLine="0"/>
        <w:jc w:val="left"/>
      </w:pPr>
      <w:r>
        <w:rPr>
          <w:b/>
        </w:rPr>
        <w:t>TURISTA</w:t>
      </w:r>
      <w:r>
        <w:t xml:space="preserve"> </w:t>
      </w:r>
    </w:p>
    <w:p w14:paraId="2EB34694" w14:textId="77777777" w:rsidR="00A12DC6" w:rsidRDefault="00320781">
      <w:pPr>
        <w:numPr>
          <w:ilvl w:val="0"/>
          <w:numId w:val="3"/>
        </w:numPr>
        <w:ind w:right="43" w:hanging="360"/>
      </w:pPr>
      <w:r>
        <w:rPr>
          <w:b/>
        </w:rPr>
        <w:t>TURISTA = vícedenní návštěvník</w:t>
      </w:r>
      <w:r>
        <w:t>. Turista přijel do destinace 2x. Při první návštěvě strávil v destinaci 3 noci, při druhé 1 noc.</w:t>
      </w:r>
      <w:r>
        <w:t xml:space="preserve"> </w:t>
      </w:r>
    </w:p>
    <w:p w14:paraId="2EA775E8" w14:textId="77777777" w:rsidR="00A12DC6" w:rsidRDefault="00320781">
      <w:pPr>
        <w:numPr>
          <w:ilvl w:val="0"/>
          <w:numId w:val="3"/>
        </w:numPr>
        <w:spacing w:after="0" w:line="259" w:lineRule="auto"/>
        <w:ind w:right="43" w:hanging="360"/>
      </w:pPr>
      <w:r>
        <w:rPr>
          <w:b/>
        </w:rPr>
        <w:t>TURISTONÁVŠTĚVA = počet opakovaných návštěv</w:t>
      </w:r>
      <w:r>
        <w:t xml:space="preserve">. Turista přijel do destinace 2x. </w:t>
      </w:r>
    </w:p>
    <w:p w14:paraId="69630C76" w14:textId="77777777" w:rsidR="00A12DC6" w:rsidRDefault="00320781">
      <w:pPr>
        <w:ind w:left="420" w:right="43"/>
      </w:pPr>
      <w:r>
        <w:t>Při první návštěvě strávil v destinaci 3 noci, při druhé návštěvě 1 noc.</w:t>
      </w:r>
      <w:r>
        <w:t xml:space="preserve"> </w:t>
      </w:r>
    </w:p>
    <w:p w14:paraId="17E1FA23" w14:textId="77777777" w:rsidR="00A12DC6" w:rsidRDefault="00320781">
      <w:pPr>
        <w:numPr>
          <w:ilvl w:val="0"/>
          <w:numId w:val="3"/>
        </w:numPr>
        <w:ind w:right="43" w:hanging="360"/>
      </w:pPr>
      <w:r>
        <w:rPr>
          <w:b/>
        </w:rPr>
        <w:t>PŘENOCOVÁNÍ = počet přenocování v destinaci</w:t>
      </w:r>
      <w:r>
        <w:t>. Turista přijel do destinace 2x. Při první návštěvě přenocoval v destinaci 3x, při druhé návštěvě 1x. Dohromady tedy v destinaci přenocoval 4x.</w:t>
      </w:r>
      <w:r>
        <w:t xml:space="preserve"> </w:t>
      </w:r>
    </w:p>
    <w:p w14:paraId="5345E070" w14:textId="77777777" w:rsidR="00A12DC6" w:rsidRDefault="00320781">
      <w:pPr>
        <w:numPr>
          <w:ilvl w:val="0"/>
          <w:numId w:val="3"/>
        </w:numPr>
        <w:ind w:right="43" w:hanging="360"/>
      </w:pPr>
      <w:r>
        <w:rPr>
          <w:b/>
        </w:rPr>
        <w:t>24 h POBYT = počet celých dnů strávených v destinaci</w:t>
      </w:r>
      <w:r>
        <w:t>. Turista přijel do destinace 2x. Při první návštěvě strávil v destinaci 2 celé dny, při druhé návštěvě v destinaci celý den nestrávil.</w:t>
      </w:r>
      <w:r>
        <w:t xml:space="preserve"> </w:t>
      </w:r>
    </w:p>
    <w:p w14:paraId="3AC00CB8" w14:textId="77777777" w:rsidR="00A12DC6" w:rsidRDefault="00320781">
      <w:pPr>
        <w:numPr>
          <w:ilvl w:val="0"/>
          <w:numId w:val="3"/>
        </w:numPr>
        <w:spacing w:after="156" w:line="257" w:lineRule="auto"/>
        <w:ind w:right="43" w:hanging="360"/>
      </w:pPr>
      <w:r>
        <w:rPr>
          <w:b/>
        </w:rPr>
        <w:t>TURISTODEN = počet dnů strávených v destinaci</w:t>
      </w:r>
      <w:r>
        <w:t xml:space="preserve">. </w:t>
      </w:r>
      <w:r>
        <w:t>Turista přijel do</w:t>
      </w:r>
      <w:r>
        <w:rPr>
          <w:rFonts w:ascii="Times New Roman" w:eastAsia="Times New Roman" w:hAnsi="Times New Roman" w:cs="Times New Roman"/>
        </w:rPr>
        <w:t> </w:t>
      </w:r>
      <w:r>
        <w:t xml:space="preserve">destinace 2x. Mezi </w:t>
      </w:r>
      <w:proofErr w:type="spellStart"/>
      <w:r>
        <w:t>turistodny</w:t>
      </w:r>
      <w:proofErr w:type="spellEnd"/>
      <w:r>
        <w:t xml:space="preserve"> zapo</w:t>
      </w:r>
      <w:r>
        <w:t>čí</w:t>
      </w:r>
      <w:r>
        <w:t>t</w:t>
      </w:r>
      <w:r>
        <w:t>á</w:t>
      </w:r>
      <w:r>
        <w:t>v</w:t>
      </w:r>
      <w:r>
        <w:t>á</w:t>
      </w:r>
      <w:r>
        <w:t>me dny s p</w:t>
      </w:r>
      <w:r>
        <w:t>ří</w:t>
      </w:r>
      <w:r>
        <w:t>jezdem turisty p</w:t>
      </w:r>
      <w:r>
        <w:t>ř</w:t>
      </w:r>
      <w:r>
        <w:t>ed 19. hodinou a dny s odjezdem turisty po 10. hodin</w:t>
      </w:r>
      <w:r>
        <w:t>ě</w:t>
      </w:r>
      <w:r>
        <w:t>. P</w:t>
      </w:r>
      <w:r>
        <w:t>ř</w:t>
      </w:r>
      <w:r>
        <w:t>i prvn</w:t>
      </w:r>
      <w:r>
        <w:t>í</w:t>
      </w:r>
      <w:r>
        <w:t xml:space="preserve"> n</w:t>
      </w:r>
      <w:r>
        <w:t>á</w:t>
      </w:r>
      <w:r>
        <w:t>v</w:t>
      </w:r>
      <w:r>
        <w:t>š</w:t>
      </w:r>
      <w:r>
        <w:t>t</w:t>
      </w:r>
      <w:r>
        <w:t>ě</w:t>
      </w:r>
      <w:r>
        <w:t>v</w:t>
      </w:r>
      <w:r>
        <w:t>ě</w:t>
      </w:r>
      <w:r>
        <w:t xml:space="preserve"> str</w:t>
      </w:r>
      <w:r>
        <w:t>á</w:t>
      </w:r>
      <w:r>
        <w:t xml:space="preserve">vil v destinaci pouze 3 </w:t>
      </w:r>
      <w:proofErr w:type="spellStart"/>
      <w:r>
        <w:t>turistodny</w:t>
      </w:r>
      <w:proofErr w:type="spellEnd"/>
      <w:r>
        <w:t>, proto</w:t>
      </w:r>
      <w:r>
        <w:t>ž</w:t>
      </w:r>
      <w:r>
        <w:t>e prvn</w:t>
      </w:r>
      <w:r>
        <w:t>í</w:t>
      </w:r>
      <w:r>
        <w:t xml:space="preserve"> den p</w:t>
      </w:r>
      <w:r>
        <w:t>ř</w:t>
      </w:r>
      <w:r>
        <w:t>ijel a</w:t>
      </w:r>
      <w:r>
        <w:t>ž</w:t>
      </w:r>
      <w:r>
        <w:t xml:space="preserve"> po 19. hodin</w:t>
      </w:r>
      <w:r>
        <w:t>ě</w:t>
      </w:r>
      <w:r>
        <w:t>. P</w:t>
      </w:r>
      <w:r>
        <w:t>ř</w:t>
      </w:r>
      <w:r>
        <w:t>i druh</w:t>
      </w:r>
      <w:r>
        <w:t>é</w:t>
      </w:r>
      <w:r>
        <w:t xml:space="preserve"> n</w:t>
      </w:r>
      <w:r>
        <w:t>á</w:t>
      </w:r>
      <w:r>
        <w:t>v</w:t>
      </w:r>
      <w:r>
        <w:t>š</w:t>
      </w:r>
      <w:r>
        <w:t>t</w:t>
      </w:r>
      <w:r>
        <w:t>ě</w:t>
      </w:r>
      <w:r>
        <w:t>v</w:t>
      </w:r>
      <w:r>
        <w:t>ě</w:t>
      </w:r>
      <w:r>
        <w:t xml:space="preserve"> str</w:t>
      </w:r>
      <w:r>
        <w:t>á</w:t>
      </w:r>
      <w:r>
        <w:t xml:space="preserve">vil v destinaci 2 </w:t>
      </w:r>
      <w:proofErr w:type="spellStart"/>
      <w:r>
        <w:t>turistodny</w:t>
      </w:r>
      <w:proofErr w:type="spellEnd"/>
      <w:r>
        <w:t>. Celkov</w:t>
      </w:r>
      <w:r>
        <w:t>ě</w:t>
      </w:r>
      <w:r>
        <w:t xml:space="preserve"> tedy 5 </w:t>
      </w:r>
      <w:proofErr w:type="spellStart"/>
      <w:r>
        <w:t>turistodn</w:t>
      </w:r>
      <w:r>
        <w:t>ů</w:t>
      </w:r>
      <w:proofErr w:type="spellEnd"/>
      <w:r>
        <w:t xml:space="preserve">. </w:t>
      </w:r>
    </w:p>
    <w:p w14:paraId="74B4B520" w14:textId="77777777" w:rsidR="00A12DC6" w:rsidRDefault="00320781">
      <w:pPr>
        <w:spacing w:after="181" w:line="259" w:lineRule="auto"/>
        <w:ind w:left="-5"/>
        <w:jc w:val="left"/>
      </w:pPr>
      <w:r>
        <w:rPr>
          <w:b/>
        </w:rPr>
        <w:t xml:space="preserve">Turisté – měřené / analyzované ukazatele: </w:t>
      </w:r>
    </w:p>
    <w:p w14:paraId="53957500" w14:textId="77777777" w:rsidR="00A12DC6" w:rsidRDefault="00320781">
      <w:pPr>
        <w:numPr>
          <w:ilvl w:val="0"/>
          <w:numId w:val="3"/>
        </w:numPr>
        <w:ind w:right="43" w:hanging="360"/>
      </w:pPr>
      <w:r>
        <w:t>Klasifikace turistů (návštěvníků s přenocováním)</w:t>
      </w:r>
      <w:r>
        <w:t xml:space="preserve"> </w:t>
      </w:r>
    </w:p>
    <w:p w14:paraId="27B65BE4" w14:textId="77777777" w:rsidR="00A12DC6" w:rsidRDefault="00320781">
      <w:pPr>
        <w:numPr>
          <w:ilvl w:val="0"/>
          <w:numId w:val="3"/>
        </w:numPr>
        <w:ind w:right="43" w:hanging="360"/>
      </w:pPr>
      <w:r>
        <w:t>Počet turistů</w:t>
      </w:r>
      <w:r>
        <w:t xml:space="preserve"> </w:t>
      </w:r>
    </w:p>
    <w:p w14:paraId="19EFF9F8" w14:textId="77777777" w:rsidR="00A12DC6" w:rsidRDefault="00320781">
      <w:pPr>
        <w:numPr>
          <w:ilvl w:val="0"/>
          <w:numId w:val="3"/>
        </w:numPr>
        <w:ind w:right="43" w:hanging="360"/>
      </w:pPr>
      <w:r>
        <w:t xml:space="preserve">Počet </w:t>
      </w:r>
      <w:proofErr w:type="spellStart"/>
      <w:r>
        <w:t>turistonávštěv</w:t>
      </w:r>
      <w:proofErr w:type="spellEnd"/>
      <w:r>
        <w:t xml:space="preserve"> </w:t>
      </w:r>
    </w:p>
    <w:p w14:paraId="26556527" w14:textId="77777777" w:rsidR="00A12DC6" w:rsidRDefault="00320781">
      <w:pPr>
        <w:numPr>
          <w:ilvl w:val="0"/>
          <w:numId w:val="3"/>
        </w:numPr>
        <w:ind w:right="43" w:hanging="360"/>
      </w:pPr>
      <w:r>
        <w:t>Počet přenocování</w:t>
      </w:r>
      <w:r>
        <w:t xml:space="preserve"> </w:t>
      </w:r>
    </w:p>
    <w:p w14:paraId="35165CA4" w14:textId="77777777" w:rsidR="00A12DC6" w:rsidRDefault="00320781">
      <w:pPr>
        <w:numPr>
          <w:ilvl w:val="0"/>
          <w:numId w:val="3"/>
        </w:numPr>
        <w:ind w:right="43" w:hanging="360"/>
      </w:pPr>
      <w:r>
        <w:t xml:space="preserve">Počet </w:t>
      </w:r>
      <w:proofErr w:type="gramStart"/>
      <w:r>
        <w:t>24 hodinových</w:t>
      </w:r>
      <w:proofErr w:type="gramEnd"/>
      <w:r>
        <w:t xml:space="preserve"> pobytů turistů</w:t>
      </w:r>
      <w:r>
        <w:t xml:space="preserve"> </w:t>
      </w:r>
    </w:p>
    <w:p w14:paraId="35ECC064" w14:textId="77777777" w:rsidR="00A12DC6" w:rsidRDefault="00320781">
      <w:pPr>
        <w:numPr>
          <w:ilvl w:val="0"/>
          <w:numId w:val="3"/>
        </w:numPr>
        <w:ind w:right="43" w:hanging="360"/>
      </w:pPr>
      <w:r>
        <w:t xml:space="preserve">Počet </w:t>
      </w:r>
      <w:proofErr w:type="spellStart"/>
      <w:r>
        <w:t>turistodnů</w:t>
      </w:r>
      <w:proofErr w:type="spellEnd"/>
      <w:r>
        <w:t xml:space="preserve"> </w:t>
      </w:r>
    </w:p>
    <w:p w14:paraId="569D9ABD" w14:textId="77777777" w:rsidR="00A12DC6" w:rsidRDefault="00320781">
      <w:pPr>
        <w:numPr>
          <w:ilvl w:val="0"/>
          <w:numId w:val="3"/>
        </w:numPr>
        <w:ind w:right="43" w:hanging="360"/>
      </w:pPr>
      <w:r>
        <w:t>Původ turistů (zdrojová území)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CCA Arial CE" w:eastAsia="CCA Arial CE" w:hAnsi="CCA Arial CE" w:cs="CCA Arial CE"/>
        </w:rPr>
        <w:t xml:space="preserve"> </w:t>
      </w:r>
      <w:r>
        <w:t>Zdroje domácích turistů do úrovně okresů</w:t>
      </w:r>
      <w:r>
        <w:t xml:space="preserve"> </w:t>
      </w:r>
    </w:p>
    <w:p w14:paraId="77461967" w14:textId="77777777" w:rsidR="00A12DC6" w:rsidRDefault="00320781">
      <w:pPr>
        <w:ind w:left="1440" w:right="43" w:hanging="360"/>
      </w:pPr>
      <w:r>
        <w:rPr>
          <w:rFonts w:ascii="Courier New" w:eastAsia="Courier New" w:hAnsi="Courier New" w:cs="Courier New"/>
        </w:rPr>
        <w:t>o</w:t>
      </w:r>
      <w:r>
        <w:rPr>
          <w:rFonts w:ascii="CCA Arial CE" w:eastAsia="CCA Arial CE" w:hAnsi="CCA Arial CE" w:cs="CCA Arial CE"/>
        </w:rPr>
        <w:t xml:space="preserve"> </w:t>
      </w:r>
      <w:r>
        <w:t>Zdroje zahraničních turistů do úrovně zemí (země s malými četnostmi budou sloučeny do kategorie ostatní)</w:t>
      </w:r>
      <w:r>
        <w:t xml:space="preserve"> </w:t>
      </w:r>
    </w:p>
    <w:p w14:paraId="57496EF7" w14:textId="77777777" w:rsidR="00A12DC6" w:rsidRDefault="00320781">
      <w:pPr>
        <w:numPr>
          <w:ilvl w:val="0"/>
          <w:numId w:val="3"/>
        </w:numPr>
        <w:ind w:right="43" w:hanging="360"/>
      </w:pPr>
      <w:r>
        <w:t>Délka turistické návštěvy</w:t>
      </w:r>
      <w:r>
        <w:t xml:space="preserve"> </w:t>
      </w:r>
    </w:p>
    <w:p w14:paraId="3732DEF6" w14:textId="77777777" w:rsidR="00A12DC6" w:rsidRDefault="00320781">
      <w:pPr>
        <w:numPr>
          <w:ilvl w:val="0"/>
          <w:numId w:val="3"/>
        </w:numPr>
        <w:ind w:right="43" w:hanging="360"/>
      </w:pPr>
      <w:r>
        <w:t>Délka pobytu turistů v měřené destinaci ve dnech –</w:t>
      </w:r>
      <w:r>
        <w:t xml:space="preserve"> </w:t>
      </w:r>
      <w:r>
        <w:t>průměr</w:t>
      </w:r>
      <w:r>
        <w:t xml:space="preserve"> </w:t>
      </w:r>
    </w:p>
    <w:p w14:paraId="35A0460E" w14:textId="77777777" w:rsidR="00A12DC6" w:rsidRDefault="00320781">
      <w:pPr>
        <w:numPr>
          <w:ilvl w:val="0"/>
          <w:numId w:val="3"/>
        </w:numPr>
        <w:ind w:right="43" w:hanging="360"/>
      </w:pPr>
      <w:r>
        <w:t>Počet přenocování turistů v měřené destinaci –</w:t>
      </w:r>
      <w:r>
        <w:t xml:space="preserve"> </w:t>
      </w:r>
      <w:r>
        <w:t xml:space="preserve">průměr </w:t>
      </w:r>
      <w:r>
        <w:t xml:space="preserve"> </w:t>
      </w:r>
    </w:p>
    <w:p w14:paraId="60AC53E3" w14:textId="77777777" w:rsidR="00A12DC6" w:rsidRDefault="00320781">
      <w:pPr>
        <w:pStyle w:val="Nadpis1"/>
      </w:pPr>
      <w:r>
        <w:t>předběžných tržních konzultací</w:t>
      </w:r>
      <w:r>
        <w:t xml:space="preserve"> </w:t>
      </w:r>
    </w:p>
    <w:p w14:paraId="4E1B0C46" w14:textId="77777777" w:rsidR="00A12DC6" w:rsidRDefault="0032078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7EB2A6FA" w14:textId="77777777" w:rsidR="00A12DC6" w:rsidRDefault="00320781">
      <w:pPr>
        <w:numPr>
          <w:ilvl w:val="0"/>
          <w:numId w:val="4"/>
        </w:numPr>
        <w:ind w:right="43" w:hanging="360"/>
      </w:pPr>
      <w:r>
        <w:lastRenderedPageBreak/>
        <w:t>Opakovaná návštěva turistů</w:t>
      </w:r>
      <w:r>
        <w:t xml:space="preserve"> </w:t>
      </w:r>
    </w:p>
    <w:p w14:paraId="26BCC4F3" w14:textId="77777777" w:rsidR="00A12DC6" w:rsidRDefault="00320781">
      <w:pPr>
        <w:spacing w:after="156" w:line="259" w:lineRule="auto"/>
        <w:ind w:left="410" w:firstLine="0"/>
        <w:jc w:val="left"/>
      </w:pPr>
      <w:r>
        <w:t xml:space="preserve"> </w:t>
      </w:r>
    </w:p>
    <w:p w14:paraId="32DC6922" w14:textId="77777777" w:rsidR="00A12DC6" w:rsidRDefault="00320781">
      <w:pPr>
        <w:spacing w:after="166" w:line="259" w:lineRule="auto"/>
        <w:ind w:left="-5"/>
        <w:jc w:val="left"/>
      </w:pPr>
      <w:r>
        <w:rPr>
          <w:b/>
        </w:rPr>
        <w:t xml:space="preserve">VÝLETNÍK  </w:t>
      </w:r>
    </w:p>
    <w:p w14:paraId="4CBA026F" w14:textId="77777777" w:rsidR="00A12DC6" w:rsidRDefault="00320781">
      <w:pPr>
        <w:numPr>
          <w:ilvl w:val="0"/>
          <w:numId w:val="4"/>
        </w:numPr>
        <w:ind w:right="43" w:hanging="360"/>
      </w:pPr>
      <w:r>
        <w:rPr>
          <w:b/>
        </w:rPr>
        <w:t>VÝLETNÍK = jednodenní návštěvník</w:t>
      </w:r>
      <w:r>
        <w:t>. Výletník přijel do destinace 3x, žádnou noc zde nestrávil.</w:t>
      </w:r>
      <w:r>
        <w:t xml:space="preserve"> </w:t>
      </w:r>
    </w:p>
    <w:p w14:paraId="16FC484C" w14:textId="77777777" w:rsidR="00A12DC6" w:rsidRDefault="00320781">
      <w:pPr>
        <w:numPr>
          <w:ilvl w:val="0"/>
          <w:numId w:val="4"/>
        </w:numPr>
        <w:spacing w:after="151"/>
        <w:ind w:right="43" w:hanging="360"/>
      </w:pPr>
      <w:r>
        <w:rPr>
          <w:b/>
        </w:rPr>
        <w:t>VÝLETODEN = počet jednodenních návštěv do destinace</w:t>
      </w:r>
      <w:r>
        <w:t>. Výletník do destinace vykonal 3 jednodenní návštěvy.</w:t>
      </w:r>
      <w:r>
        <w:t xml:space="preserve"> </w:t>
      </w:r>
    </w:p>
    <w:p w14:paraId="676E5BA1" w14:textId="77777777" w:rsidR="00A12DC6" w:rsidRDefault="00320781">
      <w:pPr>
        <w:spacing w:after="179" w:line="259" w:lineRule="auto"/>
        <w:ind w:left="-5"/>
        <w:jc w:val="left"/>
      </w:pPr>
      <w:r>
        <w:rPr>
          <w:b/>
        </w:rPr>
        <w:t xml:space="preserve">Výletníci – měřené / analyzované ukazatele: </w:t>
      </w:r>
    </w:p>
    <w:p w14:paraId="0FBE2F65" w14:textId="77777777" w:rsidR="00A12DC6" w:rsidRDefault="00320781">
      <w:pPr>
        <w:numPr>
          <w:ilvl w:val="0"/>
          <w:numId w:val="4"/>
        </w:numPr>
        <w:ind w:right="43" w:hanging="360"/>
      </w:pPr>
      <w:r>
        <w:t>Klasifikace výletníků (návštěvníků bez přenocování)</w:t>
      </w:r>
      <w:r>
        <w:t xml:space="preserve"> </w:t>
      </w:r>
    </w:p>
    <w:p w14:paraId="0E2CEB7E" w14:textId="77777777" w:rsidR="00A12DC6" w:rsidRDefault="00320781">
      <w:pPr>
        <w:numPr>
          <w:ilvl w:val="0"/>
          <w:numId w:val="4"/>
        </w:numPr>
        <w:ind w:right="43" w:hanging="360"/>
      </w:pPr>
      <w:r>
        <w:t>Počet výletníků</w:t>
      </w:r>
      <w:r>
        <w:t xml:space="preserve"> </w:t>
      </w:r>
    </w:p>
    <w:p w14:paraId="6C530448" w14:textId="77777777" w:rsidR="00A12DC6" w:rsidRDefault="00320781">
      <w:pPr>
        <w:numPr>
          <w:ilvl w:val="0"/>
          <w:numId w:val="4"/>
        </w:numPr>
        <w:ind w:right="43" w:hanging="360"/>
      </w:pPr>
      <w:r>
        <w:t xml:space="preserve">Počet </w:t>
      </w:r>
      <w:proofErr w:type="spellStart"/>
      <w:r>
        <w:t>výletodnů</w:t>
      </w:r>
      <w:proofErr w:type="spellEnd"/>
      <w:r>
        <w:t xml:space="preserve"> (</w:t>
      </w:r>
      <w:proofErr w:type="spellStart"/>
      <w:r>
        <w:t>výletonávštěv</w:t>
      </w:r>
      <w:proofErr w:type="spellEnd"/>
      <w:r>
        <w:t>)</w:t>
      </w:r>
      <w:r>
        <w:t xml:space="preserve"> </w:t>
      </w:r>
    </w:p>
    <w:p w14:paraId="47D8313F" w14:textId="77777777" w:rsidR="00A12DC6" w:rsidRDefault="00320781">
      <w:pPr>
        <w:numPr>
          <w:ilvl w:val="0"/>
          <w:numId w:val="4"/>
        </w:numPr>
        <w:ind w:right="43" w:hanging="360"/>
      </w:pPr>
      <w:r>
        <w:t>Původ výletníků (zdrojová území)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CCA Arial CE" w:eastAsia="CCA Arial CE" w:hAnsi="CCA Arial CE" w:cs="CCA Arial CE"/>
        </w:rPr>
        <w:t xml:space="preserve"> </w:t>
      </w:r>
      <w:r>
        <w:t>Zdroje domácích výletníků do úrovně okresů</w:t>
      </w:r>
      <w:r>
        <w:t xml:space="preserve"> </w:t>
      </w:r>
    </w:p>
    <w:p w14:paraId="4BE617BA" w14:textId="77777777" w:rsidR="00A12DC6" w:rsidRDefault="00320781">
      <w:pPr>
        <w:ind w:left="1440" w:right="43" w:hanging="360"/>
      </w:pPr>
      <w:r>
        <w:rPr>
          <w:rFonts w:ascii="Courier New" w:eastAsia="Courier New" w:hAnsi="Courier New" w:cs="Courier New"/>
        </w:rPr>
        <w:t>o</w:t>
      </w:r>
      <w:r>
        <w:rPr>
          <w:rFonts w:ascii="CCA Arial CE" w:eastAsia="CCA Arial CE" w:hAnsi="CCA Arial CE" w:cs="CCA Arial CE"/>
        </w:rPr>
        <w:t xml:space="preserve"> </w:t>
      </w:r>
      <w:r>
        <w:t>Zdroje zahraničních výletníků do úrovně zemí (země s malými četnostmi budou sloučeny do kategorie ostatní)</w:t>
      </w:r>
      <w:r>
        <w:t xml:space="preserve"> </w:t>
      </w:r>
    </w:p>
    <w:p w14:paraId="55290C3E" w14:textId="77777777" w:rsidR="00A12DC6" w:rsidRDefault="00320781">
      <w:pPr>
        <w:numPr>
          <w:ilvl w:val="0"/>
          <w:numId w:val="4"/>
        </w:numPr>
        <w:spacing w:after="120"/>
        <w:ind w:right="43" w:hanging="360"/>
      </w:pPr>
      <w:r>
        <w:t>Opakovaná návštěva, frekvence návštěv výletníků</w:t>
      </w:r>
      <w:r>
        <w:t xml:space="preserve"> </w:t>
      </w:r>
    </w:p>
    <w:p w14:paraId="22C77FEA" w14:textId="77777777" w:rsidR="00A12DC6" w:rsidRDefault="00320781">
      <w:pPr>
        <w:spacing w:after="156" w:line="259" w:lineRule="auto"/>
        <w:ind w:left="-5"/>
        <w:jc w:val="left"/>
      </w:pPr>
      <w:r>
        <w:rPr>
          <w:b/>
        </w:rPr>
        <w:t xml:space="preserve">Geografické úrovně analýzy návštěvnosti </w:t>
      </w:r>
    </w:p>
    <w:p w14:paraId="5A83023B" w14:textId="77777777" w:rsidR="00A12DC6" w:rsidRDefault="00320781">
      <w:pPr>
        <w:spacing w:after="0" w:line="259" w:lineRule="auto"/>
        <w:ind w:left="152"/>
        <w:jc w:val="left"/>
      </w:pPr>
      <w:r>
        <w:t>1.</w:t>
      </w:r>
      <w:r>
        <w:rPr>
          <w:rFonts w:ascii="CCA Arial CE" w:eastAsia="CCA Arial CE" w:hAnsi="CCA Arial CE" w:cs="CCA Arial CE"/>
        </w:rPr>
        <w:t xml:space="preserve"> </w:t>
      </w:r>
      <w:r>
        <w:t>úroveň –</w:t>
      </w:r>
      <w:r>
        <w:t xml:space="preserve"> </w:t>
      </w:r>
      <w:r>
        <w:rPr>
          <w:b/>
        </w:rPr>
        <w:t>území celého Česka</w:t>
      </w:r>
      <w:r>
        <w:t xml:space="preserve"> </w:t>
      </w:r>
    </w:p>
    <w:p w14:paraId="6EF9838C" w14:textId="77777777" w:rsidR="00A12DC6" w:rsidRDefault="00320781">
      <w:pPr>
        <w:numPr>
          <w:ilvl w:val="0"/>
          <w:numId w:val="5"/>
        </w:numPr>
        <w:ind w:right="43" w:hanging="360"/>
      </w:pPr>
      <w:r>
        <w:t>analýza zahraničních turistů a výletníků za celé Česko, kteří navštívili Česko v rámci krátkodobého pobytu na území republiky</w:t>
      </w:r>
      <w:r>
        <w:t xml:space="preserve"> </w:t>
      </w:r>
    </w:p>
    <w:p w14:paraId="75388432" w14:textId="77777777" w:rsidR="00A12DC6" w:rsidRDefault="00320781">
      <w:pPr>
        <w:numPr>
          <w:ilvl w:val="0"/>
          <w:numId w:val="5"/>
        </w:numPr>
        <w:ind w:right="43" w:hanging="360"/>
      </w:pPr>
      <w:r>
        <w:t xml:space="preserve">je </w:t>
      </w:r>
      <w:r>
        <w:t>analyzován celkový objem cestovní</w:t>
      </w:r>
      <w:r>
        <w:t xml:space="preserve">ho ruchu </w:t>
      </w:r>
    </w:p>
    <w:p w14:paraId="14347990" w14:textId="77777777" w:rsidR="00A12DC6" w:rsidRDefault="00320781">
      <w:pPr>
        <w:spacing w:after="0" w:line="259" w:lineRule="auto"/>
        <w:ind w:left="152"/>
        <w:jc w:val="left"/>
      </w:pPr>
      <w:r>
        <w:t>2.</w:t>
      </w:r>
      <w:r>
        <w:rPr>
          <w:rFonts w:ascii="CCA Arial CE" w:eastAsia="CCA Arial CE" w:hAnsi="CCA Arial CE" w:cs="CCA Arial CE"/>
        </w:rPr>
        <w:t xml:space="preserve"> </w:t>
      </w:r>
      <w:r>
        <w:t>úroveň –</w:t>
      </w:r>
      <w:r>
        <w:t xml:space="preserve"> </w:t>
      </w:r>
      <w:r>
        <w:rPr>
          <w:b/>
        </w:rPr>
        <w:t>území krajů Česka</w:t>
      </w:r>
      <w:r>
        <w:t xml:space="preserve"> </w:t>
      </w:r>
      <w:r>
        <w:t>–</w:t>
      </w:r>
      <w:r>
        <w:t xml:space="preserve"> </w:t>
      </w:r>
      <w:r>
        <w:t>14 krajů</w:t>
      </w:r>
      <w:r>
        <w:t xml:space="preserve"> </w:t>
      </w:r>
    </w:p>
    <w:p w14:paraId="3C28457B" w14:textId="77777777" w:rsidR="00A12DC6" w:rsidRDefault="00320781">
      <w:pPr>
        <w:numPr>
          <w:ilvl w:val="0"/>
          <w:numId w:val="6"/>
        </w:numPr>
        <w:ind w:right="43" w:hanging="360"/>
      </w:pPr>
      <w:r>
        <w:t>analýza domácího cestovního ruchu v členění za jednotlivé kraje</w:t>
      </w:r>
      <w:r>
        <w:t xml:space="preserve"> </w:t>
      </w:r>
    </w:p>
    <w:p w14:paraId="6FFE540D" w14:textId="77777777" w:rsidR="00A12DC6" w:rsidRDefault="00320781">
      <w:pPr>
        <w:numPr>
          <w:ilvl w:val="0"/>
          <w:numId w:val="6"/>
        </w:numPr>
        <w:ind w:right="43" w:hanging="360"/>
      </w:pPr>
      <w:r>
        <w:t>analýza zahraničního cestovního ruchu v členění za jednotlivé kraje</w:t>
      </w:r>
      <w:r>
        <w:t xml:space="preserve"> </w:t>
      </w:r>
    </w:p>
    <w:p w14:paraId="0AEB64CC" w14:textId="77777777" w:rsidR="00A12DC6" w:rsidRDefault="00320781">
      <w:pPr>
        <w:spacing w:after="0" w:line="259" w:lineRule="auto"/>
        <w:ind w:left="152"/>
        <w:jc w:val="left"/>
      </w:pPr>
      <w:r>
        <w:t>3.</w:t>
      </w:r>
      <w:r>
        <w:rPr>
          <w:rFonts w:ascii="CCA Arial CE" w:eastAsia="CCA Arial CE" w:hAnsi="CCA Arial CE" w:cs="CCA Arial CE"/>
        </w:rPr>
        <w:t xml:space="preserve"> </w:t>
      </w:r>
      <w:r>
        <w:t>úroveň –</w:t>
      </w:r>
      <w:r>
        <w:t xml:space="preserve"> </w:t>
      </w:r>
      <w:r>
        <w:rPr>
          <w:b/>
        </w:rPr>
        <w:t>území oblastních destinací Česka</w:t>
      </w:r>
      <w:r>
        <w:t xml:space="preserve"> </w:t>
      </w:r>
      <w:r>
        <w:t>–</w:t>
      </w:r>
      <w:r>
        <w:t xml:space="preserve"> cca 70 </w:t>
      </w:r>
      <w:r>
        <w:t>oblastí/destinací</w:t>
      </w:r>
      <w:r>
        <w:t xml:space="preserve"> </w:t>
      </w:r>
    </w:p>
    <w:p w14:paraId="03869325" w14:textId="77777777" w:rsidR="00A12DC6" w:rsidRDefault="00320781">
      <w:pPr>
        <w:numPr>
          <w:ilvl w:val="0"/>
          <w:numId w:val="7"/>
        </w:numPr>
        <w:ind w:right="43" w:hanging="360"/>
      </w:pPr>
      <w:r>
        <w:t>analýza domácího cestovního ruchu v členění za jednotlivé oblasti/destinace</w:t>
      </w:r>
      <w:r>
        <w:t xml:space="preserve"> </w:t>
      </w:r>
    </w:p>
    <w:p w14:paraId="5CC7AC49" w14:textId="77777777" w:rsidR="00A12DC6" w:rsidRDefault="00320781">
      <w:pPr>
        <w:numPr>
          <w:ilvl w:val="0"/>
          <w:numId w:val="7"/>
        </w:numPr>
        <w:ind w:right="43" w:hanging="360"/>
      </w:pPr>
      <w:r>
        <w:t>analýza zahraničního cestovního ruchu v členění za jednotlivé oblasti/</w:t>
      </w:r>
      <w:proofErr w:type="gramStart"/>
      <w:r>
        <w:t xml:space="preserve">destinace, </w:t>
      </w:r>
      <w:r>
        <w:t xml:space="preserve"> </w:t>
      </w:r>
      <w:r>
        <w:t>Seznam</w:t>
      </w:r>
      <w:proofErr w:type="gramEnd"/>
      <w:r>
        <w:t xml:space="preserve"> oblastí/destinací poskytne zadavatel společně s</w:t>
      </w:r>
      <w:r>
        <w:t xml:space="preserve"> </w:t>
      </w:r>
      <w:r>
        <w:t>třídníkem obcí, které do území destinací spadají.</w:t>
      </w:r>
      <w:r>
        <w:t xml:space="preserve">  </w:t>
      </w:r>
    </w:p>
    <w:p w14:paraId="73294F0C" w14:textId="77777777" w:rsidR="00A12DC6" w:rsidRDefault="00320781">
      <w:pPr>
        <w:spacing w:after="0" w:line="259" w:lineRule="auto"/>
        <w:ind w:left="152"/>
        <w:jc w:val="left"/>
      </w:pPr>
      <w:r>
        <w:t>4.</w:t>
      </w:r>
      <w:r>
        <w:rPr>
          <w:rFonts w:ascii="CCA Arial CE" w:eastAsia="CCA Arial CE" w:hAnsi="CCA Arial CE" w:cs="CCA Arial CE"/>
        </w:rPr>
        <w:t xml:space="preserve"> </w:t>
      </w:r>
      <w:proofErr w:type="gramStart"/>
      <w:r>
        <w:t xml:space="preserve">úroveň </w:t>
      </w:r>
      <w:r>
        <w:t>-</w:t>
      </w:r>
      <w:r>
        <w:rPr>
          <w:b/>
        </w:rPr>
        <w:t xml:space="preserve"> území</w:t>
      </w:r>
      <w:proofErr w:type="gramEnd"/>
      <w:r>
        <w:rPr>
          <w:b/>
        </w:rPr>
        <w:t xml:space="preserve"> krajských měst Česka </w:t>
      </w:r>
      <w:r>
        <w:t xml:space="preserve">- </w:t>
      </w:r>
      <w:r>
        <w:t>14, resp. 13 měst</w:t>
      </w:r>
      <w:r>
        <w:t xml:space="preserve"> </w:t>
      </w:r>
    </w:p>
    <w:p w14:paraId="12CA7A18" w14:textId="77777777" w:rsidR="00A12DC6" w:rsidRDefault="00320781">
      <w:pPr>
        <w:numPr>
          <w:ilvl w:val="0"/>
          <w:numId w:val="8"/>
        </w:numPr>
        <w:ind w:right="43" w:hanging="360"/>
      </w:pPr>
      <w:r>
        <w:t>analýza domácího cestovního ruchu v členění za jednotlivá města</w:t>
      </w:r>
      <w:r>
        <w:t xml:space="preserve"> </w:t>
      </w:r>
    </w:p>
    <w:p w14:paraId="7CBAB292" w14:textId="77777777" w:rsidR="00A12DC6" w:rsidRDefault="00320781">
      <w:pPr>
        <w:numPr>
          <w:ilvl w:val="0"/>
          <w:numId w:val="8"/>
        </w:numPr>
        <w:spacing w:after="124"/>
        <w:ind w:right="43" w:hanging="360"/>
      </w:pPr>
      <w:r>
        <w:t>analýza zahraničního cestovního ruchu v členění za jednotlivá města</w:t>
      </w:r>
      <w:r>
        <w:t xml:space="preserve"> </w:t>
      </w:r>
    </w:p>
    <w:p w14:paraId="216192A9" w14:textId="77777777" w:rsidR="00A12DC6" w:rsidRDefault="00320781">
      <w:pPr>
        <w:spacing w:after="171"/>
        <w:ind w:left="45" w:right="43"/>
      </w:pPr>
      <w:r>
        <w:t>Základní geografickou jednotkou pro agregaci dle jednotlivých území je území obce.</w:t>
      </w:r>
      <w:r>
        <w:t xml:space="preserve"> </w:t>
      </w:r>
      <w:r>
        <w:t xml:space="preserve">Základní časovou jednotkou pro analýzu je jeden den, přičemž analýza bude zpracována po měsících. </w:t>
      </w:r>
      <w:r>
        <w:t>A</w:t>
      </w:r>
      <w:r>
        <w:t xml:space="preserve">nalýza bude provedena za období 12 po sobě jdoucích měsíců. </w:t>
      </w:r>
      <w:r>
        <w:t xml:space="preserve"> </w:t>
      </w:r>
    </w:p>
    <w:p w14:paraId="37442E8B" w14:textId="77777777" w:rsidR="00A12DC6" w:rsidRDefault="00320781">
      <w:pPr>
        <w:spacing w:after="137" w:line="259" w:lineRule="auto"/>
        <w:ind w:left="-5"/>
        <w:jc w:val="left"/>
      </w:pPr>
      <w:r>
        <w:rPr>
          <w:b/>
          <w:sz w:val="24"/>
        </w:rPr>
        <w:t xml:space="preserve">Forma a předání dat  </w:t>
      </w:r>
    </w:p>
    <w:p w14:paraId="4DBA5978" w14:textId="77777777" w:rsidR="00A12DC6" w:rsidRDefault="00A12DC6">
      <w:pPr>
        <w:sectPr w:rsidR="00A12DC6">
          <w:headerReference w:type="even" r:id="rId9"/>
          <w:headerReference w:type="default" r:id="rId10"/>
          <w:headerReference w:type="first" r:id="rId11"/>
          <w:pgSz w:w="11906" w:h="16838"/>
          <w:pgMar w:top="2747" w:right="1363" w:bottom="1584" w:left="1416" w:header="640" w:footer="708" w:gutter="0"/>
          <w:cols w:space="708"/>
        </w:sectPr>
      </w:pPr>
    </w:p>
    <w:p w14:paraId="01073BAC" w14:textId="77777777" w:rsidR="00A12DC6" w:rsidRDefault="00320781">
      <w:pPr>
        <w:pStyle w:val="Nadpis1"/>
        <w:ind w:right="0"/>
      </w:pPr>
      <w:r>
        <w:lastRenderedPageBreak/>
        <w:t xml:space="preserve">Příloha č. </w:t>
      </w:r>
      <w:r>
        <w:t>3A</w:t>
      </w:r>
      <w:r>
        <w:t>. Specifikace předmětu veřejné zakázky na základě předběžných tržních konzultací</w:t>
      </w:r>
      <w:r>
        <w:t xml:space="preserve"> </w:t>
      </w:r>
    </w:p>
    <w:p w14:paraId="0D88D841" w14:textId="77777777" w:rsidR="00A12DC6" w:rsidRDefault="0032078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5DCF3E1" w14:textId="77777777" w:rsidR="00A12DC6" w:rsidRDefault="00320781">
      <w:pPr>
        <w:spacing w:after="152"/>
        <w:ind w:left="45" w:right="43"/>
      </w:pPr>
      <w:r>
        <w:t xml:space="preserve">Pro účely dalšího zpracování </w:t>
      </w:r>
      <w:r>
        <w:t xml:space="preserve">a prezentace dat v </w:t>
      </w:r>
      <w:proofErr w:type="spellStart"/>
      <w:r>
        <w:t>Power</w:t>
      </w:r>
      <w:proofErr w:type="spellEnd"/>
      <w:r>
        <w:t xml:space="preserve"> BI sestav</w:t>
      </w:r>
      <w:r>
        <w:t>ách, budou výsledná data předána ve strojově čitelném formátu excel ve výše uvedené struktuře, která bude předmětem jednání s</w:t>
      </w:r>
      <w:r>
        <w:t xml:space="preserve"> </w:t>
      </w:r>
      <w:r>
        <w:t xml:space="preserve">vybraným dodavatelem. </w:t>
      </w:r>
      <w:r>
        <w:t xml:space="preserve"> </w:t>
      </w:r>
    </w:p>
    <w:p w14:paraId="1884E1E9" w14:textId="77777777" w:rsidR="00A12DC6" w:rsidRDefault="00320781">
      <w:pPr>
        <w:ind w:left="45" w:right="43"/>
      </w:pPr>
      <w:r>
        <w:t xml:space="preserve">Analýza návštěvnosti GSM dat 2025 bude </w:t>
      </w:r>
      <w:r>
        <w:t>zpra</w:t>
      </w:r>
      <w:r>
        <w:t>cována</w:t>
      </w:r>
      <w:r>
        <w:t xml:space="preserve"> a objednateli </w:t>
      </w:r>
      <w:r>
        <w:t xml:space="preserve">dle podmínek sjednaných ve smlouvě o </w:t>
      </w:r>
      <w:proofErr w:type="gramStart"/>
      <w:r>
        <w:t>dílo</w:t>
      </w:r>
      <w:r>
        <w:t xml:space="preserve">  </w:t>
      </w:r>
      <w:r>
        <w:t>uzavřené</w:t>
      </w:r>
      <w:proofErr w:type="gramEnd"/>
      <w:r>
        <w:t xml:space="preserve"> s</w:t>
      </w:r>
      <w:r>
        <w:t xml:space="preserve"> </w:t>
      </w:r>
      <w:r>
        <w:t>vybraným dodavatelem v</w:t>
      </w:r>
      <w:r>
        <w:t xml:space="preserve"> </w:t>
      </w:r>
      <w:r>
        <w:t xml:space="preserve">níže uvedených dílčích plnění: </w:t>
      </w:r>
      <w:r>
        <w:t xml:space="preserve">  </w:t>
      </w:r>
    </w:p>
    <w:p w14:paraId="3CDB574D" w14:textId="77777777" w:rsidR="00A12DC6" w:rsidRDefault="00320781">
      <w:pPr>
        <w:spacing w:after="0" w:line="259" w:lineRule="auto"/>
        <w:ind w:left="720" w:firstLine="0"/>
        <w:jc w:val="left"/>
      </w:pPr>
      <w:r>
        <w:t xml:space="preserve"> </w:t>
      </w:r>
    </w:p>
    <w:p w14:paraId="45B0EC87" w14:textId="77777777" w:rsidR="00A12DC6" w:rsidRDefault="00320781">
      <w:pPr>
        <w:ind w:left="45" w:right="43"/>
      </w:pPr>
      <w:r>
        <w:rPr>
          <w:u w:val="single" w:color="000000"/>
        </w:rPr>
        <w:t>První část plnění</w:t>
      </w:r>
      <w:r>
        <w:t xml:space="preserve">: </w:t>
      </w:r>
      <w:r>
        <w:t>dílčí analýz</w:t>
      </w:r>
      <w:r>
        <w:t xml:space="preserve">u </w:t>
      </w:r>
      <w:r>
        <w:t>za 1. až 6. sledovaný kalendářní měsíc předloží zhotovitel objednateli ke schválení ve lhůtě do 31.10.2025.</w:t>
      </w:r>
      <w:r>
        <w:t xml:space="preserve"> </w:t>
      </w:r>
    </w:p>
    <w:p w14:paraId="2F6EE2CB" w14:textId="77777777" w:rsidR="00A12DC6" w:rsidRDefault="00320781">
      <w:pPr>
        <w:spacing w:after="0" w:line="259" w:lineRule="auto"/>
        <w:ind w:left="0" w:firstLine="0"/>
        <w:jc w:val="left"/>
      </w:pPr>
      <w:r>
        <w:t xml:space="preserve"> </w:t>
      </w:r>
    </w:p>
    <w:p w14:paraId="4BFF40DD" w14:textId="77777777" w:rsidR="00A12DC6" w:rsidRDefault="00320781">
      <w:pPr>
        <w:ind w:left="45" w:right="43"/>
      </w:pPr>
      <w:r>
        <w:rPr>
          <w:u w:val="single" w:color="000000"/>
        </w:rPr>
        <w:t xml:space="preserve">Druhou část </w:t>
      </w:r>
      <w:proofErr w:type="gramStart"/>
      <w:r>
        <w:rPr>
          <w:u w:val="single" w:color="000000"/>
        </w:rPr>
        <w:t>plnění</w:t>
      </w:r>
      <w:r>
        <w:t xml:space="preserve">:  </w:t>
      </w:r>
      <w:r>
        <w:t>dílčí</w:t>
      </w:r>
      <w:proofErr w:type="gramEnd"/>
      <w:r>
        <w:t xml:space="preserve"> analýz</w:t>
      </w:r>
      <w:r>
        <w:t xml:space="preserve">u </w:t>
      </w:r>
      <w:r>
        <w:t>za 7. až 10. sledovaný kalendářní měsíc předloží zhotovitel objednateli ke schválení ve lhůtě do 15.12.2025.</w:t>
      </w:r>
      <w:r>
        <w:t xml:space="preserve"> </w:t>
      </w:r>
    </w:p>
    <w:p w14:paraId="1A684431" w14:textId="77777777" w:rsidR="00A12DC6" w:rsidRDefault="00320781">
      <w:pPr>
        <w:spacing w:after="0" w:line="259" w:lineRule="auto"/>
        <w:ind w:left="427" w:firstLine="0"/>
        <w:jc w:val="left"/>
      </w:pPr>
      <w:r>
        <w:t xml:space="preserve"> </w:t>
      </w:r>
    </w:p>
    <w:p w14:paraId="2D0CC07A" w14:textId="77777777" w:rsidR="00A12DC6" w:rsidRDefault="00320781">
      <w:pPr>
        <w:ind w:left="45" w:right="43"/>
      </w:pPr>
      <w:r>
        <w:rPr>
          <w:u w:val="single" w:color="000000"/>
        </w:rPr>
        <w:t>Kompletní plnění</w:t>
      </w:r>
      <w:r>
        <w:t xml:space="preserve">: </w:t>
      </w:r>
      <w:r>
        <w:t>Analýza návštěvnosti GSM dat 2025 za všech 12 sledovaných kalendářních měsíců</w:t>
      </w:r>
      <w:r>
        <w:t xml:space="preserve"> (</w:t>
      </w:r>
      <w:r>
        <w:t>součástí Analýzy budou i měsíční analýzy za 11. a 12. sledovaný kalendářní měsíc</w:t>
      </w:r>
      <w:r>
        <w:t xml:space="preserve">), </w:t>
      </w:r>
      <w:r>
        <w:t>závěrečná souhrnná zpráva k</w:t>
      </w:r>
      <w:r>
        <w:t xml:space="preserve"> </w:t>
      </w:r>
      <w:r>
        <w:t>Analýze (formát .ppt, layout zadavatele) včetně grafů a tabulek za každou analyzovanou geografickou úroveň,</w:t>
      </w:r>
      <w:r>
        <w:t xml:space="preserve"> </w:t>
      </w:r>
      <w:r>
        <w:t>osobní prezentace výsledků souhrnné závěrečné zprávy</w:t>
      </w:r>
      <w:r>
        <w:t xml:space="preserve">, </w:t>
      </w:r>
      <w:r>
        <w:t>předloží zhotovitel objednateli ke schválení ve lhůtě do 31.3.2026.</w:t>
      </w:r>
      <w:r>
        <w:t xml:space="preserve"> </w:t>
      </w:r>
    </w:p>
    <w:p w14:paraId="5D40D665" w14:textId="77777777" w:rsidR="00A12DC6" w:rsidRDefault="00320781">
      <w:pPr>
        <w:spacing w:after="0" w:line="259" w:lineRule="auto"/>
        <w:ind w:left="0" w:firstLine="0"/>
        <w:jc w:val="left"/>
      </w:pPr>
      <w:r>
        <w:t xml:space="preserve"> </w:t>
      </w:r>
    </w:p>
    <w:p w14:paraId="1B6DC4E0" w14:textId="77777777" w:rsidR="00A12DC6" w:rsidRDefault="00320781">
      <w:pPr>
        <w:ind w:left="45" w:right="43"/>
      </w:pPr>
      <w:r>
        <w:t xml:space="preserve">Podrobnější podmínky jsou </w:t>
      </w:r>
      <w:r>
        <w:t xml:space="preserve">uvedeny v </w:t>
      </w:r>
      <w:r>
        <w:t xml:space="preserve">závazném návrhu smlouvy o dílo. </w:t>
      </w:r>
      <w:r>
        <w:t xml:space="preserve"> </w:t>
      </w:r>
    </w:p>
    <w:p w14:paraId="5D26733B" w14:textId="77777777" w:rsidR="00A12DC6" w:rsidRDefault="00320781">
      <w:pPr>
        <w:spacing w:after="0" w:line="259" w:lineRule="auto"/>
        <w:ind w:left="0" w:firstLine="0"/>
        <w:jc w:val="left"/>
      </w:pPr>
      <w:r>
        <w:t xml:space="preserve"> </w:t>
      </w:r>
    </w:p>
    <w:sectPr w:rsidR="00A12DC6">
      <w:headerReference w:type="even" r:id="rId12"/>
      <w:headerReference w:type="default" r:id="rId13"/>
      <w:headerReference w:type="first" r:id="rId14"/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76F2" w14:textId="77777777" w:rsidR="00320781" w:rsidRDefault="00320781">
      <w:pPr>
        <w:spacing w:after="0" w:line="240" w:lineRule="auto"/>
      </w:pPr>
      <w:r>
        <w:separator/>
      </w:r>
    </w:p>
  </w:endnote>
  <w:endnote w:type="continuationSeparator" w:id="0">
    <w:p w14:paraId="1B2C9BEB" w14:textId="77777777" w:rsidR="00320781" w:rsidRDefault="0032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CA Arial CE">
    <w:panose1 w:val="020B0600020102020204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13D7" w14:textId="77777777" w:rsidR="00320781" w:rsidRDefault="00320781">
      <w:pPr>
        <w:spacing w:after="0" w:line="240" w:lineRule="auto"/>
      </w:pPr>
      <w:r>
        <w:separator/>
      </w:r>
    </w:p>
  </w:footnote>
  <w:footnote w:type="continuationSeparator" w:id="0">
    <w:p w14:paraId="46683A0F" w14:textId="77777777" w:rsidR="00320781" w:rsidRDefault="0032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46A6" w14:textId="77777777" w:rsidR="00A12DC6" w:rsidRDefault="00320781">
    <w:pPr>
      <w:spacing w:after="0" w:line="259" w:lineRule="auto"/>
      <w:ind w:left="358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72BDA65" wp14:editId="386606F8">
          <wp:simplePos x="0" y="0"/>
          <wp:positionH relativeFrom="page">
            <wp:posOffset>527050</wp:posOffset>
          </wp:positionH>
          <wp:positionV relativeFrom="page">
            <wp:posOffset>406400</wp:posOffset>
          </wp:positionV>
          <wp:extent cx="2076450" cy="104140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32"/>
      </w:rPr>
      <w:t>Příloha č. 3A</w:t>
    </w:r>
    <w:r>
      <w:rPr>
        <w:rFonts w:ascii="Calibri" w:eastAsia="Calibri" w:hAnsi="Calibri" w:cs="Calibri"/>
        <w:b/>
        <w:sz w:val="32"/>
      </w:rPr>
      <w:t xml:space="preserve">. Specifikace předmětu veřejné zakázky na základě </w:t>
    </w:r>
  </w:p>
  <w:p w14:paraId="6A181017" w14:textId="77777777" w:rsidR="00A12DC6" w:rsidRDefault="00320781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D262D5D" wp14:editId="7CA7176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290" name="Group 8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9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9C05" w14:textId="77777777" w:rsidR="00A12DC6" w:rsidRDefault="00320781">
    <w:pPr>
      <w:spacing w:after="0" w:line="259" w:lineRule="auto"/>
      <w:ind w:left="358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138F932" wp14:editId="71BCD0E6">
          <wp:simplePos x="0" y="0"/>
          <wp:positionH relativeFrom="page">
            <wp:posOffset>527050</wp:posOffset>
          </wp:positionH>
          <wp:positionV relativeFrom="page">
            <wp:posOffset>406400</wp:posOffset>
          </wp:positionV>
          <wp:extent cx="2076450" cy="1041400"/>
          <wp:effectExtent l="0" t="0" r="0" b="0"/>
          <wp:wrapSquare wrapText="bothSides"/>
          <wp:docPr id="14200294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32"/>
      </w:rPr>
      <w:t xml:space="preserve">Příloha č. 3A. Specifikace předmětu veřejné zakázky na základě </w:t>
    </w:r>
  </w:p>
  <w:p w14:paraId="77D15B3B" w14:textId="77777777" w:rsidR="00A12DC6" w:rsidRDefault="00320781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3A6EA4F" wp14:editId="6577C21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276" name="Group 82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7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6671" w14:textId="77777777" w:rsidR="00A12DC6" w:rsidRDefault="00320781">
    <w:pPr>
      <w:spacing w:after="0" w:line="259" w:lineRule="auto"/>
      <w:ind w:left="358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E5F0EFB" wp14:editId="5FCE865A">
          <wp:simplePos x="0" y="0"/>
          <wp:positionH relativeFrom="page">
            <wp:posOffset>527050</wp:posOffset>
          </wp:positionH>
          <wp:positionV relativeFrom="page">
            <wp:posOffset>406400</wp:posOffset>
          </wp:positionV>
          <wp:extent cx="2076450" cy="1041400"/>
          <wp:effectExtent l="0" t="0" r="0" b="0"/>
          <wp:wrapSquare wrapText="bothSides"/>
          <wp:docPr id="607692089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32"/>
      </w:rPr>
      <w:t xml:space="preserve">Příloha č. 3A. Specifikace předmětu veřejné zakázky na základě </w:t>
    </w:r>
  </w:p>
  <w:p w14:paraId="2B06D205" w14:textId="77777777" w:rsidR="00A12DC6" w:rsidRDefault="00320781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1051C5D" wp14:editId="0C1DE45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262" name="Group 8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6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B6FE" w14:textId="77777777" w:rsidR="00A12DC6" w:rsidRDefault="00320781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1CCCAAB" wp14:editId="5887FAC1">
              <wp:simplePos x="0" y="0"/>
              <wp:positionH relativeFrom="page">
                <wp:posOffset>527050</wp:posOffset>
              </wp:positionH>
              <wp:positionV relativeFrom="page">
                <wp:posOffset>406400</wp:posOffset>
              </wp:positionV>
              <wp:extent cx="2076450" cy="1041400"/>
              <wp:effectExtent l="0" t="0" r="0" b="0"/>
              <wp:wrapNone/>
              <wp:docPr id="8299" name="Group 82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6450" cy="1041400"/>
                        <a:chOff x="0" y="0"/>
                        <a:chExt cx="2076450" cy="1041400"/>
                      </a:xfrm>
                    </wpg:grpSpPr>
                    <pic:pic xmlns:pic="http://schemas.openxmlformats.org/drawingml/2006/picture">
                      <pic:nvPicPr>
                        <pic:cNvPr id="8300" name="Picture 83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1041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99" style="width:163.5pt;height:82pt;position:absolute;z-index:-2147483648;mso-position-horizontal-relative:page;mso-position-horizontal:absolute;margin-left:41.5pt;mso-position-vertical-relative:page;margin-top:32pt;" coordsize="20764,10414">
              <v:shape id="Picture 8300" style="position:absolute;width:20764;height:10414;left:0;top:0;" filled="f">
                <v:imagedata r:id="rId9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CBEF" w14:textId="77777777" w:rsidR="00A12DC6" w:rsidRDefault="00320781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3ABA908" wp14:editId="1B809FD4">
              <wp:simplePos x="0" y="0"/>
              <wp:positionH relativeFrom="page">
                <wp:posOffset>527050</wp:posOffset>
              </wp:positionH>
              <wp:positionV relativeFrom="page">
                <wp:posOffset>406400</wp:posOffset>
              </wp:positionV>
              <wp:extent cx="2076450" cy="1041400"/>
              <wp:effectExtent l="0" t="0" r="0" b="0"/>
              <wp:wrapNone/>
              <wp:docPr id="8296" name="Group 8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6450" cy="1041400"/>
                        <a:chOff x="0" y="0"/>
                        <a:chExt cx="2076450" cy="1041400"/>
                      </a:xfrm>
                    </wpg:grpSpPr>
                    <pic:pic xmlns:pic="http://schemas.openxmlformats.org/drawingml/2006/picture">
                      <pic:nvPicPr>
                        <pic:cNvPr id="8297" name="Picture 82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1041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96" style="width:163.5pt;height:82pt;position:absolute;z-index:-2147483648;mso-position-horizontal-relative:page;mso-position-horizontal:absolute;margin-left:41.5pt;mso-position-vertical-relative:page;margin-top:32pt;" coordsize="20764,10414">
              <v:shape id="Picture 8297" style="position:absolute;width:20764;height:10414;left:0;top:0;" filled="f">
                <v:imagedata r:id="rId9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C43B" w14:textId="77777777" w:rsidR="00A12DC6" w:rsidRDefault="00320781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804EAD" wp14:editId="45570156">
              <wp:simplePos x="0" y="0"/>
              <wp:positionH relativeFrom="page">
                <wp:posOffset>527050</wp:posOffset>
              </wp:positionH>
              <wp:positionV relativeFrom="page">
                <wp:posOffset>406400</wp:posOffset>
              </wp:positionV>
              <wp:extent cx="2076450" cy="1041400"/>
              <wp:effectExtent l="0" t="0" r="0" b="0"/>
              <wp:wrapNone/>
              <wp:docPr id="8293" name="Group 8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6450" cy="1041400"/>
                        <a:chOff x="0" y="0"/>
                        <a:chExt cx="2076450" cy="1041400"/>
                      </a:xfrm>
                    </wpg:grpSpPr>
                    <pic:pic xmlns:pic="http://schemas.openxmlformats.org/drawingml/2006/picture">
                      <pic:nvPicPr>
                        <pic:cNvPr id="8294" name="Picture 82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1041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93" style="width:163.5pt;height:82pt;position:absolute;z-index:-2147483648;mso-position-horizontal-relative:page;mso-position-horizontal:absolute;margin-left:41.5pt;mso-position-vertical-relative:page;margin-top:32pt;" coordsize="20764,10414">
              <v:shape id="Picture 8294" style="position:absolute;width:20764;height:10414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DEE"/>
    <w:multiLevelType w:val="hybridMultilevel"/>
    <w:tmpl w:val="EEAE4B64"/>
    <w:lvl w:ilvl="0" w:tplc="98321DC0">
      <w:start w:val="1"/>
      <w:numFmt w:val="bullet"/>
      <w:lvlText w:val="-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6E186">
      <w:start w:val="1"/>
      <w:numFmt w:val="bullet"/>
      <w:lvlText w:val="o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7CC074">
      <w:start w:val="1"/>
      <w:numFmt w:val="bullet"/>
      <w:lvlText w:val="▪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20706">
      <w:start w:val="1"/>
      <w:numFmt w:val="bullet"/>
      <w:lvlText w:val="•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A17D0">
      <w:start w:val="1"/>
      <w:numFmt w:val="bullet"/>
      <w:lvlText w:val="o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84250">
      <w:start w:val="1"/>
      <w:numFmt w:val="bullet"/>
      <w:lvlText w:val="▪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C078EA">
      <w:start w:val="1"/>
      <w:numFmt w:val="bullet"/>
      <w:lvlText w:val="•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29990">
      <w:start w:val="1"/>
      <w:numFmt w:val="bullet"/>
      <w:lvlText w:val="o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08BE2">
      <w:start w:val="1"/>
      <w:numFmt w:val="bullet"/>
      <w:lvlText w:val="▪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564961"/>
    <w:multiLevelType w:val="hybridMultilevel"/>
    <w:tmpl w:val="85E08426"/>
    <w:lvl w:ilvl="0" w:tplc="06846E2C">
      <w:start w:val="1"/>
      <w:numFmt w:val="bullet"/>
      <w:lvlText w:val="-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0CD42C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14611E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CBEB2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CB3FC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E2FA9A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447CE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664378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229D6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D941C4"/>
    <w:multiLevelType w:val="hybridMultilevel"/>
    <w:tmpl w:val="815AEE52"/>
    <w:lvl w:ilvl="0" w:tplc="61D6C75E">
      <w:start w:val="1"/>
      <w:numFmt w:val="bullet"/>
      <w:lvlText w:val="-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6714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AECF6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221A64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E8BC60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B00C8C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C475A4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4CA774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A2386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8D7E46"/>
    <w:multiLevelType w:val="hybridMultilevel"/>
    <w:tmpl w:val="4C0CD2C2"/>
    <w:lvl w:ilvl="0" w:tplc="0BFAC468">
      <w:start w:val="1"/>
      <w:numFmt w:val="bullet"/>
      <w:lvlText w:val="-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F8A9E8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D699D8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7483B8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2FF92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18C63A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C7D60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0DB68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BCF548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07B7B"/>
    <w:multiLevelType w:val="hybridMultilevel"/>
    <w:tmpl w:val="E0387DBA"/>
    <w:lvl w:ilvl="0" w:tplc="B464E564">
      <w:start w:val="1"/>
      <w:numFmt w:val="bullet"/>
      <w:lvlText w:val="-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727CFE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C3F82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FA9584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5ECC3C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EFC50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404AC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4CE3C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035D4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4D4580"/>
    <w:multiLevelType w:val="hybridMultilevel"/>
    <w:tmpl w:val="1E421272"/>
    <w:lvl w:ilvl="0" w:tplc="ECBA637A">
      <w:start w:val="1"/>
      <w:numFmt w:val="bullet"/>
      <w:lvlText w:val="-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B2E220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C0F2D6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2E3FC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A6716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A9504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CB0FE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20184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689B8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C870FC"/>
    <w:multiLevelType w:val="hybridMultilevel"/>
    <w:tmpl w:val="8006DCF4"/>
    <w:lvl w:ilvl="0" w:tplc="17D00D36">
      <w:start w:val="1"/>
      <w:numFmt w:val="bullet"/>
      <w:lvlText w:val="-"/>
      <w:lvlJc w:val="left"/>
      <w:pPr>
        <w:ind w:left="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806E8">
      <w:start w:val="1"/>
      <w:numFmt w:val="bullet"/>
      <w:lvlText w:val="o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2DF94">
      <w:start w:val="1"/>
      <w:numFmt w:val="bullet"/>
      <w:lvlText w:val="▪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218C4">
      <w:start w:val="1"/>
      <w:numFmt w:val="bullet"/>
      <w:lvlText w:val="•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309E34">
      <w:start w:val="1"/>
      <w:numFmt w:val="bullet"/>
      <w:lvlText w:val="o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6C72E">
      <w:start w:val="1"/>
      <w:numFmt w:val="bullet"/>
      <w:lvlText w:val="▪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ADBB8">
      <w:start w:val="1"/>
      <w:numFmt w:val="bullet"/>
      <w:lvlText w:val="•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47716">
      <w:start w:val="1"/>
      <w:numFmt w:val="bullet"/>
      <w:lvlText w:val="o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DC7B9E">
      <w:start w:val="1"/>
      <w:numFmt w:val="bullet"/>
      <w:lvlText w:val="▪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0800A8"/>
    <w:multiLevelType w:val="hybridMultilevel"/>
    <w:tmpl w:val="BA12CDA4"/>
    <w:lvl w:ilvl="0" w:tplc="A3184A0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A8893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6622E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08DE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8ABC6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2FC4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263B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CD7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749D4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6374373">
    <w:abstractNumId w:val="0"/>
  </w:num>
  <w:num w:numId="2" w16cid:durableId="2122138725">
    <w:abstractNumId w:val="4"/>
  </w:num>
  <w:num w:numId="3" w16cid:durableId="789473563">
    <w:abstractNumId w:val="5"/>
  </w:num>
  <w:num w:numId="4" w16cid:durableId="1242105827">
    <w:abstractNumId w:val="3"/>
  </w:num>
  <w:num w:numId="5" w16cid:durableId="684330756">
    <w:abstractNumId w:val="2"/>
  </w:num>
  <w:num w:numId="6" w16cid:durableId="1031876792">
    <w:abstractNumId w:val="1"/>
  </w:num>
  <w:num w:numId="7" w16cid:durableId="216402606">
    <w:abstractNumId w:val="6"/>
  </w:num>
  <w:num w:numId="8" w16cid:durableId="1294293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DC6"/>
    <w:rsid w:val="00320781"/>
    <w:rsid w:val="0061611C"/>
    <w:rsid w:val="00A1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08F8"/>
  <w15:docId w15:val="{79A549CC-BF09-49FC-8FEB-BB6325AB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4" w:lineRule="auto"/>
      <w:ind w:left="10" w:hanging="10"/>
      <w:jc w:val="both"/>
    </w:pPr>
    <w:rPr>
      <w:rFonts w:ascii="Georgia" w:eastAsia="Georgia" w:hAnsi="Georgia" w:cs="Georgia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" w:line="250" w:lineRule="auto"/>
      <w:ind w:left="10" w:right="62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7" w:line="259" w:lineRule="auto"/>
      <w:ind w:left="10" w:hanging="10"/>
      <w:outlineLvl w:val="1"/>
    </w:pPr>
    <w:rPr>
      <w:rFonts w:ascii="Georgia" w:eastAsia="Georgia" w:hAnsi="Georgia" w:cs="Georgia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Georgia" w:eastAsia="Georgia" w:hAnsi="Georgia" w:cs="Georgia"/>
      <w:b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9" Type="http://schemas.openxmlformats.org/officeDocument/2006/relationships/image" Target="media/image0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9" Type="http://schemas.openxmlformats.org/officeDocument/2006/relationships/image" Target="media/image0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1659</Words>
  <Characters>9789</Characters>
  <Application>Microsoft Office Word</Application>
  <DocSecurity>0</DocSecurity>
  <Lines>81</Lines>
  <Paragraphs>22</Paragraphs>
  <ScaleCrop>false</ScaleCrop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cp:lastModifiedBy>Krušberská Eliška</cp:lastModifiedBy>
  <cp:revision>2</cp:revision>
  <dcterms:created xsi:type="dcterms:W3CDTF">2025-09-02T06:09:00Z</dcterms:created>
  <dcterms:modified xsi:type="dcterms:W3CDTF">2025-09-02T06:09:00Z</dcterms:modified>
</cp:coreProperties>
</file>