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4D" w:rsidRPr="005D42B3" w:rsidRDefault="0059194D" w:rsidP="0059194D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SMLOUVA O SDRUŽENÝCH SLUŽBÁCH DODÁVKY ZEMNÍHO PLYNU (dále jen „Smlouva“)</w:t>
      </w:r>
    </w:p>
    <w:p w:rsidR="00A522DB" w:rsidRPr="005D42B3" w:rsidRDefault="00A522DB" w:rsidP="00A522DB">
      <w:pPr>
        <w:spacing w:after="120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O</w:t>
      </w:r>
      <w:r w:rsidRPr="00267A7F">
        <w:rPr>
          <w:rFonts w:ascii="Arial" w:hAnsi="Arial" w:cs="Arial"/>
          <w:b/>
          <w:sz w:val="16"/>
          <w:szCs w:val="16"/>
        </w:rPr>
        <w:t>ne</w:t>
      </w:r>
      <w:proofErr w:type="spellEnd"/>
      <w:r w:rsidRPr="00267A7F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67A7F">
        <w:rPr>
          <w:rFonts w:ascii="Arial" w:hAnsi="Arial" w:cs="Arial"/>
          <w:b/>
          <w:sz w:val="16"/>
          <w:szCs w:val="16"/>
        </w:rPr>
        <w:t>Energy</w:t>
      </w:r>
      <w:proofErr w:type="spellEnd"/>
      <w:r w:rsidRPr="00267A7F">
        <w:rPr>
          <w:rFonts w:ascii="Arial" w:hAnsi="Arial" w:cs="Arial"/>
          <w:b/>
          <w:sz w:val="16"/>
          <w:szCs w:val="16"/>
        </w:rPr>
        <w:t xml:space="preserve"> &amp; </w:t>
      </w:r>
      <w:proofErr w:type="spellStart"/>
      <w:r w:rsidRPr="00267A7F">
        <w:rPr>
          <w:rFonts w:ascii="Arial" w:hAnsi="Arial" w:cs="Arial"/>
          <w:b/>
          <w:sz w:val="16"/>
          <w:szCs w:val="16"/>
        </w:rPr>
        <w:t>One</w:t>
      </w:r>
      <w:proofErr w:type="spellEnd"/>
      <w:r w:rsidRPr="00267A7F">
        <w:rPr>
          <w:rFonts w:ascii="Arial" w:hAnsi="Arial" w:cs="Arial"/>
          <w:b/>
          <w:sz w:val="16"/>
          <w:szCs w:val="16"/>
        </w:rPr>
        <w:t xml:space="preserve"> Mobile a.s.</w:t>
      </w:r>
      <w:r w:rsidRPr="005D42B3">
        <w:rPr>
          <w:rFonts w:ascii="Arial" w:hAnsi="Arial" w:cs="Arial"/>
          <w:sz w:val="16"/>
          <w:szCs w:val="16"/>
        </w:rPr>
        <w:t xml:space="preserve">, se sídlem </w:t>
      </w:r>
      <w:r w:rsidRPr="00267A7F">
        <w:rPr>
          <w:rFonts w:ascii="Arial" w:hAnsi="Arial" w:cs="Arial"/>
          <w:sz w:val="16"/>
          <w:szCs w:val="16"/>
        </w:rPr>
        <w:t>Hornopolní 3322/34, Moravská Ostrava, 702 00 Ostrava</w:t>
      </w:r>
      <w:r w:rsidRPr="005D42B3">
        <w:rPr>
          <w:rFonts w:ascii="Arial" w:hAnsi="Arial" w:cs="Arial"/>
          <w:sz w:val="16"/>
          <w:szCs w:val="16"/>
        </w:rPr>
        <w:t xml:space="preserve">, </w:t>
      </w:r>
    </w:p>
    <w:p w:rsidR="00A522DB" w:rsidRPr="005D42B3" w:rsidRDefault="00A522DB" w:rsidP="00A522DB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 xml:space="preserve">zapsaná v obchodním rejstříku u Krajského soudu v </w:t>
      </w:r>
      <w:r>
        <w:rPr>
          <w:rFonts w:ascii="Arial" w:hAnsi="Arial" w:cs="Arial"/>
          <w:sz w:val="16"/>
          <w:szCs w:val="16"/>
        </w:rPr>
        <w:t>Ostravě</w:t>
      </w:r>
      <w:r w:rsidRPr="005D42B3">
        <w:rPr>
          <w:rFonts w:ascii="Arial" w:hAnsi="Arial" w:cs="Arial"/>
          <w:sz w:val="16"/>
          <w:szCs w:val="16"/>
        </w:rPr>
        <w:t xml:space="preserve">, odd. </w:t>
      </w:r>
      <w:r>
        <w:rPr>
          <w:rFonts w:ascii="Arial" w:hAnsi="Arial" w:cs="Arial"/>
          <w:sz w:val="16"/>
          <w:szCs w:val="16"/>
        </w:rPr>
        <w:t>B</w:t>
      </w:r>
      <w:r w:rsidRPr="005D42B3">
        <w:rPr>
          <w:rFonts w:ascii="Arial" w:hAnsi="Arial" w:cs="Arial"/>
          <w:sz w:val="16"/>
          <w:szCs w:val="16"/>
        </w:rPr>
        <w:t xml:space="preserve">, č. vložky </w:t>
      </w:r>
      <w:r>
        <w:rPr>
          <w:rFonts w:ascii="Arial" w:hAnsi="Arial" w:cs="Arial"/>
          <w:sz w:val="16"/>
          <w:szCs w:val="16"/>
        </w:rPr>
        <w:t>10798,</w:t>
      </w:r>
      <w:r w:rsidRPr="005D42B3">
        <w:rPr>
          <w:rFonts w:ascii="Arial" w:hAnsi="Arial" w:cs="Arial"/>
          <w:sz w:val="16"/>
          <w:szCs w:val="16"/>
        </w:rPr>
        <w:t xml:space="preserve"> IČ: </w:t>
      </w:r>
      <w:r w:rsidRPr="00267A7F">
        <w:rPr>
          <w:rFonts w:ascii="Arial" w:hAnsi="Arial" w:cs="Arial"/>
          <w:sz w:val="16"/>
          <w:szCs w:val="16"/>
        </w:rPr>
        <w:t>01879880</w:t>
      </w:r>
      <w:r w:rsidRPr="005D42B3">
        <w:rPr>
          <w:rFonts w:ascii="Arial" w:hAnsi="Arial" w:cs="Arial"/>
          <w:sz w:val="16"/>
          <w:szCs w:val="16"/>
        </w:rPr>
        <w:t xml:space="preserve">, DIČ: </w:t>
      </w:r>
      <w:r>
        <w:rPr>
          <w:rFonts w:ascii="Arial" w:hAnsi="Arial" w:cs="Arial"/>
          <w:sz w:val="16"/>
          <w:szCs w:val="16"/>
        </w:rPr>
        <w:t>CZ</w:t>
      </w:r>
      <w:r w:rsidRPr="00267A7F">
        <w:rPr>
          <w:rFonts w:ascii="Arial" w:hAnsi="Arial" w:cs="Arial"/>
          <w:sz w:val="16"/>
          <w:szCs w:val="16"/>
        </w:rPr>
        <w:t>01879880</w:t>
      </w:r>
      <w:r w:rsidRPr="005D42B3">
        <w:rPr>
          <w:rFonts w:ascii="Arial" w:hAnsi="Arial" w:cs="Arial"/>
          <w:sz w:val="16"/>
          <w:szCs w:val="16"/>
        </w:rPr>
        <w:t xml:space="preserve">, </w:t>
      </w:r>
    </w:p>
    <w:p w:rsidR="00A522DB" w:rsidRPr="005D42B3" w:rsidRDefault="00A522DB" w:rsidP="00A522DB">
      <w:pPr>
        <w:spacing w:after="120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 xml:space="preserve">kterou zastupuje: </w:t>
      </w:r>
      <w:r w:rsidRPr="00267A7F">
        <w:rPr>
          <w:rFonts w:ascii="Arial" w:hAnsi="Arial" w:cs="Arial"/>
          <w:sz w:val="16"/>
          <w:szCs w:val="16"/>
        </w:rPr>
        <w:t xml:space="preserve">Ing. Martin Los, </w:t>
      </w:r>
      <w:proofErr w:type="spellStart"/>
      <w:r w:rsidRPr="00267A7F">
        <w:rPr>
          <w:rFonts w:ascii="Arial" w:hAnsi="Arial" w:cs="Arial"/>
          <w:sz w:val="16"/>
          <w:szCs w:val="16"/>
        </w:rPr>
        <w:t>statutání</w:t>
      </w:r>
      <w:proofErr w:type="spellEnd"/>
      <w:r w:rsidRPr="00267A7F">
        <w:rPr>
          <w:rFonts w:ascii="Arial" w:hAnsi="Arial" w:cs="Arial"/>
          <w:sz w:val="16"/>
          <w:szCs w:val="16"/>
        </w:rPr>
        <w:t xml:space="preserve"> ředite</w:t>
      </w:r>
      <w:r>
        <w:rPr>
          <w:rFonts w:ascii="Arial" w:hAnsi="Arial" w:cs="Arial"/>
          <w:sz w:val="16"/>
          <w:szCs w:val="16"/>
        </w:rPr>
        <w:t>l</w:t>
      </w:r>
      <w:r w:rsidRPr="005D42B3">
        <w:rPr>
          <w:rFonts w:ascii="Arial" w:hAnsi="Arial" w:cs="Arial"/>
          <w:sz w:val="16"/>
          <w:szCs w:val="16"/>
        </w:rPr>
        <w:t xml:space="preserve"> (na základě plné moci). </w:t>
      </w:r>
      <w:r w:rsidRPr="005D42B3">
        <w:rPr>
          <w:rFonts w:ascii="Arial" w:hAnsi="Arial" w:cs="Arial"/>
          <w:sz w:val="16"/>
          <w:szCs w:val="16"/>
        </w:rPr>
        <w:br/>
        <w:t xml:space="preserve">Bankovní spojení: </w:t>
      </w:r>
      <w:proofErr w:type="spellStart"/>
      <w:r w:rsidR="00AC6C26">
        <w:rPr>
          <w:rFonts w:ascii="Arial" w:hAnsi="Arial" w:cs="Arial"/>
          <w:sz w:val="16"/>
          <w:szCs w:val="16"/>
        </w:rPr>
        <w:t>xxx</w:t>
      </w:r>
      <w:proofErr w:type="spellEnd"/>
    </w:p>
    <w:p w:rsidR="00A522DB" w:rsidRPr="005D42B3" w:rsidRDefault="00A522DB" w:rsidP="00A522DB">
      <w:pPr>
        <w:spacing w:after="120"/>
        <w:jc w:val="both"/>
        <w:rPr>
          <w:rFonts w:ascii="Arial" w:hAnsi="Arial" w:cs="Arial"/>
          <w:b/>
          <w:sz w:val="16"/>
          <w:szCs w:val="16"/>
        </w:rPr>
      </w:pPr>
      <w:r w:rsidRPr="005D42B3">
        <w:rPr>
          <w:rFonts w:ascii="Arial" w:hAnsi="Arial" w:cs="Arial"/>
          <w:b/>
          <w:sz w:val="16"/>
          <w:szCs w:val="16"/>
        </w:rPr>
        <w:t>(dále jen „dodavatel“</w:t>
      </w:r>
      <w:r>
        <w:rPr>
          <w:rFonts w:ascii="Arial" w:hAnsi="Arial" w:cs="Arial"/>
          <w:b/>
          <w:sz w:val="16"/>
          <w:szCs w:val="16"/>
        </w:rPr>
        <w:t xml:space="preserve"> nebo „zadavatel“</w:t>
      </w:r>
      <w:r w:rsidRPr="005D42B3">
        <w:rPr>
          <w:rFonts w:ascii="Arial" w:hAnsi="Arial" w:cs="Arial"/>
          <w:b/>
          <w:sz w:val="16"/>
          <w:szCs w:val="16"/>
        </w:rPr>
        <w:t>)</w:t>
      </w:r>
    </w:p>
    <w:p w:rsidR="0059194D" w:rsidRPr="005D42B3" w:rsidRDefault="0059194D" w:rsidP="0059194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a</w:t>
      </w:r>
    </w:p>
    <w:p w:rsidR="00AC6C26" w:rsidRDefault="00AC6C26" w:rsidP="0059194D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OVANET a.s.</w:t>
      </w:r>
    </w:p>
    <w:p w:rsidR="0059194D" w:rsidRDefault="0059194D" w:rsidP="0059194D">
      <w:pPr>
        <w:spacing w:after="120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 xml:space="preserve"> se sídlem </w:t>
      </w:r>
      <w:r w:rsidR="00AC6C26">
        <w:rPr>
          <w:rFonts w:ascii="Arial" w:hAnsi="Arial" w:cs="Arial"/>
          <w:sz w:val="16"/>
          <w:szCs w:val="16"/>
        </w:rPr>
        <w:t xml:space="preserve">Hájkova 1100/13, </w:t>
      </w:r>
      <w:proofErr w:type="gramStart"/>
      <w:r w:rsidR="00AC6C26">
        <w:rPr>
          <w:rFonts w:ascii="Arial" w:hAnsi="Arial" w:cs="Arial"/>
          <w:sz w:val="16"/>
          <w:szCs w:val="16"/>
        </w:rPr>
        <w:t>702 00  Ostrava</w:t>
      </w:r>
      <w:proofErr w:type="gramEnd"/>
    </w:p>
    <w:p w:rsidR="00AC6C26" w:rsidRDefault="00AC6C26" w:rsidP="0059194D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IČ: 25857568, DIČ: CZ25857568</w:t>
      </w:r>
    </w:p>
    <w:p w:rsidR="00AC6C26" w:rsidRPr="005D42B3" w:rsidRDefault="00AC6C26" w:rsidP="0059194D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kterou zastupuje: Ing. Michal Hrotík (na základě plné moci)</w:t>
      </w:r>
    </w:p>
    <w:p w:rsidR="0059194D" w:rsidRPr="005D42B3" w:rsidRDefault="00AC6C26" w:rsidP="0059194D">
      <w:pPr>
        <w:spacing w:after="120"/>
        <w:jc w:val="both"/>
        <w:rPr>
          <w:rFonts w:ascii="Arial" w:hAnsi="Arial" w:cs="Arial"/>
          <w:b/>
          <w:sz w:val="16"/>
          <w:szCs w:val="16"/>
        </w:rPr>
      </w:pPr>
      <w:r w:rsidRPr="005D42B3">
        <w:rPr>
          <w:rFonts w:ascii="Arial" w:hAnsi="Arial" w:cs="Arial"/>
          <w:b/>
          <w:sz w:val="16"/>
          <w:szCs w:val="16"/>
        </w:rPr>
        <w:t xml:space="preserve"> </w:t>
      </w:r>
      <w:r w:rsidR="0059194D" w:rsidRPr="005D42B3">
        <w:rPr>
          <w:rFonts w:ascii="Arial" w:hAnsi="Arial" w:cs="Arial"/>
          <w:b/>
          <w:sz w:val="16"/>
          <w:szCs w:val="16"/>
        </w:rPr>
        <w:t>(dále jen „odběratel“)</w:t>
      </w:r>
    </w:p>
    <w:p w:rsidR="0059194D" w:rsidRPr="005D42B3" w:rsidRDefault="0059194D" w:rsidP="0059194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 xml:space="preserve">uzavírají </w:t>
      </w:r>
      <w:r w:rsidRPr="00C35CC7">
        <w:rPr>
          <w:rFonts w:ascii="Arial" w:hAnsi="Arial" w:cs="Arial"/>
          <w:sz w:val="16"/>
          <w:szCs w:val="16"/>
        </w:rPr>
        <w:t xml:space="preserve">podle </w:t>
      </w:r>
      <w:r w:rsidR="008D60B2" w:rsidRPr="00C35CC7">
        <w:rPr>
          <w:rFonts w:ascii="Arial" w:hAnsi="Arial" w:cs="Arial"/>
          <w:sz w:val="16"/>
          <w:szCs w:val="16"/>
        </w:rPr>
        <w:t>zákona č. č. 89/2012 Sb., občanský zákoník</w:t>
      </w:r>
      <w:r w:rsidRPr="00C35CC7">
        <w:rPr>
          <w:rFonts w:ascii="Arial" w:hAnsi="Arial" w:cs="Arial"/>
          <w:sz w:val="16"/>
          <w:szCs w:val="16"/>
        </w:rPr>
        <w:t xml:space="preserve">, a zákona </w:t>
      </w:r>
      <w:r w:rsidRPr="005D42B3">
        <w:rPr>
          <w:rFonts w:ascii="Arial" w:hAnsi="Arial" w:cs="Arial"/>
          <w:sz w:val="16"/>
          <w:szCs w:val="16"/>
        </w:rPr>
        <w:t>č. 458/2000 Sb., energetický zákon (dále jen EZ), obou pak v účinném znění, tuto smlouvu:</w:t>
      </w: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Předmět Smlouvy</w:t>
      </w:r>
    </w:p>
    <w:p w:rsidR="0059194D" w:rsidRPr="00826DAD" w:rsidRDefault="0059194D" w:rsidP="00826DAD">
      <w:pPr>
        <w:pStyle w:val="Odstavecseseznamem"/>
        <w:numPr>
          <w:ilvl w:val="0"/>
          <w:numId w:val="3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Předmětem Smlouvy je</w:t>
      </w:r>
      <w:r w:rsidR="000977E6">
        <w:rPr>
          <w:rFonts w:ascii="Arial" w:hAnsi="Arial" w:cs="Arial"/>
          <w:sz w:val="16"/>
          <w:szCs w:val="16"/>
        </w:rPr>
        <w:t xml:space="preserve"> závazek Dodavatele poskytnout Odběrateli</w:t>
      </w:r>
      <w:r w:rsidRPr="00826DAD">
        <w:rPr>
          <w:rFonts w:ascii="Arial" w:hAnsi="Arial" w:cs="Arial"/>
          <w:sz w:val="16"/>
          <w:szCs w:val="16"/>
        </w:rPr>
        <w:t xml:space="preserve"> sdružené služby dodávky plynu dle zákona 458/2000 Sb. v platném znění a závazek Zákazníka za tyto služby uhradit Dodavateli řádně a včas dohodnutou platbu. Podmínky dodávky plynu a další vzájemná práva a povinnosti smluvních stran upravují Všeobecné obchodní podmínky</w:t>
      </w:r>
      <w:r w:rsidR="00A522DB">
        <w:rPr>
          <w:rFonts w:ascii="Arial" w:hAnsi="Arial" w:cs="Arial"/>
          <w:sz w:val="16"/>
          <w:szCs w:val="16"/>
        </w:rPr>
        <w:t xml:space="preserve"> dodávky plynu Dodavatele</w:t>
      </w:r>
      <w:r w:rsidRPr="00826DAD">
        <w:rPr>
          <w:rFonts w:ascii="Arial" w:hAnsi="Arial" w:cs="Arial"/>
          <w:sz w:val="16"/>
          <w:szCs w:val="16"/>
        </w:rPr>
        <w:t xml:space="preserve"> a Ceník zemního plynu, které jsou nedílnou součástí této Smlouvy.</w:t>
      </w:r>
      <w:r w:rsidR="00087E0A" w:rsidRPr="00826DAD">
        <w:rPr>
          <w:rFonts w:ascii="Arial" w:hAnsi="Arial" w:cs="Arial"/>
          <w:sz w:val="16"/>
          <w:szCs w:val="16"/>
        </w:rPr>
        <w:t xml:space="preserve"> Ustanovení</w:t>
      </w:r>
      <w:r w:rsidR="005329F0" w:rsidRPr="00826DAD">
        <w:rPr>
          <w:rFonts w:ascii="Arial" w:hAnsi="Arial" w:cs="Arial"/>
          <w:sz w:val="16"/>
          <w:szCs w:val="16"/>
        </w:rPr>
        <w:t xml:space="preserve"> této smlouvy mají přednost před ustanoveními obsaženými ve Všeobecných obchodních podmínkách či v jiném dokumentu dodavatele.</w:t>
      </w: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Specifikace odběrného místa</w:t>
      </w:r>
    </w:p>
    <w:p w:rsidR="0059194D" w:rsidRPr="005D42B3" w:rsidRDefault="0059194D" w:rsidP="00826DAD">
      <w:p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Specifikace pro každé odběrné místo je v Příloze č. 1 této Smlouvy.</w:t>
      </w: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Ceník</w:t>
      </w:r>
    </w:p>
    <w:tbl>
      <w:tblPr>
        <w:tblW w:w="8682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593"/>
        <w:gridCol w:w="2089"/>
      </w:tblGrid>
      <w:tr w:rsidR="005C28D0" w:rsidRPr="005D42B3" w:rsidTr="00C62D67">
        <w:trPr>
          <w:trHeight w:val="421"/>
        </w:trPr>
        <w:tc>
          <w:tcPr>
            <w:tcW w:w="6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5D42B3" w:rsidRDefault="005C28D0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C62D67" w:rsidRDefault="005C28D0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C62D67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cena (</w:t>
            </w:r>
            <w:proofErr w:type="spellStart"/>
            <w:r w:rsidRPr="00C62D67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Kč</w:t>
            </w:r>
            <w:proofErr w:type="spellEnd"/>
            <w:r w:rsidRPr="00C62D67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/</w:t>
            </w:r>
            <w:proofErr w:type="spellStart"/>
            <w:r w:rsidRPr="00C62D67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MWh</w:t>
            </w:r>
            <w:proofErr w:type="spellEnd"/>
            <w:r w:rsidRPr="00C62D67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)</w:t>
            </w:r>
          </w:p>
        </w:tc>
      </w:tr>
      <w:tr w:rsidR="005C28D0" w:rsidRPr="005D42B3" w:rsidTr="00C62D67">
        <w:trPr>
          <w:trHeight w:val="253"/>
        </w:trPr>
        <w:tc>
          <w:tcPr>
            <w:tcW w:w="6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5D42B3" w:rsidRDefault="005C28D0" w:rsidP="00591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C62D67" w:rsidRDefault="005C28D0" w:rsidP="00591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5C28D0" w:rsidRPr="005D42B3" w:rsidTr="00C62D67">
        <w:trPr>
          <w:trHeight w:val="199"/>
        </w:trPr>
        <w:tc>
          <w:tcPr>
            <w:tcW w:w="6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5D42B3" w:rsidRDefault="005C28D0" w:rsidP="00AC6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Roční spotřeba zemního plynu z odběrných míst</w:t>
            </w:r>
            <w:r w:rsidRPr="005D4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="00AC6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2DB" w:rsidRPr="00C62D67" w:rsidRDefault="00A522DB" w:rsidP="00A52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490</w:t>
            </w:r>
          </w:p>
        </w:tc>
      </w:tr>
      <w:tr w:rsidR="005C28D0" w:rsidRPr="005D42B3" w:rsidTr="00C62D67">
        <w:trPr>
          <w:trHeight w:val="202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5D42B3" w:rsidRDefault="005C28D0" w:rsidP="00AC6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Stálý měsíční pla</w:t>
            </w: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 (počet OM*počet měsíců) pouze u OM </w:t>
            </w:r>
            <w:proofErr w:type="spellStart"/>
            <w:r w:rsidR="00AC6C2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C62D67" w:rsidRDefault="00A522DB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5C28D0" w:rsidRPr="005D42B3" w:rsidTr="00C62D67">
        <w:trPr>
          <w:trHeight w:val="198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5D42B3" w:rsidRDefault="005C28D0" w:rsidP="00AC6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Roční spotřeba zemního plynu z odběrných míst </w:t>
            </w:r>
            <w:proofErr w:type="spellStart"/>
            <w:r w:rsidR="00AC6C2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5D42B3" w:rsidRDefault="00A522DB" w:rsidP="00591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490</w:t>
            </w:r>
          </w:p>
        </w:tc>
      </w:tr>
    </w:tbl>
    <w:p w:rsidR="005C28D0" w:rsidRPr="005D42B3" w:rsidRDefault="005C28D0" w:rsidP="0059194D">
      <w:pPr>
        <w:rPr>
          <w:rFonts w:ascii="Arial" w:hAnsi="Arial" w:cs="Arial"/>
          <w:sz w:val="16"/>
          <w:szCs w:val="16"/>
        </w:rPr>
      </w:pPr>
    </w:p>
    <w:p w:rsidR="0059194D" w:rsidRPr="00826DAD" w:rsidRDefault="0059194D" w:rsidP="00826DAD">
      <w:pPr>
        <w:pStyle w:val="Odstavecseseznamem"/>
        <w:numPr>
          <w:ilvl w:val="0"/>
          <w:numId w:val="4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Ceník je po dobu své účinnosti neměnný a po uplynutí jeho účinnosti se pro případné další dodávky aplikuje aktuální standardní Ceník Dodavatele zveřejněný na webových stránkách Dodavatele.</w:t>
      </w:r>
    </w:p>
    <w:p w:rsidR="0059194D" w:rsidRPr="00826DAD" w:rsidRDefault="0059194D" w:rsidP="00826DAD">
      <w:pPr>
        <w:pStyle w:val="Odstavecseseznamem"/>
        <w:numPr>
          <w:ilvl w:val="0"/>
          <w:numId w:val="4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 xml:space="preserve">Ceny jsou </w:t>
      </w:r>
      <w:r w:rsidR="00CA412D" w:rsidRPr="00826DAD">
        <w:rPr>
          <w:rFonts w:ascii="Arial" w:hAnsi="Arial" w:cs="Arial"/>
          <w:sz w:val="16"/>
          <w:szCs w:val="16"/>
        </w:rPr>
        <w:t>uvedeny bez DPH</w:t>
      </w:r>
      <w:r w:rsidRPr="00826DAD">
        <w:rPr>
          <w:rFonts w:ascii="Arial" w:hAnsi="Arial" w:cs="Arial"/>
          <w:sz w:val="16"/>
          <w:szCs w:val="16"/>
        </w:rPr>
        <w:t>.</w:t>
      </w:r>
    </w:p>
    <w:p w:rsidR="0059194D" w:rsidRPr="00826DAD" w:rsidRDefault="0059194D" w:rsidP="00826DAD">
      <w:pPr>
        <w:pStyle w:val="Odstavecseseznamem"/>
        <w:numPr>
          <w:ilvl w:val="0"/>
          <w:numId w:val="4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 xml:space="preserve">Pro odběrné místo s ročním odběrem nad 63 000 kWh se měsíční platba za kapacitní složku ceny určí podle vzorce: </w:t>
      </w:r>
      <w:proofErr w:type="spellStart"/>
      <w:r w:rsidRPr="00826DAD">
        <w:rPr>
          <w:rFonts w:ascii="Arial" w:hAnsi="Arial" w:cs="Arial"/>
          <w:sz w:val="16"/>
          <w:szCs w:val="16"/>
        </w:rPr>
        <w:t>MPrd</w:t>
      </w:r>
      <w:proofErr w:type="spellEnd"/>
      <w:r w:rsidRPr="00826DAD">
        <w:rPr>
          <w:rFonts w:ascii="Arial" w:hAnsi="Arial" w:cs="Arial"/>
          <w:sz w:val="16"/>
          <w:szCs w:val="16"/>
        </w:rPr>
        <w:t xml:space="preserve"> = (</w:t>
      </w:r>
      <w:proofErr w:type="spellStart"/>
      <w:r w:rsidRPr="00826DAD">
        <w:rPr>
          <w:rFonts w:ascii="Arial" w:hAnsi="Arial" w:cs="Arial"/>
          <w:sz w:val="16"/>
          <w:szCs w:val="16"/>
        </w:rPr>
        <w:t>Crd</w:t>
      </w:r>
      <w:proofErr w:type="spellEnd"/>
      <w:r w:rsidRPr="00826DAD">
        <w:rPr>
          <w:rFonts w:ascii="Arial" w:hAnsi="Arial" w:cs="Arial"/>
          <w:sz w:val="16"/>
          <w:szCs w:val="16"/>
        </w:rPr>
        <w:t xml:space="preserve"> × RK) / 12, kde </w:t>
      </w:r>
      <w:proofErr w:type="spellStart"/>
      <w:r w:rsidRPr="00826DAD">
        <w:rPr>
          <w:rFonts w:ascii="Arial" w:hAnsi="Arial" w:cs="Arial"/>
          <w:sz w:val="16"/>
          <w:szCs w:val="16"/>
        </w:rPr>
        <w:t>Crd</w:t>
      </w:r>
      <w:proofErr w:type="spellEnd"/>
      <w:r w:rsidRPr="00826DAD">
        <w:rPr>
          <w:rFonts w:ascii="Arial" w:hAnsi="Arial" w:cs="Arial"/>
          <w:sz w:val="16"/>
          <w:szCs w:val="16"/>
        </w:rPr>
        <w:t xml:space="preserve"> = součet cen za přidělenou kapacitu dle Ceníku, RK = denní přidělená pevná kapacita v daném OM v </w:t>
      </w:r>
      <w:r w:rsidR="00CA412D" w:rsidRPr="00826DAD">
        <w:rPr>
          <w:rFonts w:ascii="Arial" w:hAnsi="Arial" w:cs="Arial"/>
          <w:sz w:val="16"/>
          <w:szCs w:val="16"/>
        </w:rPr>
        <w:t>m</w:t>
      </w:r>
      <w:r w:rsidR="00CA412D" w:rsidRPr="00826DAD">
        <w:rPr>
          <w:rFonts w:ascii="Arial" w:hAnsi="Arial" w:cs="Arial"/>
          <w:sz w:val="16"/>
          <w:szCs w:val="16"/>
          <w:vertAlign w:val="superscript"/>
        </w:rPr>
        <w:t>3</w:t>
      </w:r>
      <w:r w:rsidRPr="00826DAD">
        <w:rPr>
          <w:rFonts w:ascii="Arial" w:hAnsi="Arial" w:cs="Arial"/>
          <w:sz w:val="16"/>
          <w:szCs w:val="16"/>
        </w:rPr>
        <w:t xml:space="preserve"> určená podle vzorce RK = RS / 110, kde RS je roční odběr v daném OM v m</w:t>
      </w:r>
      <w:r w:rsidRPr="00826DAD">
        <w:rPr>
          <w:rFonts w:ascii="Arial" w:hAnsi="Arial" w:cs="Arial"/>
          <w:sz w:val="16"/>
          <w:szCs w:val="16"/>
          <w:vertAlign w:val="superscript"/>
        </w:rPr>
        <w:t>3</w:t>
      </w:r>
      <w:r w:rsidR="005C28D0" w:rsidRPr="00826DAD">
        <w:rPr>
          <w:rFonts w:ascii="Arial" w:hAnsi="Arial" w:cs="Arial"/>
          <w:sz w:val="16"/>
          <w:szCs w:val="16"/>
        </w:rPr>
        <w:t>.</w:t>
      </w: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Platební podmínky</w:t>
      </w:r>
    </w:p>
    <w:p w:rsidR="005C28D0" w:rsidRPr="005D42B3" w:rsidRDefault="005C28D0" w:rsidP="005C28D0">
      <w:pPr>
        <w:pStyle w:val="Odstavecseseznamem"/>
        <w:rPr>
          <w:rFonts w:ascii="Arial" w:hAnsi="Arial" w:cs="Arial"/>
          <w:b/>
          <w:sz w:val="16"/>
          <w:szCs w:val="16"/>
        </w:rPr>
      </w:pPr>
    </w:p>
    <w:p w:rsidR="005C28D0" w:rsidRPr="005D42B3" w:rsidRDefault="0059194D" w:rsidP="00826DAD">
      <w:pPr>
        <w:pStyle w:val="Odstavecseseznamem"/>
        <w:numPr>
          <w:ilvl w:val="0"/>
          <w:numId w:val="2"/>
        </w:numPr>
        <w:spacing w:after="0"/>
        <w:ind w:left="993" w:hanging="567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Způsob provádění plateb a přeplatků:</w:t>
      </w:r>
      <w:r w:rsidRPr="005D42B3">
        <w:rPr>
          <w:rFonts w:ascii="Arial" w:hAnsi="Arial" w:cs="Arial"/>
          <w:sz w:val="16"/>
          <w:szCs w:val="16"/>
        </w:rPr>
        <w:tab/>
      </w:r>
      <w:r w:rsidRPr="005D42B3">
        <w:rPr>
          <w:rFonts w:ascii="Arial" w:hAnsi="Arial" w:cs="Arial"/>
          <w:sz w:val="16"/>
          <w:szCs w:val="16"/>
        </w:rPr>
        <w:tab/>
      </w:r>
    </w:p>
    <w:p w:rsidR="0059194D" w:rsidRPr="005D42B3" w:rsidRDefault="0059194D" w:rsidP="00826DAD">
      <w:pPr>
        <w:tabs>
          <w:tab w:val="left" w:pos="2552"/>
        </w:tabs>
        <w:spacing w:after="0"/>
        <w:ind w:left="1418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Faktury:</w:t>
      </w:r>
      <w:r w:rsidRPr="005D42B3">
        <w:rPr>
          <w:rFonts w:ascii="Arial" w:hAnsi="Arial" w:cs="Arial"/>
          <w:sz w:val="16"/>
          <w:szCs w:val="16"/>
        </w:rPr>
        <w:tab/>
        <w:t xml:space="preserve"> Příkaz</w:t>
      </w:r>
      <w:r w:rsidRPr="005D42B3">
        <w:rPr>
          <w:rFonts w:ascii="Arial" w:hAnsi="Arial" w:cs="Arial"/>
          <w:sz w:val="16"/>
          <w:szCs w:val="16"/>
        </w:rPr>
        <w:tab/>
      </w:r>
      <w:r w:rsidR="005C28D0" w:rsidRPr="005D42B3">
        <w:rPr>
          <w:rFonts w:ascii="Arial" w:hAnsi="Arial" w:cs="Arial"/>
          <w:sz w:val="16"/>
          <w:szCs w:val="16"/>
        </w:rPr>
        <w:t>nebo</w:t>
      </w:r>
      <w:r w:rsidRPr="005D42B3">
        <w:rPr>
          <w:rFonts w:ascii="Arial" w:hAnsi="Arial" w:cs="Arial"/>
          <w:sz w:val="16"/>
          <w:szCs w:val="16"/>
        </w:rPr>
        <w:tab/>
        <w:t>Bankovní inkaso</w:t>
      </w:r>
    </w:p>
    <w:p w:rsidR="005C28D0" w:rsidRPr="005D42B3" w:rsidRDefault="0059194D" w:rsidP="00826DAD">
      <w:pPr>
        <w:tabs>
          <w:tab w:val="left" w:pos="2552"/>
        </w:tabs>
        <w:spacing w:after="0"/>
        <w:ind w:left="1418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Zálohy:</w:t>
      </w:r>
      <w:r w:rsidRPr="005D42B3">
        <w:rPr>
          <w:rFonts w:ascii="Arial" w:hAnsi="Arial" w:cs="Arial"/>
          <w:sz w:val="16"/>
          <w:szCs w:val="16"/>
        </w:rPr>
        <w:tab/>
        <w:t xml:space="preserve"> Příkaz</w:t>
      </w:r>
      <w:r w:rsidRPr="005D42B3">
        <w:rPr>
          <w:rFonts w:ascii="Arial" w:hAnsi="Arial" w:cs="Arial"/>
          <w:sz w:val="16"/>
          <w:szCs w:val="16"/>
        </w:rPr>
        <w:tab/>
      </w:r>
      <w:r w:rsidR="005C28D0" w:rsidRPr="005D42B3">
        <w:rPr>
          <w:rFonts w:ascii="Arial" w:hAnsi="Arial" w:cs="Arial"/>
          <w:sz w:val="16"/>
          <w:szCs w:val="16"/>
        </w:rPr>
        <w:t>nebo</w:t>
      </w:r>
      <w:r w:rsidRPr="005D42B3">
        <w:rPr>
          <w:rFonts w:ascii="Arial" w:hAnsi="Arial" w:cs="Arial"/>
          <w:sz w:val="16"/>
          <w:szCs w:val="16"/>
        </w:rPr>
        <w:tab/>
        <w:t>Bankovní inkaso</w:t>
      </w:r>
      <w:r w:rsidRPr="005D42B3">
        <w:rPr>
          <w:rFonts w:ascii="Arial" w:hAnsi="Arial" w:cs="Arial"/>
          <w:sz w:val="16"/>
          <w:szCs w:val="16"/>
        </w:rPr>
        <w:tab/>
      </w:r>
    </w:p>
    <w:p w:rsidR="0059194D" w:rsidRPr="005D42B3" w:rsidRDefault="0059194D" w:rsidP="00826DAD">
      <w:pPr>
        <w:spacing w:after="0"/>
        <w:ind w:left="993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ab/>
      </w:r>
    </w:p>
    <w:p w:rsidR="005C28D0" w:rsidRPr="005D42B3" w:rsidRDefault="0059194D" w:rsidP="00826DAD">
      <w:pPr>
        <w:pStyle w:val="Odstavecseseznamem"/>
        <w:numPr>
          <w:ilvl w:val="0"/>
          <w:numId w:val="2"/>
        </w:numPr>
        <w:spacing w:after="0"/>
        <w:ind w:left="993" w:hanging="567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Způsob odesílání faktur a předpisů záloh:</w:t>
      </w:r>
      <w:r w:rsidRPr="005D42B3">
        <w:rPr>
          <w:rFonts w:ascii="Arial" w:hAnsi="Arial" w:cs="Arial"/>
          <w:sz w:val="16"/>
          <w:szCs w:val="16"/>
        </w:rPr>
        <w:tab/>
      </w:r>
    </w:p>
    <w:p w:rsidR="005C28D0" w:rsidRPr="005D42B3" w:rsidRDefault="0059194D" w:rsidP="00826DAD">
      <w:pPr>
        <w:pStyle w:val="Odstavecseseznamem"/>
        <w:spacing w:after="0"/>
        <w:ind w:left="993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ab/>
      </w:r>
      <w:r w:rsidR="005C28D0" w:rsidRPr="005D42B3">
        <w:rPr>
          <w:rFonts w:ascii="Arial" w:hAnsi="Arial" w:cs="Arial"/>
          <w:sz w:val="16"/>
          <w:szCs w:val="16"/>
        </w:rPr>
        <w:t>a)</w:t>
      </w:r>
      <w:r w:rsidRPr="005D42B3">
        <w:rPr>
          <w:rFonts w:ascii="Arial" w:hAnsi="Arial" w:cs="Arial"/>
          <w:sz w:val="16"/>
          <w:szCs w:val="16"/>
        </w:rPr>
        <w:t xml:space="preserve"> elektronicky na e-mail zákazníka</w:t>
      </w:r>
      <w:r w:rsidRPr="005D42B3">
        <w:rPr>
          <w:rFonts w:ascii="Arial" w:hAnsi="Arial" w:cs="Arial"/>
          <w:sz w:val="16"/>
          <w:szCs w:val="16"/>
        </w:rPr>
        <w:tab/>
      </w:r>
    </w:p>
    <w:p w:rsidR="0059194D" w:rsidRDefault="005C28D0" w:rsidP="00826DAD">
      <w:pPr>
        <w:pStyle w:val="Odstavecseseznamem"/>
        <w:spacing w:after="0"/>
        <w:ind w:left="993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ab/>
        <w:t>b)</w:t>
      </w:r>
      <w:r w:rsidR="00C03C03" w:rsidRPr="005D42B3">
        <w:rPr>
          <w:rFonts w:ascii="Arial" w:hAnsi="Arial" w:cs="Arial"/>
          <w:sz w:val="16"/>
          <w:szCs w:val="16"/>
        </w:rPr>
        <w:t xml:space="preserve"> </w:t>
      </w:r>
      <w:r w:rsidR="0059194D" w:rsidRPr="005D42B3">
        <w:rPr>
          <w:rFonts w:ascii="Arial" w:hAnsi="Arial" w:cs="Arial"/>
          <w:sz w:val="16"/>
          <w:szCs w:val="16"/>
        </w:rPr>
        <w:t>v papírové podobě běžnou poštou</w:t>
      </w:r>
    </w:p>
    <w:p w:rsidR="002A58FC" w:rsidRDefault="002A58FC" w:rsidP="00826DAD">
      <w:pPr>
        <w:pStyle w:val="Odstavecseseznamem"/>
        <w:spacing w:after="0"/>
        <w:ind w:left="993"/>
        <w:jc w:val="both"/>
        <w:rPr>
          <w:rFonts w:ascii="Arial" w:hAnsi="Arial" w:cs="Arial"/>
          <w:sz w:val="16"/>
          <w:szCs w:val="16"/>
        </w:rPr>
      </w:pPr>
    </w:p>
    <w:p w:rsidR="005254E0" w:rsidRPr="00826DAD" w:rsidRDefault="005254E0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 xml:space="preserve">Dodavatel se zavazuje vystavovat odběrateli </w:t>
      </w:r>
      <w:r w:rsidRPr="00826DAD">
        <w:rPr>
          <w:rFonts w:ascii="Arial" w:hAnsi="Arial" w:cs="Arial"/>
          <w:b/>
          <w:sz w:val="16"/>
          <w:szCs w:val="16"/>
        </w:rPr>
        <w:t>souhrnnou fakturu i předpis zálohových plateb</w:t>
      </w:r>
      <w:r w:rsidRPr="00826DAD">
        <w:rPr>
          <w:rFonts w:ascii="Arial" w:hAnsi="Arial" w:cs="Arial"/>
          <w:sz w:val="16"/>
          <w:szCs w:val="16"/>
        </w:rPr>
        <w:t xml:space="preserve"> za všechna jeho odběrná místa </w:t>
      </w:r>
      <w:r w:rsidRPr="00826DAD">
        <w:rPr>
          <w:rFonts w:ascii="Arial" w:hAnsi="Arial" w:cs="Arial"/>
          <w:b/>
          <w:sz w:val="16"/>
          <w:szCs w:val="16"/>
        </w:rPr>
        <w:t>s přiloženým vyúčtováním jednotlivých odběrných míst.</w:t>
      </w:r>
    </w:p>
    <w:p w:rsidR="00B04B5C" w:rsidRPr="00826DAD" w:rsidRDefault="00B04B5C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826DAD">
        <w:rPr>
          <w:rFonts w:ascii="Arial" w:hAnsi="Arial" w:cs="Arial"/>
          <w:bCs/>
          <w:sz w:val="16"/>
          <w:szCs w:val="16"/>
        </w:rPr>
        <w:t xml:space="preserve">Odběratel na základě platebního kalendáře - daňového dokladu uhradí dodavateli měsíční zálohu k 15. dni příslušného kalendářního měsíce, a to ve výši 1/12 z předpokládané výše roční platby včetně DPH. </w:t>
      </w:r>
    </w:p>
    <w:p w:rsidR="00B04B5C" w:rsidRPr="00826DAD" w:rsidRDefault="00B04B5C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826DAD">
        <w:rPr>
          <w:rFonts w:ascii="Arial" w:hAnsi="Arial" w:cs="Arial"/>
          <w:bCs/>
          <w:sz w:val="16"/>
          <w:szCs w:val="16"/>
        </w:rPr>
        <w:t xml:space="preserve">Dodavatel je povinen provést celkové vyúčtování služeb a dodávek sdružených služeb dodávky zemního plynu (s vyúčtováním přeplatku a či nedoplatku) odběrateli ve formě tzv. zúčtovací faktury nejpozději do 20 kalendářních dnů po ukončení fakturačního období, stanoveného dodavatelem dle platných předpisů nebo při ukončení smluvního vztahu, jakož i v případě přerušení dodávky zemního plynu, se zúčtováním řádně zaplacených zálohových faktur. </w:t>
      </w:r>
    </w:p>
    <w:p w:rsidR="00B66ADD" w:rsidRPr="00826DAD" w:rsidRDefault="00B66ADD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826DAD">
        <w:rPr>
          <w:rFonts w:ascii="Arial" w:hAnsi="Arial" w:cs="Arial"/>
          <w:bCs/>
          <w:sz w:val="16"/>
          <w:szCs w:val="16"/>
        </w:rPr>
        <w:lastRenderedPageBreak/>
        <w:t>V případě vzniku přeplatku zákazníka na konci kalendářního roku (v měsíci prosinci) bude dodavatel vždy tento přeplatek vracet na bankovní účet zákazníka a dodavatel se zavazuje, že nebude tento přeplatek zúčtovávat jako zálohovou platbu zákazníka.</w:t>
      </w:r>
    </w:p>
    <w:p w:rsidR="00B04B5C" w:rsidRPr="00826DAD" w:rsidRDefault="00B04B5C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826DAD">
        <w:rPr>
          <w:rFonts w:ascii="Arial" w:hAnsi="Arial" w:cs="Arial"/>
          <w:bCs/>
          <w:sz w:val="16"/>
          <w:szCs w:val="16"/>
        </w:rPr>
        <w:t>Splatnost faktur (s vyúčtováním přeplatku a či nedoplatku) činí 30 dnů ode dne doručení faktury odběrateli. Dnem zaplacení se rozumí den odeslání platby adresátovi. Připadne-li den odeslání na den pracovního klidu, rozumí se dnem odeslání první následující pracovní den. Faktura, resp. zálohová faktura, musí mít veškeré náležitosti daňového dokladu ve smyslu zákona o dani z přidané hodnoty.</w:t>
      </w:r>
    </w:p>
    <w:p w:rsidR="00CA412D" w:rsidRPr="00826DAD" w:rsidRDefault="00CA412D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Cs/>
          <w:sz w:val="16"/>
          <w:szCs w:val="16"/>
        </w:rPr>
      </w:pPr>
      <w:r w:rsidRPr="00826DAD">
        <w:rPr>
          <w:rFonts w:ascii="Arial" w:hAnsi="Arial" w:cs="Arial"/>
          <w:bCs/>
          <w:sz w:val="16"/>
          <w:szCs w:val="16"/>
        </w:rPr>
        <w:t xml:space="preserve">V případě prodlení dodavatele s vystavením zúčtovací faktury ve lhůtě či s uhrazením přeplatku ve lhůtě </w:t>
      </w:r>
      <w:r w:rsidR="000977E6">
        <w:rPr>
          <w:rFonts w:ascii="Arial" w:hAnsi="Arial" w:cs="Arial"/>
          <w:bCs/>
          <w:sz w:val="16"/>
          <w:szCs w:val="16"/>
        </w:rPr>
        <w:t>s</w:t>
      </w:r>
      <w:r w:rsidRPr="00826DAD">
        <w:rPr>
          <w:rFonts w:ascii="Arial" w:hAnsi="Arial" w:cs="Arial"/>
          <w:bCs/>
          <w:sz w:val="16"/>
          <w:szCs w:val="16"/>
        </w:rPr>
        <w:t>platnosti</w:t>
      </w:r>
      <w:r w:rsidR="008C1ED1">
        <w:rPr>
          <w:rFonts w:ascii="Arial" w:hAnsi="Arial" w:cs="Arial"/>
          <w:bCs/>
          <w:sz w:val="16"/>
          <w:szCs w:val="16"/>
        </w:rPr>
        <w:t> </w:t>
      </w:r>
      <w:r w:rsidRPr="00826DAD">
        <w:rPr>
          <w:rFonts w:ascii="Arial" w:hAnsi="Arial" w:cs="Arial"/>
          <w:bCs/>
          <w:sz w:val="16"/>
          <w:szCs w:val="16"/>
        </w:rPr>
        <w:t>se dodavatel zavazuje zaplatit odběrateli smluvní pokutu ve výši 200 Kč za každé dotčené odběrné místo a každý den prodlení.</w:t>
      </w:r>
      <w:r w:rsidR="008C1ED1">
        <w:rPr>
          <w:rFonts w:ascii="Arial" w:hAnsi="Arial" w:cs="Arial"/>
          <w:bCs/>
          <w:sz w:val="16"/>
          <w:szCs w:val="16"/>
        </w:rPr>
        <w:t xml:space="preserve"> Tato povinnost se vztahuje rovněž na podmínky měsíčních plateb za skutečný odběr dle odst. 11 tohoto článku. </w:t>
      </w:r>
      <w:r w:rsidRPr="00826DAD">
        <w:rPr>
          <w:rFonts w:ascii="Arial" w:hAnsi="Arial" w:cs="Arial"/>
          <w:bCs/>
          <w:sz w:val="16"/>
          <w:szCs w:val="16"/>
        </w:rPr>
        <w:t xml:space="preserve"> Zaplacením smluvní pokuty není dotčeno právo odběratele požadovat náhradu škody způsobené porušením povinnosti, na kterou se smluvní pokuta vztahuje, a to </w:t>
      </w:r>
      <w:r w:rsidR="000977E6">
        <w:rPr>
          <w:rFonts w:ascii="Arial" w:hAnsi="Arial" w:cs="Arial"/>
          <w:bCs/>
          <w:sz w:val="16"/>
          <w:szCs w:val="16"/>
        </w:rPr>
        <w:t>v plné výši</w:t>
      </w:r>
      <w:r w:rsidRPr="00826DAD">
        <w:rPr>
          <w:rFonts w:ascii="Arial" w:hAnsi="Arial" w:cs="Arial"/>
          <w:bCs/>
          <w:sz w:val="16"/>
          <w:szCs w:val="16"/>
        </w:rPr>
        <w:t>.</w:t>
      </w:r>
    </w:p>
    <w:p w:rsidR="005329F0" w:rsidRPr="00826DAD" w:rsidRDefault="005329F0" w:rsidP="00503BA6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 xml:space="preserve">Odběratel může požadovat a dodavatel se pro tento případ zavazuje zasílat </w:t>
      </w:r>
      <w:r w:rsidRPr="00826DAD">
        <w:rPr>
          <w:rFonts w:ascii="Arial" w:hAnsi="Arial" w:cs="Arial"/>
          <w:b/>
          <w:sz w:val="16"/>
          <w:szCs w:val="16"/>
        </w:rPr>
        <w:t>veškerá vyúčtování a fakturaci formou elektronických prostředků</w:t>
      </w:r>
      <w:r w:rsidR="00503BA6" w:rsidRPr="00503BA6">
        <w:rPr>
          <w:rFonts w:ascii="Arial" w:hAnsi="Arial" w:cs="Arial"/>
          <w:b/>
          <w:sz w:val="16"/>
          <w:szCs w:val="16"/>
        </w:rPr>
        <w:t>,</w:t>
      </w:r>
      <w:r w:rsidR="00503BA6" w:rsidRPr="00503BA6">
        <w:rPr>
          <w:rFonts w:ascii="Arial" w:hAnsi="Arial" w:cs="Arial"/>
          <w:sz w:val="16"/>
          <w:szCs w:val="16"/>
        </w:rPr>
        <w:t xml:space="preserve"> a to ve formátu CSV (hodnoty odděleny středníkem, záznamy jednotlivě po řádcích) v kódování 852 nebo 1250</w:t>
      </w:r>
      <w:r w:rsidRPr="00826DAD">
        <w:rPr>
          <w:rFonts w:ascii="Arial" w:hAnsi="Arial" w:cs="Arial"/>
          <w:b/>
          <w:sz w:val="16"/>
          <w:szCs w:val="16"/>
        </w:rPr>
        <w:t>.</w:t>
      </w:r>
    </w:p>
    <w:p w:rsidR="00B66ADD" w:rsidRPr="00826DAD" w:rsidRDefault="00B66ADD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Zákazník si vyhrazuje právo, že může kdykoliv v průběhu trvání této smlouvy dodavateli písemně oznámit (v listinné podobě, elektronicky emailem), že požaduje u odběrného místa/odběrných míst měsíční platby za skutečný odběr, tzn. platby na základě samoodečtu. Změny v</w:t>
      </w:r>
      <w:r w:rsidR="0010441F">
        <w:rPr>
          <w:rFonts w:ascii="Arial" w:hAnsi="Arial" w:cs="Arial"/>
          <w:sz w:val="16"/>
          <w:szCs w:val="16"/>
        </w:rPr>
        <w:t> </w:t>
      </w:r>
      <w:r w:rsidRPr="00826DAD">
        <w:rPr>
          <w:rFonts w:ascii="Arial" w:hAnsi="Arial" w:cs="Arial"/>
          <w:sz w:val="16"/>
          <w:szCs w:val="16"/>
        </w:rPr>
        <w:t>tomto případě budou platné od prvního dne následujícího měsíce následující po doručení žádosti zákazníka dodavateli.</w:t>
      </w:r>
    </w:p>
    <w:p w:rsidR="00B66ADD" w:rsidRDefault="00B66ADD" w:rsidP="00826DAD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Zákazník si dále vyhrazuje právo, že může po dodavateli požadovat vč. souhrnné faktury také dílčí fakturu, a to vystavenou na každé jednotlivé odběrné místo zákazníka. V případě tohoto požadavku zákazník odešle požadavek dodavateli poštou nebo emailem.</w:t>
      </w:r>
    </w:p>
    <w:p w:rsidR="00D03E71" w:rsidRDefault="00D03E71" w:rsidP="00D03E71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Smluvní strany stanovily níže uvedené </w:t>
      </w:r>
      <w:r w:rsidRPr="00D03E71">
        <w:rPr>
          <w:rFonts w:ascii="Arial" w:hAnsi="Arial" w:cs="Arial"/>
          <w:sz w:val="16"/>
          <w:szCs w:val="16"/>
        </w:rPr>
        <w:t>kontaktní osob</w:t>
      </w:r>
      <w:r>
        <w:rPr>
          <w:rFonts w:ascii="Arial" w:hAnsi="Arial" w:cs="Arial"/>
          <w:sz w:val="16"/>
          <w:szCs w:val="16"/>
        </w:rPr>
        <w:t>y</w:t>
      </w:r>
      <w:r w:rsidRPr="00D03E71">
        <w:rPr>
          <w:rFonts w:ascii="Arial" w:hAnsi="Arial" w:cs="Arial"/>
          <w:sz w:val="16"/>
          <w:szCs w:val="16"/>
        </w:rPr>
        <w:t>, kter</w:t>
      </w:r>
      <w:r>
        <w:rPr>
          <w:rFonts w:ascii="Arial" w:hAnsi="Arial" w:cs="Arial"/>
          <w:sz w:val="16"/>
          <w:szCs w:val="16"/>
        </w:rPr>
        <w:t>é</w:t>
      </w:r>
      <w:r w:rsidRPr="00D03E71">
        <w:rPr>
          <w:rFonts w:ascii="Arial" w:hAnsi="Arial" w:cs="Arial"/>
          <w:sz w:val="16"/>
          <w:szCs w:val="16"/>
        </w:rPr>
        <w:t xml:space="preserve"> bude v průběhu plnění předmětu </w:t>
      </w:r>
      <w:r>
        <w:rPr>
          <w:rFonts w:ascii="Arial" w:hAnsi="Arial" w:cs="Arial"/>
          <w:sz w:val="16"/>
          <w:szCs w:val="16"/>
        </w:rPr>
        <w:t xml:space="preserve">smlouvy zodpovědné za komunikaci: </w:t>
      </w:r>
    </w:p>
    <w:tbl>
      <w:tblPr>
        <w:tblW w:w="10021" w:type="dxa"/>
        <w:tblInd w:w="401" w:type="dxa"/>
        <w:tblLayout w:type="fixed"/>
        <w:tblLook w:val="01E0"/>
      </w:tblPr>
      <w:tblGrid>
        <w:gridCol w:w="108"/>
        <w:gridCol w:w="1550"/>
        <w:gridCol w:w="2977"/>
        <w:gridCol w:w="1559"/>
        <w:gridCol w:w="3719"/>
        <w:gridCol w:w="108"/>
      </w:tblGrid>
      <w:tr w:rsidR="00D03E71" w:rsidRPr="00BA313E" w:rsidTr="00A522DB">
        <w:trPr>
          <w:gridAfter w:val="1"/>
          <w:wAfter w:w="108" w:type="dxa"/>
          <w:trHeight w:val="303"/>
        </w:trPr>
        <w:tc>
          <w:tcPr>
            <w:tcW w:w="9913" w:type="dxa"/>
            <w:gridSpan w:val="5"/>
            <w:vAlign w:val="center"/>
          </w:tcPr>
          <w:p w:rsidR="00D03E71" w:rsidRPr="00BA313E" w:rsidRDefault="00D03E71" w:rsidP="00D03E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A313E">
              <w:rPr>
                <w:rFonts w:ascii="Arial" w:hAnsi="Arial" w:cs="Arial"/>
                <w:sz w:val="16"/>
                <w:szCs w:val="16"/>
              </w:rPr>
              <w:t>Osoby pověřené pro jednání</w:t>
            </w:r>
            <w:r>
              <w:rPr>
                <w:rFonts w:ascii="Arial" w:hAnsi="Arial" w:cs="Arial"/>
                <w:sz w:val="16"/>
                <w:szCs w:val="16"/>
              </w:rPr>
              <w:t xml:space="preserve"> ve věcech technických</w:t>
            </w:r>
            <w:r w:rsidRPr="00BA313E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A522DB" w:rsidTr="00A522DB">
        <w:trPr>
          <w:gridBefore w:val="1"/>
          <w:wBefore w:w="108" w:type="dxa"/>
          <w:trHeight w:val="303"/>
        </w:trPr>
        <w:tc>
          <w:tcPr>
            <w:tcW w:w="4527" w:type="dxa"/>
            <w:gridSpan w:val="2"/>
            <w:vAlign w:val="center"/>
          </w:tcPr>
          <w:p w:rsidR="00A522DB" w:rsidRPr="00BA313E" w:rsidRDefault="00A522DB" w:rsidP="003148F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dodavatele:</w:t>
            </w:r>
          </w:p>
        </w:tc>
        <w:tc>
          <w:tcPr>
            <w:tcW w:w="1559" w:type="dxa"/>
            <w:vAlign w:val="center"/>
          </w:tcPr>
          <w:p w:rsidR="00A522DB" w:rsidRDefault="00A522DB" w:rsidP="003148F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odběratele:</w:t>
            </w:r>
          </w:p>
        </w:tc>
        <w:tc>
          <w:tcPr>
            <w:tcW w:w="3827" w:type="dxa"/>
            <w:gridSpan w:val="2"/>
            <w:vAlign w:val="center"/>
          </w:tcPr>
          <w:p w:rsidR="00A522DB" w:rsidRDefault="00A522DB" w:rsidP="003148F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2DB" w:rsidRPr="00630C62" w:rsidTr="00A522DB">
        <w:trPr>
          <w:gridBefore w:val="1"/>
          <w:wBefore w:w="108" w:type="dxa"/>
          <w:trHeight w:val="200"/>
        </w:trPr>
        <w:tc>
          <w:tcPr>
            <w:tcW w:w="1550" w:type="dxa"/>
            <w:vAlign w:val="center"/>
          </w:tcPr>
          <w:p w:rsidR="00A522DB" w:rsidRPr="00BA313E" w:rsidRDefault="00A522DB" w:rsidP="0031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2977" w:type="dxa"/>
            <w:vAlign w:val="center"/>
          </w:tcPr>
          <w:p w:rsidR="00A522DB" w:rsidRPr="00630C62" w:rsidRDefault="00AC6C26" w:rsidP="00AC6C26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xxx</w:t>
            </w:r>
            <w:proofErr w:type="spellEnd"/>
            <w:r w:rsidR="00A522DB">
              <w:rPr>
                <w:rFonts w:ascii="Arial" w:hAnsi="Arial" w:cs="Arial"/>
                <w:sz w:val="14"/>
                <w:szCs w:val="14"/>
              </w:rPr>
              <w:t>,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xxx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A522DB" w:rsidRPr="00BA313E" w:rsidRDefault="00A522DB" w:rsidP="0031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3827" w:type="dxa"/>
            <w:gridSpan w:val="2"/>
            <w:vAlign w:val="center"/>
          </w:tcPr>
          <w:p w:rsidR="00A522DB" w:rsidRPr="00630C62" w:rsidRDefault="00AC6C26" w:rsidP="003148F4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Ing. Michal Hrotík</w:t>
            </w:r>
          </w:p>
        </w:tc>
      </w:tr>
      <w:tr w:rsidR="00A522DB" w:rsidRPr="00630C62" w:rsidTr="00A522DB">
        <w:trPr>
          <w:gridBefore w:val="1"/>
          <w:wBefore w:w="108" w:type="dxa"/>
          <w:trHeight w:val="338"/>
        </w:trPr>
        <w:tc>
          <w:tcPr>
            <w:tcW w:w="1550" w:type="dxa"/>
            <w:vAlign w:val="center"/>
          </w:tcPr>
          <w:p w:rsidR="00A522DB" w:rsidRPr="00BA313E" w:rsidRDefault="00A522DB" w:rsidP="0031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adresa:</w:t>
            </w:r>
          </w:p>
        </w:tc>
        <w:tc>
          <w:tcPr>
            <w:tcW w:w="2977" w:type="dxa"/>
            <w:vAlign w:val="center"/>
          </w:tcPr>
          <w:p w:rsidR="00A522DB" w:rsidRPr="00630C62" w:rsidRDefault="00A522DB" w:rsidP="003148F4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Hornopolní 3322/34, Ostrava 702 00</w:t>
            </w:r>
          </w:p>
        </w:tc>
        <w:tc>
          <w:tcPr>
            <w:tcW w:w="1559" w:type="dxa"/>
            <w:vAlign w:val="center"/>
          </w:tcPr>
          <w:p w:rsidR="00A522DB" w:rsidRPr="00BA313E" w:rsidRDefault="00A522DB" w:rsidP="0031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adresa:</w:t>
            </w:r>
          </w:p>
        </w:tc>
        <w:tc>
          <w:tcPr>
            <w:tcW w:w="3827" w:type="dxa"/>
            <w:gridSpan w:val="2"/>
            <w:vAlign w:val="center"/>
          </w:tcPr>
          <w:p w:rsidR="00A522DB" w:rsidRPr="00630C62" w:rsidRDefault="00D64534" w:rsidP="003148F4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A522D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A522D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A522D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A522D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A522D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A522D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522DB" w:rsidRPr="00630C62" w:rsidTr="00A522DB">
        <w:trPr>
          <w:gridBefore w:val="1"/>
          <w:wBefore w:w="108" w:type="dxa"/>
          <w:trHeight w:val="189"/>
        </w:trPr>
        <w:tc>
          <w:tcPr>
            <w:tcW w:w="1550" w:type="dxa"/>
            <w:vAlign w:val="center"/>
          </w:tcPr>
          <w:p w:rsidR="00A522DB" w:rsidRPr="00BA313E" w:rsidRDefault="00A522DB" w:rsidP="0031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e-mail:</w:t>
            </w:r>
          </w:p>
        </w:tc>
        <w:tc>
          <w:tcPr>
            <w:tcW w:w="2977" w:type="dxa"/>
            <w:vAlign w:val="center"/>
          </w:tcPr>
          <w:p w:rsidR="00A522DB" w:rsidRPr="00630C62" w:rsidRDefault="00AC6C26" w:rsidP="003148F4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Xxx</w:t>
            </w:r>
            <w:proofErr w:type="spellEnd"/>
          </w:p>
        </w:tc>
        <w:tc>
          <w:tcPr>
            <w:tcW w:w="1559" w:type="dxa"/>
            <w:vAlign w:val="center"/>
          </w:tcPr>
          <w:p w:rsidR="00A522DB" w:rsidRPr="00BA313E" w:rsidRDefault="00A522DB" w:rsidP="0031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e-mail:</w:t>
            </w:r>
          </w:p>
        </w:tc>
        <w:tc>
          <w:tcPr>
            <w:tcW w:w="3827" w:type="dxa"/>
            <w:gridSpan w:val="2"/>
            <w:vAlign w:val="center"/>
          </w:tcPr>
          <w:p w:rsidR="00A522DB" w:rsidRPr="00630C62" w:rsidRDefault="00AC6C26" w:rsidP="003148F4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hrotik@ovanet.cz</w:t>
            </w:r>
          </w:p>
        </w:tc>
      </w:tr>
      <w:tr w:rsidR="00A522DB" w:rsidRPr="00630C62" w:rsidTr="00A522DB">
        <w:trPr>
          <w:gridBefore w:val="1"/>
          <w:wBefore w:w="108" w:type="dxa"/>
          <w:trHeight w:val="189"/>
        </w:trPr>
        <w:tc>
          <w:tcPr>
            <w:tcW w:w="1550" w:type="dxa"/>
            <w:vAlign w:val="center"/>
          </w:tcPr>
          <w:p w:rsidR="00A522DB" w:rsidRPr="00BA313E" w:rsidRDefault="00A522DB" w:rsidP="0031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telefon:</w:t>
            </w:r>
          </w:p>
        </w:tc>
        <w:tc>
          <w:tcPr>
            <w:tcW w:w="2977" w:type="dxa"/>
            <w:vAlign w:val="center"/>
          </w:tcPr>
          <w:p w:rsidR="00A522DB" w:rsidRPr="00630C62" w:rsidRDefault="00AC6C26" w:rsidP="003148F4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xxx</w:t>
            </w:r>
            <w:proofErr w:type="spellEnd"/>
          </w:p>
        </w:tc>
        <w:tc>
          <w:tcPr>
            <w:tcW w:w="1559" w:type="dxa"/>
            <w:vAlign w:val="center"/>
          </w:tcPr>
          <w:p w:rsidR="00A522DB" w:rsidRPr="00BA313E" w:rsidRDefault="00A522DB" w:rsidP="0031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A313E">
              <w:rPr>
                <w:rFonts w:ascii="Arial" w:hAnsi="Arial" w:cs="Arial"/>
                <w:sz w:val="14"/>
                <w:szCs w:val="14"/>
              </w:rPr>
              <w:t>telefon:</w:t>
            </w:r>
          </w:p>
        </w:tc>
        <w:tc>
          <w:tcPr>
            <w:tcW w:w="3827" w:type="dxa"/>
            <w:gridSpan w:val="2"/>
            <w:vAlign w:val="center"/>
          </w:tcPr>
          <w:p w:rsidR="00A522DB" w:rsidRPr="00630C62" w:rsidRDefault="00AC6C26" w:rsidP="003148F4">
            <w:pPr>
              <w:pStyle w:val="Zkladn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xxx</w:t>
            </w:r>
            <w:proofErr w:type="spellEnd"/>
          </w:p>
        </w:tc>
      </w:tr>
    </w:tbl>
    <w:p w:rsidR="00D03E71" w:rsidRDefault="00D03E71" w:rsidP="00D03E71">
      <w:pPr>
        <w:pStyle w:val="Odstavecseseznamem"/>
        <w:spacing w:after="120"/>
        <w:ind w:left="284"/>
        <w:jc w:val="both"/>
        <w:rPr>
          <w:rFonts w:ascii="Arial" w:hAnsi="Arial" w:cs="Arial"/>
          <w:sz w:val="16"/>
          <w:szCs w:val="16"/>
        </w:rPr>
      </w:pPr>
    </w:p>
    <w:p w:rsidR="00D03E71" w:rsidRDefault="00D03E71" w:rsidP="00D03E71">
      <w:pPr>
        <w:pStyle w:val="Odstavecseseznamem"/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D03E71">
        <w:rPr>
          <w:rFonts w:ascii="Arial" w:hAnsi="Arial" w:cs="Arial"/>
          <w:sz w:val="16"/>
          <w:szCs w:val="16"/>
        </w:rPr>
        <w:t>Maximální reakční doba na dotazy, podněty a stížnosti odběratel</w:t>
      </w:r>
      <w:r>
        <w:rPr>
          <w:rFonts w:ascii="Arial" w:hAnsi="Arial" w:cs="Arial"/>
          <w:sz w:val="16"/>
          <w:szCs w:val="16"/>
        </w:rPr>
        <w:t>e</w:t>
      </w:r>
      <w:r w:rsidRPr="00D03E71">
        <w:rPr>
          <w:rFonts w:ascii="Arial" w:hAnsi="Arial" w:cs="Arial"/>
          <w:sz w:val="16"/>
          <w:szCs w:val="16"/>
        </w:rPr>
        <w:t xml:space="preserve"> v průběhu plnění předmětu </w:t>
      </w:r>
      <w:r>
        <w:rPr>
          <w:rFonts w:ascii="Arial" w:hAnsi="Arial" w:cs="Arial"/>
          <w:sz w:val="16"/>
          <w:szCs w:val="16"/>
        </w:rPr>
        <w:t>smlouvy</w:t>
      </w:r>
      <w:r w:rsidRPr="00D03E71">
        <w:rPr>
          <w:rFonts w:ascii="Arial" w:hAnsi="Arial" w:cs="Arial"/>
          <w:sz w:val="16"/>
          <w:szCs w:val="16"/>
        </w:rPr>
        <w:t>, činí 5 pracovních dnů. V případě překročení reakční lhůty, se dodavatel zavazuje zaplatit odběrateli smluvní pokutu ve výši 200,- Kč za každý započatý den prodlení.</w:t>
      </w:r>
    </w:p>
    <w:p w:rsidR="00C3181E" w:rsidRPr="005D42B3" w:rsidRDefault="00C3181E" w:rsidP="005C28D0">
      <w:pPr>
        <w:pStyle w:val="Odstavecseseznamem"/>
        <w:ind w:left="1146"/>
        <w:jc w:val="both"/>
        <w:rPr>
          <w:rFonts w:ascii="Arial" w:hAnsi="Arial" w:cs="Arial"/>
          <w:sz w:val="16"/>
          <w:szCs w:val="16"/>
        </w:rPr>
      </w:pP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Doba trvání smlouvy</w:t>
      </w:r>
    </w:p>
    <w:p w:rsidR="0059194D" w:rsidRPr="00826DAD" w:rsidRDefault="0059194D" w:rsidP="00826DAD">
      <w:pPr>
        <w:pStyle w:val="Odstavecseseznamem"/>
        <w:numPr>
          <w:ilvl w:val="0"/>
          <w:numId w:val="7"/>
        </w:numPr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 xml:space="preserve">Smlouva nabývá účinnosti dnem </w:t>
      </w:r>
      <w:r w:rsidR="00A522DB">
        <w:rPr>
          <w:rFonts w:ascii="Arial" w:hAnsi="Arial" w:cs="Arial"/>
          <w:b/>
          <w:sz w:val="16"/>
          <w:szCs w:val="16"/>
        </w:rPr>
        <w:t>1.9</w:t>
      </w:r>
      <w:r w:rsidRPr="00826DAD">
        <w:rPr>
          <w:rFonts w:ascii="Arial" w:hAnsi="Arial" w:cs="Arial"/>
          <w:b/>
          <w:sz w:val="16"/>
          <w:szCs w:val="16"/>
        </w:rPr>
        <w:t>.201</w:t>
      </w:r>
      <w:r w:rsidR="00A522DB">
        <w:rPr>
          <w:rFonts w:ascii="Arial" w:hAnsi="Arial" w:cs="Arial"/>
          <w:b/>
          <w:sz w:val="16"/>
          <w:szCs w:val="16"/>
        </w:rPr>
        <w:t>7</w:t>
      </w:r>
      <w:r w:rsidRPr="00826DAD">
        <w:rPr>
          <w:rFonts w:ascii="Arial" w:hAnsi="Arial" w:cs="Arial"/>
          <w:b/>
          <w:sz w:val="16"/>
          <w:szCs w:val="16"/>
        </w:rPr>
        <w:t xml:space="preserve"> 6:00 </w:t>
      </w:r>
      <w:r w:rsidRPr="00826DAD">
        <w:rPr>
          <w:rFonts w:ascii="Arial" w:hAnsi="Arial" w:cs="Arial"/>
          <w:sz w:val="16"/>
          <w:szCs w:val="16"/>
        </w:rPr>
        <w:t xml:space="preserve">hod a sjednává se na dobu určitou do </w:t>
      </w:r>
      <w:r w:rsidR="00A522DB">
        <w:rPr>
          <w:rFonts w:ascii="Arial" w:hAnsi="Arial" w:cs="Arial"/>
          <w:b/>
          <w:sz w:val="16"/>
          <w:szCs w:val="16"/>
        </w:rPr>
        <w:t>1.1</w:t>
      </w:r>
      <w:r w:rsidRPr="00826DAD">
        <w:rPr>
          <w:rFonts w:ascii="Arial" w:hAnsi="Arial" w:cs="Arial"/>
          <w:b/>
          <w:sz w:val="16"/>
          <w:szCs w:val="16"/>
        </w:rPr>
        <w:t>.201</w:t>
      </w:r>
      <w:r w:rsidR="00A522DB">
        <w:rPr>
          <w:rFonts w:ascii="Arial" w:hAnsi="Arial" w:cs="Arial"/>
          <w:b/>
          <w:sz w:val="16"/>
          <w:szCs w:val="16"/>
        </w:rPr>
        <w:t>8</w:t>
      </w:r>
      <w:r w:rsidRPr="00826DAD">
        <w:rPr>
          <w:rFonts w:ascii="Arial" w:hAnsi="Arial" w:cs="Arial"/>
          <w:b/>
          <w:sz w:val="16"/>
          <w:szCs w:val="16"/>
        </w:rPr>
        <w:t xml:space="preserve"> </w:t>
      </w:r>
      <w:r w:rsidR="00725EED" w:rsidRPr="00826DAD">
        <w:rPr>
          <w:rFonts w:ascii="Arial" w:hAnsi="Arial" w:cs="Arial"/>
          <w:b/>
          <w:sz w:val="16"/>
          <w:szCs w:val="16"/>
        </w:rPr>
        <w:t>6:00</w:t>
      </w:r>
      <w:r w:rsidRPr="00826DAD">
        <w:rPr>
          <w:rFonts w:ascii="Arial" w:hAnsi="Arial" w:cs="Arial"/>
          <w:sz w:val="16"/>
          <w:szCs w:val="16"/>
        </w:rPr>
        <w:t xml:space="preserve"> hod</w:t>
      </w:r>
      <w:r w:rsidR="00D25643" w:rsidRPr="00826DAD">
        <w:rPr>
          <w:rFonts w:ascii="Arial" w:hAnsi="Arial" w:cs="Arial"/>
          <w:sz w:val="16"/>
          <w:szCs w:val="16"/>
        </w:rPr>
        <w:t>, bez možnosti automatického prodlužování</w:t>
      </w:r>
      <w:r w:rsidRPr="00826DAD">
        <w:rPr>
          <w:rFonts w:ascii="Arial" w:hAnsi="Arial" w:cs="Arial"/>
          <w:sz w:val="16"/>
          <w:szCs w:val="16"/>
        </w:rPr>
        <w:t>.</w:t>
      </w:r>
    </w:p>
    <w:p w:rsidR="0059194D" w:rsidRPr="00826DAD" w:rsidRDefault="0059194D" w:rsidP="00826DAD">
      <w:pPr>
        <w:pStyle w:val="Odstavecseseznamem"/>
        <w:numPr>
          <w:ilvl w:val="0"/>
          <w:numId w:val="7"/>
        </w:numPr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Požadovaný termín zahájení dodávky je pro každé místo uvedeno v Příloze č.</w:t>
      </w:r>
      <w:r w:rsidR="00C3181E" w:rsidRPr="00826DAD">
        <w:rPr>
          <w:rFonts w:ascii="Arial" w:hAnsi="Arial" w:cs="Arial"/>
          <w:sz w:val="16"/>
          <w:szCs w:val="16"/>
        </w:rPr>
        <w:t xml:space="preserve"> </w:t>
      </w:r>
      <w:r w:rsidRPr="00826DAD">
        <w:rPr>
          <w:rFonts w:ascii="Arial" w:hAnsi="Arial" w:cs="Arial"/>
          <w:sz w:val="16"/>
          <w:szCs w:val="16"/>
        </w:rPr>
        <w:t>1. Specifikace odběrných míst.</w:t>
      </w:r>
    </w:p>
    <w:p w:rsidR="00C3181E" w:rsidRPr="005D42B3" w:rsidRDefault="00C3181E" w:rsidP="00C3181E">
      <w:pPr>
        <w:spacing w:after="0"/>
        <w:ind w:left="426"/>
        <w:jc w:val="both"/>
        <w:rPr>
          <w:rFonts w:ascii="Arial" w:hAnsi="Arial" w:cs="Arial"/>
          <w:sz w:val="16"/>
          <w:szCs w:val="16"/>
        </w:rPr>
      </w:pPr>
    </w:p>
    <w:p w:rsidR="0059194D" w:rsidRPr="005D42B3" w:rsidRDefault="0059194D" w:rsidP="00C3181E">
      <w:pPr>
        <w:pStyle w:val="Odstavecseseznamem"/>
        <w:numPr>
          <w:ilvl w:val="0"/>
          <w:numId w:val="1"/>
        </w:numPr>
        <w:ind w:left="426" w:hanging="284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D42B3">
        <w:rPr>
          <w:rFonts w:ascii="Arial" w:hAnsi="Arial" w:cs="Arial"/>
          <w:b/>
          <w:sz w:val="16"/>
          <w:szCs w:val="16"/>
          <w:u w:val="single"/>
        </w:rPr>
        <w:t>Zvláštní ujednání</w:t>
      </w:r>
    </w:p>
    <w:p w:rsidR="0059194D" w:rsidRPr="00826DAD" w:rsidRDefault="0059194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Odběrné místo bude zařazeno do odběrného pásma pro stanovení ceny za odebraný plyn na základě předpokládané roční spotřeby uvedené v</w:t>
      </w:r>
      <w:r w:rsidR="0082633D" w:rsidRPr="00826DAD">
        <w:rPr>
          <w:rFonts w:ascii="Arial" w:hAnsi="Arial" w:cs="Arial"/>
          <w:sz w:val="16"/>
          <w:szCs w:val="16"/>
        </w:rPr>
        <w:t> </w:t>
      </w:r>
      <w:r w:rsidRPr="00826DAD">
        <w:rPr>
          <w:rFonts w:ascii="Arial" w:hAnsi="Arial" w:cs="Arial"/>
          <w:sz w:val="16"/>
          <w:szCs w:val="16"/>
        </w:rPr>
        <w:t>Příloze č. 1 této smlouvy.</w:t>
      </w:r>
    </w:p>
    <w:p w:rsidR="0059194D" w:rsidRPr="00826DAD" w:rsidRDefault="0059194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V případech zrušení odběrného místa, zejména z důvodu převodu vlastnických práv k odběrnému místu, odstranění odběrného místa, demolice, zničení živelnou pohromou, je Zákazník oprávněn ukončit smluvní vztah s dodavatelem k danému odběrnému místu nejpozději do 30 dnů ode dne oznámení dodavateli o zrušení odběrného místa, a to bez nároku na finanční kompenzaci ze strany dodavatele.</w:t>
      </w:r>
    </w:p>
    <w:p w:rsidR="0059194D" w:rsidRPr="00826DAD" w:rsidRDefault="0059194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Z důvodu provozních potřeb se může v průběhu smluvního období počet měřících nebo odběrných míst Zákazníka změnit, a to jak zrušením stávajících, tak zřízením nových odběrných míst. Dodavatel bude i pro tyto případy garantovat nabídnuté jednotkové ceny a neprodleně po oznámení o zřízení nového odběrného místa zahájí dodávku za podmínek sjednaných v rámci předmětné veřejné zakázky.</w:t>
      </w:r>
    </w:p>
    <w:p w:rsidR="0059194D" w:rsidRPr="00826DAD" w:rsidRDefault="0059194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Dodavatel si nebude nárokovat jakékoli sankce za překročení či neodebrání předpokládaného množství odběru zemního plynu. Sankcí se rozumí rovněž navýšení smluvní ceny sjednané v dodavatelské smlouvě na základě výsledku elektronické aukce.</w:t>
      </w:r>
    </w:p>
    <w:p w:rsidR="0059194D" w:rsidRPr="00200598" w:rsidRDefault="0059194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trike/>
          <w:sz w:val="16"/>
          <w:szCs w:val="16"/>
        </w:rPr>
      </w:pPr>
      <w:bookmarkStart w:id="0" w:name="_GoBack"/>
      <w:r w:rsidRPr="00200598">
        <w:rPr>
          <w:rFonts w:ascii="Arial" w:hAnsi="Arial" w:cs="Arial"/>
          <w:strike/>
          <w:sz w:val="16"/>
          <w:szCs w:val="16"/>
        </w:rPr>
        <w:t xml:space="preserve">Doložka platnosti právního </w:t>
      </w:r>
      <w:r w:rsidR="000977E6" w:rsidRPr="00200598">
        <w:rPr>
          <w:rFonts w:ascii="Arial" w:hAnsi="Arial" w:cs="Arial"/>
          <w:strike/>
          <w:sz w:val="16"/>
          <w:szCs w:val="16"/>
        </w:rPr>
        <w:t>jednání</w:t>
      </w:r>
      <w:r w:rsidRPr="00200598">
        <w:rPr>
          <w:rFonts w:ascii="Arial" w:hAnsi="Arial" w:cs="Arial"/>
          <w:strike/>
          <w:sz w:val="16"/>
          <w:szCs w:val="16"/>
        </w:rPr>
        <w:t xml:space="preserve"> dle § 41 zákona č. 128/2000 Sb., o obcích (obecní zřízení), ve znění pozdějších předpisů: O uzavření této smlouvy rozhodla </w:t>
      </w:r>
      <w:r w:rsidR="003E771E" w:rsidRPr="00200598">
        <w:rPr>
          <w:rFonts w:ascii="Arial" w:hAnsi="Arial" w:cs="Arial"/>
          <w:strike/>
          <w:sz w:val="16"/>
          <w:szCs w:val="16"/>
        </w:rPr>
        <w:t>R</w:t>
      </w:r>
      <w:r w:rsidRPr="00200598">
        <w:rPr>
          <w:rFonts w:ascii="Arial" w:hAnsi="Arial" w:cs="Arial"/>
          <w:strike/>
          <w:sz w:val="16"/>
          <w:szCs w:val="16"/>
        </w:rPr>
        <w:t>ada města</w:t>
      </w:r>
      <w:r w:rsidR="00844609" w:rsidRPr="00200598">
        <w:rPr>
          <w:rFonts w:ascii="Arial" w:hAnsi="Arial" w:cs="Arial"/>
          <w:strike/>
          <w:sz w:val="16"/>
          <w:szCs w:val="16"/>
        </w:rPr>
        <w:t xml:space="preserve"> Ostravy</w:t>
      </w:r>
      <w:r w:rsidRPr="00200598">
        <w:rPr>
          <w:rFonts w:ascii="Arial" w:hAnsi="Arial" w:cs="Arial"/>
          <w:strike/>
          <w:sz w:val="16"/>
          <w:szCs w:val="16"/>
        </w:rPr>
        <w:t xml:space="preserve"> svým usnesením č</w:t>
      </w:r>
      <w:r w:rsidR="00D64534" w:rsidRPr="00200598">
        <w:rPr>
          <w:rFonts w:ascii="Arial" w:hAnsi="Arial" w:cs="Arial"/>
          <w:strike/>
          <w:sz w:val="16"/>
          <w:szCs w:val="16"/>
          <w:highlight w:val="lightGray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82633D" w:rsidRPr="00200598">
        <w:rPr>
          <w:rFonts w:ascii="Arial" w:hAnsi="Arial" w:cs="Arial"/>
          <w:strike/>
          <w:sz w:val="16"/>
          <w:szCs w:val="16"/>
          <w:highlight w:val="lightGray"/>
        </w:rPr>
        <w:instrText xml:space="preserve"> FORMTEXT </w:instrText>
      </w:r>
      <w:r w:rsidR="00D64534" w:rsidRPr="00200598">
        <w:rPr>
          <w:rFonts w:ascii="Arial" w:hAnsi="Arial" w:cs="Arial"/>
          <w:strike/>
          <w:sz w:val="16"/>
          <w:szCs w:val="16"/>
          <w:highlight w:val="lightGray"/>
        </w:rPr>
      </w:r>
      <w:r w:rsidR="00D64534" w:rsidRPr="00200598">
        <w:rPr>
          <w:rFonts w:ascii="Arial" w:hAnsi="Arial" w:cs="Arial"/>
          <w:strike/>
          <w:sz w:val="16"/>
          <w:szCs w:val="16"/>
          <w:highlight w:val="lightGray"/>
        </w:rPr>
        <w:fldChar w:fldCharType="separate"/>
      </w:r>
      <w:r w:rsidR="0082633D" w:rsidRPr="00200598">
        <w:rPr>
          <w:strike/>
          <w:noProof/>
          <w:highlight w:val="lightGray"/>
        </w:rPr>
        <w:t> </w:t>
      </w:r>
      <w:r w:rsidR="0082633D" w:rsidRPr="00200598">
        <w:rPr>
          <w:strike/>
          <w:noProof/>
          <w:highlight w:val="lightGray"/>
        </w:rPr>
        <w:t> </w:t>
      </w:r>
      <w:r w:rsidR="0082633D" w:rsidRPr="00200598">
        <w:rPr>
          <w:strike/>
          <w:noProof/>
          <w:highlight w:val="lightGray"/>
        </w:rPr>
        <w:t> </w:t>
      </w:r>
      <w:r w:rsidR="0082633D" w:rsidRPr="00200598">
        <w:rPr>
          <w:strike/>
          <w:noProof/>
          <w:highlight w:val="lightGray"/>
        </w:rPr>
        <w:t> </w:t>
      </w:r>
      <w:r w:rsidR="0082633D" w:rsidRPr="00200598">
        <w:rPr>
          <w:strike/>
          <w:noProof/>
          <w:highlight w:val="lightGray"/>
        </w:rPr>
        <w:t> </w:t>
      </w:r>
      <w:r w:rsidR="00D64534" w:rsidRPr="00200598">
        <w:rPr>
          <w:rFonts w:ascii="Arial" w:hAnsi="Arial" w:cs="Arial"/>
          <w:strike/>
          <w:sz w:val="16"/>
          <w:szCs w:val="16"/>
          <w:highlight w:val="lightGray"/>
        </w:rPr>
        <w:fldChar w:fldCharType="end"/>
      </w:r>
      <w:bookmarkEnd w:id="1"/>
      <w:r w:rsidRPr="00200598">
        <w:rPr>
          <w:rFonts w:ascii="Arial" w:hAnsi="Arial" w:cs="Arial"/>
          <w:strike/>
          <w:sz w:val="16"/>
          <w:szCs w:val="16"/>
        </w:rPr>
        <w:t xml:space="preserve"> z</w:t>
      </w:r>
      <w:r w:rsidR="0082633D" w:rsidRPr="00200598">
        <w:rPr>
          <w:rFonts w:ascii="Arial" w:hAnsi="Arial" w:cs="Arial"/>
          <w:strike/>
          <w:sz w:val="16"/>
          <w:szCs w:val="16"/>
        </w:rPr>
        <w:t> </w:t>
      </w:r>
      <w:r w:rsidRPr="00200598">
        <w:rPr>
          <w:rFonts w:ascii="Arial" w:hAnsi="Arial" w:cs="Arial"/>
          <w:strike/>
          <w:sz w:val="16"/>
          <w:szCs w:val="16"/>
        </w:rPr>
        <w:t>dne</w:t>
      </w:r>
      <w:r w:rsidR="0082633D" w:rsidRPr="00200598">
        <w:rPr>
          <w:rFonts w:ascii="Arial" w:hAnsi="Arial" w:cs="Arial"/>
          <w:strike/>
          <w:sz w:val="16"/>
          <w:szCs w:val="16"/>
        </w:rPr>
        <w:t xml:space="preserve"> </w:t>
      </w:r>
      <w:r w:rsidR="00D64534" w:rsidRPr="00200598">
        <w:rPr>
          <w:rFonts w:ascii="Arial" w:hAnsi="Arial" w:cs="Arial"/>
          <w:strike/>
          <w:sz w:val="16"/>
          <w:szCs w:val="16"/>
          <w:highlight w:val="lightGray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82633D" w:rsidRPr="00200598">
        <w:rPr>
          <w:rFonts w:ascii="Arial" w:hAnsi="Arial" w:cs="Arial"/>
          <w:strike/>
          <w:sz w:val="16"/>
          <w:szCs w:val="16"/>
          <w:highlight w:val="lightGray"/>
        </w:rPr>
        <w:instrText xml:space="preserve"> FORMTEXT </w:instrText>
      </w:r>
      <w:r w:rsidR="00D64534" w:rsidRPr="00200598">
        <w:rPr>
          <w:rFonts w:ascii="Arial" w:hAnsi="Arial" w:cs="Arial"/>
          <w:strike/>
          <w:sz w:val="16"/>
          <w:szCs w:val="16"/>
          <w:highlight w:val="lightGray"/>
        </w:rPr>
      </w:r>
      <w:r w:rsidR="00D64534" w:rsidRPr="00200598">
        <w:rPr>
          <w:rFonts w:ascii="Arial" w:hAnsi="Arial" w:cs="Arial"/>
          <w:strike/>
          <w:sz w:val="16"/>
          <w:szCs w:val="16"/>
          <w:highlight w:val="lightGray"/>
        </w:rPr>
        <w:fldChar w:fldCharType="separate"/>
      </w:r>
      <w:r w:rsidR="0082633D" w:rsidRPr="00200598">
        <w:rPr>
          <w:strike/>
          <w:noProof/>
          <w:highlight w:val="lightGray"/>
        </w:rPr>
        <w:t> </w:t>
      </w:r>
      <w:r w:rsidR="0082633D" w:rsidRPr="00200598">
        <w:rPr>
          <w:strike/>
          <w:noProof/>
          <w:highlight w:val="lightGray"/>
        </w:rPr>
        <w:t> </w:t>
      </w:r>
      <w:r w:rsidR="0082633D" w:rsidRPr="00200598">
        <w:rPr>
          <w:strike/>
          <w:noProof/>
          <w:highlight w:val="lightGray"/>
        </w:rPr>
        <w:t> </w:t>
      </w:r>
      <w:r w:rsidR="0082633D" w:rsidRPr="00200598">
        <w:rPr>
          <w:strike/>
          <w:noProof/>
          <w:highlight w:val="lightGray"/>
        </w:rPr>
        <w:t> </w:t>
      </w:r>
      <w:r w:rsidR="0082633D" w:rsidRPr="00200598">
        <w:rPr>
          <w:strike/>
          <w:noProof/>
          <w:highlight w:val="lightGray"/>
        </w:rPr>
        <w:t> </w:t>
      </w:r>
      <w:r w:rsidR="00D64534" w:rsidRPr="00200598">
        <w:rPr>
          <w:rFonts w:ascii="Arial" w:hAnsi="Arial" w:cs="Arial"/>
          <w:strike/>
          <w:sz w:val="16"/>
          <w:szCs w:val="16"/>
          <w:highlight w:val="lightGray"/>
        </w:rPr>
        <w:fldChar w:fldCharType="end"/>
      </w:r>
      <w:bookmarkEnd w:id="2"/>
      <w:r w:rsidRPr="00200598">
        <w:rPr>
          <w:rFonts w:ascii="Arial" w:hAnsi="Arial" w:cs="Arial"/>
          <w:strike/>
          <w:sz w:val="16"/>
          <w:szCs w:val="16"/>
        </w:rPr>
        <w:t>.</w:t>
      </w:r>
    </w:p>
    <w:bookmarkEnd w:id="0"/>
    <w:p w:rsidR="0059194D" w:rsidRPr="00826DAD" w:rsidRDefault="0059194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Každá smluvní strana je oprávněna od Smlouvy odstoupit v případě hrubého porušení Smlouvy druhou stranou, a v případě jiného než hrubého porušení tehdy, pokud takové porušení nebylo odstraněno nebo se opakuje i přes písemnou výzvu porušující straně k odstranění závadného stavu. Odstoupení vyžaduje písemnou formu a je účinné ode dne uvedeného v odstoupení, ne však dříve než v den doručení druhé smluvní straně.</w:t>
      </w:r>
    </w:p>
    <w:p w:rsidR="005254E0" w:rsidRPr="00826DAD" w:rsidRDefault="005254E0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Dodavatel poskytne po ukončení období plnění dle této smlouvy na základě požadavku odběratele soubor dat v elektronické podobě, obsahující kompletní údaje o realizované dodávce zemního plynu v rozsahu fakturačních dokladů za celé období dodávky dle této smlouvy.</w:t>
      </w:r>
    </w:p>
    <w:p w:rsidR="005254E0" w:rsidRPr="00826DAD" w:rsidRDefault="005254E0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Dodavatel není oprávněn nárokovat jakékoli sankce, poplatky či plnění ze strany odběratele za překročení či neodebrání předpokládaného množství odběru zemního plynu.</w:t>
      </w:r>
      <w:r w:rsidRPr="00826DAD">
        <w:rPr>
          <w:rFonts w:ascii="Arial" w:hAnsi="Arial" w:cs="Arial"/>
          <w:b/>
          <w:sz w:val="16"/>
          <w:szCs w:val="16"/>
        </w:rPr>
        <w:t xml:space="preserve"> </w:t>
      </w:r>
    </w:p>
    <w:p w:rsidR="00F309C5" w:rsidRPr="00826DAD" w:rsidRDefault="00F309C5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 xml:space="preserve">Dodavatel se zavazuje jménem a na účet zadavatele učinit veškeré potřebné právní kroky vedoucí k ukončení všech stávajících smluvních vztahů týkajících se </w:t>
      </w:r>
      <w:r w:rsidR="006D12B2">
        <w:rPr>
          <w:rFonts w:ascii="Arial" w:hAnsi="Arial" w:cs="Arial"/>
          <w:sz w:val="16"/>
          <w:szCs w:val="16"/>
        </w:rPr>
        <w:t xml:space="preserve">sdružených služeb </w:t>
      </w:r>
      <w:r w:rsidRPr="00826DAD">
        <w:rPr>
          <w:rFonts w:ascii="Arial" w:hAnsi="Arial" w:cs="Arial"/>
          <w:sz w:val="16"/>
          <w:szCs w:val="16"/>
        </w:rPr>
        <w:t xml:space="preserve">dodávek zemního plynu do odběrných míst, a to tak, aby odběr zemního plynu od stávajícího dodavatele skončil dne </w:t>
      </w:r>
      <w:r w:rsidRPr="00826DAD">
        <w:rPr>
          <w:rFonts w:ascii="Arial" w:hAnsi="Arial" w:cs="Arial"/>
          <w:b/>
          <w:sz w:val="16"/>
          <w:szCs w:val="16"/>
        </w:rPr>
        <w:t>1.</w:t>
      </w:r>
      <w:r w:rsidR="0082633D" w:rsidRPr="00826DAD">
        <w:rPr>
          <w:rFonts w:ascii="Arial" w:hAnsi="Arial" w:cs="Arial"/>
          <w:b/>
          <w:sz w:val="16"/>
          <w:szCs w:val="16"/>
        </w:rPr>
        <w:t> </w:t>
      </w:r>
      <w:r w:rsidR="00A522DB">
        <w:rPr>
          <w:rFonts w:ascii="Arial" w:hAnsi="Arial" w:cs="Arial"/>
          <w:b/>
          <w:sz w:val="16"/>
          <w:szCs w:val="16"/>
        </w:rPr>
        <w:t>9</w:t>
      </w:r>
      <w:r w:rsidRPr="00826DAD">
        <w:rPr>
          <w:rFonts w:ascii="Arial" w:hAnsi="Arial" w:cs="Arial"/>
          <w:b/>
          <w:sz w:val="16"/>
          <w:szCs w:val="16"/>
        </w:rPr>
        <w:t>.</w:t>
      </w:r>
      <w:r w:rsidR="0082633D" w:rsidRPr="00826DAD">
        <w:rPr>
          <w:rFonts w:ascii="Arial" w:hAnsi="Arial" w:cs="Arial"/>
          <w:b/>
          <w:sz w:val="16"/>
          <w:szCs w:val="16"/>
        </w:rPr>
        <w:t> </w:t>
      </w:r>
      <w:r w:rsidRPr="00826DAD">
        <w:rPr>
          <w:rFonts w:ascii="Arial" w:hAnsi="Arial" w:cs="Arial"/>
          <w:b/>
          <w:sz w:val="16"/>
          <w:szCs w:val="16"/>
        </w:rPr>
        <w:t>201</w:t>
      </w:r>
      <w:r w:rsidR="00A522DB">
        <w:rPr>
          <w:rFonts w:ascii="Arial" w:hAnsi="Arial" w:cs="Arial"/>
          <w:b/>
          <w:sz w:val="16"/>
          <w:szCs w:val="16"/>
        </w:rPr>
        <w:t>7</w:t>
      </w:r>
      <w:r w:rsidRPr="00826DAD">
        <w:rPr>
          <w:rFonts w:ascii="Arial" w:hAnsi="Arial" w:cs="Arial"/>
          <w:b/>
          <w:sz w:val="16"/>
          <w:szCs w:val="16"/>
        </w:rPr>
        <w:t xml:space="preserve"> do 6:00 hod.</w:t>
      </w:r>
      <w:r w:rsidRPr="00826DAD">
        <w:rPr>
          <w:rFonts w:ascii="Arial" w:hAnsi="Arial" w:cs="Arial"/>
          <w:sz w:val="16"/>
          <w:szCs w:val="16"/>
        </w:rPr>
        <w:t xml:space="preserve"> Podmínkou splnění povinnosti uvedené v tomto ustanovení bude vystavení písemného zplnomocnění ze strany </w:t>
      </w:r>
      <w:r w:rsidR="00956135">
        <w:rPr>
          <w:rFonts w:ascii="Arial" w:hAnsi="Arial" w:cs="Arial"/>
          <w:sz w:val="16"/>
          <w:szCs w:val="16"/>
        </w:rPr>
        <w:t>dodavatele</w:t>
      </w:r>
      <w:r w:rsidRPr="00826DAD">
        <w:rPr>
          <w:rFonts w:ascii="Arial" w:hAnsi="Arial" w:cs="Arial"/>
          <w:sz w:val="16"/>
          <w:szCs w:val="16"/>
        </w:rPr>
        <w:t>, a to neprodleně po podpisu této dodavatelské smlouvy.</w:t>
      </w:r>
    </w:p>
    <w:p w:rsidR="00826DAD" w:rsidRDefault="00826DAD" w:rsidP="00826DAD">
      <w:pPr>
        <w:pStyle w:val="Odstavecseseznamem"/>
        <w:numPr>
          <w:ilvl w:val="0"/>
          <w:numId w:val="8"/>
        </w:numPr>
        <w:spacing w:after="120"/>
        <w:ind w:left="284"/>
        <w:jc w:val="both"/>
        <w:rPr>
          <w:rFonts w:ascii="Arial" w:hAnsi="Arial" w:cs="Arial"/>
          <w:sz w:val="16"/>
          <w:szCs w:val="16"/>
        </w:rPr>
      </w:pPr>
      <w:r w:rsidRPr="00826DAD">
        <w:rPr>
          <w:rFonts w:ascii="Arial" w:hAnsi="Arial" w:cs="Arial"/>
          <w:sz w:val="16"/>
          <w:szCs w:val="16"/>
        </w:rPr>
        <w:t>Dodavatel bere na vědomí, že zákazník podléhá režimu zákona č. 106/1999 Sb., o svobodném přístupu k informacím v platném znění, a že je oprávněn obsah smlouvy a případných dodatků zveřejnit na svých internetových stránkách/profilu zadavatele.</w:t>
      </w:r>
    </w:p>
    <w:p w:rsidR="000977E6" w:rsidRPr="00826DAD" w:rsidRDefault="000977E6" w:rsidP="000977E6">
      <w:pPr>
        <w:pStyle w:val="Odstavecseseznamem"/>
        <w:numPr>
          <w:ilvl w:val="0"/>
          <w:numId w:val="8"/>
        </w:numPr>
        <w:spacing w:after="120"/>
        <w:ind w:left="284" w:hanging="284"/>
        <w:jc w:val="both"/>
        <w:rPr>
          <w:rFonts w:ascii="Arial" w:hAnsi="Arial" w:cs="Arial"/>
          <w:sz w:val="16"/>
          <w:szCs w:val="16"/>
        </w:rPr>
      </w:pPr>
      <w:r w:rsidRPr="000977E6">
        <w:rPr>
          <w:rFonts w:ascii="Arial" w:hAnsi="Arial" w:cs="Arial"/>
          <w:sz w:val="16"/>
          <w:szCs w:val="16"/>
        </w:rPr>
        <w:t>Smluvní strany souhlasí, že tato smlouva, vč. příloh a dodatků, bude v plném rozsahu zveřejněna na internetových stránkách statutárního města Ostravy (www.ostrava.cz) a to po dobu časově neomezenou.</w:t>
      </w:r>
    </w:p>
    <w:p w:rsidR="00887B9B" w:rsidRPr="005D42B3" w:rsidRDefault="00887B9B" w:rsidP="00887B9B">
      <w:pPr>
        <w:spacing w:after="0"/>
        <w:ind w:left="426"/>
        <w:jc w:val="both"/>
        <w:rPr>
          <w:rFonts w:ascii="Arial" w:hAnsi="Arial" w:cs="Arial"/>
          <w:sz w:val="16"/>
          <w:szCs w:val="16"/>
        </w:rPr>
      </w:pPr>
    </w:p>
    <w:p w:rsidR="00887B9B" w:rsidRPr="005D42B3" w:rsidRDefault="0059194D" w:rsidP="00F35F9A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Nedílnými součástmi této Smlouvy jsou</w:t>
      </w:r>
      <w:r w:rsidR="00887B9B" w:rsidRPr="005D42B3">
        <w:rPr>
          <w:rFonts w:ascii="Arial" w:hAnsi="Arial" w:cs="Arial"/>
          <w:sz w:val="16"/>
          <w:szCs w:val="16"/>
        </w:rPr>
        <w:t>:</w:t>
      </w:r>
    </w:p>
    <w:p w:rsidR="00A522DB" w:rsidRPr="005D42B3" w:rsidRDefault="00A522DB" w:rsidP="00A522DB">
      <w:pPr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 xml:space="preserve">Příloha č. 1: Odběrná místa zákazníka </w:t>
      </w:r>
    </w:p>
    <w:p w:rsidR="00A522DB" w:rsidRPr="005D42B3" w:rsidRDefault="00A522DB" w:rsidP="00A522DB">
      <w:pPr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5D42B3">
        <w:rPr>
          <w:rFonts w:ascii="Arial" w:hAnsi="Arial" w:cs="Arial"/>
          <w:sz w:val="16"/>
          <w:szCs w:val="16"/>
        </w:rPr>
        <w:t>Příloha č. 2: Všeobecné obchodní podmínky</w:t>
      </w:r>
    </w:p>
    <w:p w:rsidR="00A522DB" w:rsidRPr="005D42B3" w:rsidRDefault="00A522DB" w:rsidP="00A522DB">
      <w:pPr>
        <w:spacing w:after="0"/>
        <w:ind w:left="426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9"/>
        <w:gridCol w:w="1689"/>
        <w:gridCol w:w="3518"/>
      </w:tblGrid>
      <w:tr w:rsidR="00A522DB" w:rsidRPr="005D42B3" w:rsidTr="003148F4">
        <w:trPr>
          <w:trHeight w:val="91"/>
        </w:trPr>
        <w:tc>
          <w:tcPr>
            <w:tcW w:w="3519" w:type="dxa"/>
          </w:tcPr>
          <w:p w:rsidR="00A522DB" w:rsidRPr="005D42B3" w:rsidRDefault="00A522DB" w:rsidP="00D03FBA">
            <w:pPr>
              <w:spacing w:after="120" w:line="240" w:lineRule="auto"/>
              <w:ind w:left="72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Ostravě,</w:t>
            </w: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dne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="00D03F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28.8.2017</w:t>
            </w:r>
            <w:proofErr w:type="gramEnd"/>
          </w:p>
        </w:tc>
        <w:tc>
          <w:tcPr>
            <w:tcW w:w="1689" w:type="dxa"/>
          </w:tcPr>
          <w:p w:rsidR="00A522DB" w:rsidRPr="005D42B3" w:rsidRDefault="00A522DB" w:rsidP="003148F4">
            <w:pPr>
              <w:spacing w:after="12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18" w:type="dxa"/>
          </w:tcPr>
          <w:p w:rsidR="00A522DB" w:rsidRPr="005D42B3" w:rsidRDefault="00A522DB" w:rsidP="003148F4">
            <w:pPr>
              <w:spacing w:after="12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 Ostravě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dne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D6453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instrText xml:space="preserve"> FORMTEXT </w:instrText>
            </w:r>
            <w:r w:rsidR="00D6453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r>
            <w:r w:rsidR="00D6453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 </w:t>
            </w:r>
            <w:r w:rsidR="00D6453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fldChar w:fldCharType="end"/>
            </w:r>
            <w:bookmarkEnd w:id="3"/>
          </w:p>
        </w:tc>
      </w:tr>
      <w:tr w:rsidR="00A522DB" w:rsidRPr="005D42B3" w:rsidTr="003148F4">
        <w:trPr>
          <w:trHeight w:hRule="exact" w:val="547"/>
        </w:trPr>
        <w:tc>
          <w:tcPr>
            <w:tcW w:w="3519" w:type="dxa"/>
            <w:tcBorders>
              <w:bottom w:val="dotted" w:sz="4" w:space="0" w:color="auto"/>
            </w:tcBorders>
            <w:vAlign w:val="center"/>
          </w:tcPr>
          <w:p w:rsidR="00A522DB" w:rsidRPr="005D42B3" w:rsidRDefault="00A522DB" w:rsidP="003148F4">
            <w:pPr>
              <w:spacing w:after="120" w:line="240" w:lineRule="auto"/>
              <w:ind w:left="72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89" w:type="dxa"/>
            <w:vAlign w:val="center"/>
          </w:tcPr>
          <w:p w:rsidR="00A522DB" w:rsidRPr="005D42B3" w:rsidRDefault="00A522DB" w:rsidP="003148F4">
            <w:pPr>
              <w:spacing w:after="12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18" w:type="dxa"/>
            <w:tcBorders>
              <w:bottom w:val="dotted" w:sz="4" w:space="0" w:color="auto"/>
            </w:tcBorders>
            <w:vAlign w:val="center"/>
          </w:tcPr>
          <w:p w:rsidR="00A522DB" w:rsidRPr="005D42B3" w:rsidRDefault="00A522DB" w:rsidP="003148F4">
            <w:pPr>
              <w:spacing w:after="12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522DB" w:rsidRPr="005D42B3" w:rsidTr="003148F4">
        <w:trPr>
          <w:trHeight w:val="271"/>
        </w:trPr>
        <w:tc>
          <w:tcPr>
            <w:tcW w:w="3519" w:type="dxa"/>
            <w:tcBorders>
              <w:top w:val="dotted" w:sz="4" w:space="0" w:color="auto"/>
            </w:tcBorders>
          </w:tcPr>
          <w:p w:rsidR="00A522DB" w:rsidRPr="005D42B3" w:rsidRDefault="00A522DB" w:rsidP="003148F4">
            <w:pPr>
              <w:spacing w:after="120" w:line="240" w:lineRule="auto"/>
              <w:ind w:left="72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 dodavatele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Ing. Martin Los, statutární ředitel</w:t>
            </w:r>
          </w:p>
        </w:tc>
        <w:tc>
          <w:tcPr>
            <w:tcW w:w="1689" w:type="dxa"/>
            <w:vAlign w:val="center"/>
          </w:tcPr>
          <w:p w:rsidR="00A522DB" w:rsidRPr="005D42B3" w:rsidRDefault="00A522DB" w:rsidP="003148F4">
            <w:pPr>
              <w:spacing w:after="12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18" w:type="dxa"/>
            <w:tcBorders>
              <w:top w:val="dotted" w:sz="4" w:space="0" w:color="auto"/>
            </w:tcBorders>
          </w:tcPr>
          <w:p w:rsidR="00A522DB" w:rsidRPr="005D42B3" w:rsidRDefault="00A522DB" w:rsidP="007C0F5B">
            <w:pPr>
              <w:spacing w:after="120" w:line="240" w:lineRule="auto"/>
              <w:ind w:left="36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D42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 odběratele </w:t>
            </w:r>
            <w:r w:rsidR="00D03F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Ing. Michal Hrotík</w:t>
            </w:r>
          </w:p>
        </w:tc>
      </w:tr>
    </w:tbl>
    <w:p w:rsidR="005824A9" w:rsidRPr="00CA7F2C" w:rsidRDefault="005824A9" w:rsidP="00F35F9A">
      <w:pPr>
        <w:rPr>
          <w:rFonts w:ascii="Arial" w:hAnsi="Arial" w:cs="Arial"/>
          <w:sz w:val="2"/>
          <w:szCs w:val="2"/>
        </w:rPr>
      </w:pPr>
    </w:p>
    <w:sectPr w:rsidR="005824A9" w:rsidRPr="00CA7F2C" w:rsidSect="00887B9B"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B0D" w:rsidRDefault="00020B0D" w:rsidP="00FA4A54">
      <w:pPr>
        <w:spacing w:after="0" w:line="240" w:lineRule="auto"/>
      </w:pPr>
      <w:r>
        <w:separator/>
      </w:r>
    </w:p>
  </w:endnote>
  <w:endnote w:type="continuationSeparator" w:id="0">
    <w:p w:rsidR="00020B0D" w:rsidRDefault="00020B0D" w:rsidP="00FA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A54" w:rsidRPr="00C67390" w:rsidRDefault="00FA4A54" w:rsidP="00FA4A54">
    <w:pPr>
      <w:pStyle w:val="Zpat"/>
      <w:jc w:val="right"/>
      <w:rPr>
        <w:rFonts w:ascii="Arial" w:hAnsi="Arial" w:cs="Arial"/>
        <w:color w:val="A6A6A6"/>
        <w:sz w:val="12"/>
        <w:szCs w:val="16"/>
      </w:rPr>
    </w:pPr>
    <w:r w:rsidRPr="00C67390">
      <w:rPr>
        <w:rFonts w:ascii="Arial" w:hAnsi="Arial" w:cs="Arial"/>
        <w:color w:val="A6A6A6"/>
        <w:sz w:val="12"/>
        <w:szCs w:val="16"/>
      </w:rPr>
      <w:t xml:space="preserve">Strana </w:t>
    </w:r>
    <w:r w:rsidR="00D64534" w:rsidRPr="00C67390">
      <w:rPr>
        <w:rFonts w:ascii="Arial" w:hAnsi="Arial" w:cs="Arial"/>
        <w:color w:val="A6A6A6"/>
        <w:sz w:val="12"/>
        <w:szCs w:val="16"/>
      </w:rPr>
      <w:fldChar w:fldCharType="begin"/>
    </w:r>
    <w:r w:rsidRPr="00C67390">
      <w:rPr>
        <w:rFonts w:ascii="Arial" w:hAnsi="Arial" w:cs="Arial"/>
        <w:color w:val="A6A6A6"/>
        <w:sz w:val="12"/>
        <w:szCs w:val="16"/>
      </w:rPr>
      <w:instrText>PAGE  \* Arabic  \* MERGEFORMAT</w:instrText>
    </w:r>
    <w:r w:rsidR="00D64534" w:rsidRPr="00C67390">
      <w:rPr>
        <w:rFonts w:ascii="Arial" w:hAnsi="Arial" w:cs="Arial"/>
        <w:color w:val="A6A6A6"/>
        <w:sz w:val="12"/>
        <w:szCs w:val="16"/>
      </w:rPr>
      <w:fldChar w:fldCharType="separate"/>
    </w:r>
    <w:r w:rsidR="007C0F5B">
      <w:rPr>
        <w:rFonts w:ascii="Arial" w:hAnsi="Arial" w:cs="Arial"/>
        <w:noProof/>
        <w:color w:val="A6A6A6"/>
        <w:sz w:val="12"/>
        <w:szCs w:val="16"/>
      </w:rPr>
      <w:t>3</w:t>
    </w:r>
    <w:r w:rsidR="00D64534" w:rsidRPr="00C67390">
      <w:rPr>
        <w:rFonts w:ascii="Arial" w:hAnsi="Arial" w:cs="Arial"/>
        <w:color w:val="A6A6A6"/>
        <w:sz w:val="12"/>
        <w:szCs w:val="16"/>
      </w:rPr>
      <w:fldChar w:fldCharType="end"/>
    </w:r>
    <w:r w:rsidRPr="00C67390">
      <w:rPr>
        <w:rFonts w:ascii="Arial" w:hAnsi="Arial" w:cs="Arial"/>
        <w:color w:val="A6A6A6"/>
        <w:sz w:val="12"/>
        <w:szCs w:val="16"/>
      </w:rPr>
      <w:t>/</w:t>
    </w:r>
    <w:fldSimple w:instr="NUMPAGES  \* Arabic  \* MERGEFORMAT">
      <w:r w:rsidR="007C0F5B" w:rsidRPr="007C0F5B">
        <w:rPr>
          <w:rFonts w:ascii="Arial" w:hAnsi="Arial" w:cs="Arial"/>
          <w:noProof/>
          <w:color w:val="A6A6A6"/>
          <w:sz w:val="12"/>
          <w:szCs w:val="16"/>
        </w:rPr>
        <w:t>3</w:t>
      </w:r>
    </w:fldSimple>
  </w:p>
  <w:p w:rsidR="00FA4A54" w:rsidRDefault="00FA4A5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B0D" w:rsidRDefault="00020B0D" w:rsidP="00FA4A54">
      <w:pPr>
        <w:spacing w:after="0" w:line="240" w:lineRule="auto"/>
      </w:pPr>
      <w:r>
        <w:separator/>
      </w:r>
    </w:p>
  </w:footnote>
  <w:footnote w:type="continuationSeparator" w:id="0">
    <w:p w:rsidR="00020B0D" w:rsidRDefault="00020B0D" w:rsidP="00FA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9DB"/>
    <w:multiLevelType w:val="hybridMultilevel"/>
    <w:tmpl w:val="34DA1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31C44"/>
    <w:multiLevelType w:val="hybridMultilevel"/>
    <w:tmpl w:val="0400C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96343"/>
    <w:multiLevelType w:val="hybridMultilevel"/>
    <w:tmpl w:val="8E98C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B700C"/>
    <w:multiLevelType w:val="hybridMultilevel"/>
    <w:tmpl w:val="950425C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EC712EF"/>
    <w:multiLevelType w:val="hybridMultilevel"/>
    <w:tmpl w:val="1D3CD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4868"/>
    <w:multiLevelType w:val="hybridMultilevel"/>
    <w:tmpl w:val="A7503F92"/>
    <w:lvl w:ilvl="0" w:tplc="54E64D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3133"/>
    <w:multiLevelType w:val="hybridMultilevel"/>
    <w:tmpl w:val="F2B6E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F64"/>
    <w:multiLevelType w:val="hybridMultilevel"/>
    <w:tmpl w:val="11A89690"/>
    <w:lvl w:ilvl="0" w:tplc="A27E4F4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794"/>
    <w:rsid w:val="00020B0D"/>
    <w:rsid w:val="00030C84"/>
    <w:rsid w:val="0005279D"/>
    <w:rsid w:val="00062309"/>
    <w:rsid w:val="00087E0A"/>
    <w:rsid w:val="000977E6"/>
    <w:rsid w:val="0010441F"/>
    <w:rsid w:val="0014705F"/>
    <w:rsid w:val="001526E7"/>
    <w:rsid w:val="00153DC2"/>
    <w:rsid w:val="00156F83"/>
    <w:rsid w:val="00184AC7"/>
    <w:rsid w:val="00200598"/>
    <w:rsid w:val="00220E9E"/>
    <w:rsid w:val="002A58FC"/>
    <w:rsid w:val="002B1764"/>
    <w:rsid w:val="003C420A"/>
    <w:rsid w:val="003C603D"/>
    <w:rsid w:val="003E771E"/>
    <w:rsid w:val="00503BA6"/>
    <w:rsid w:val="005254E0"/>
    <w:rsid w:val="005329F0"/>
    <w:rsid w:val="00570577"/>
    <w:rsid w:val="005824A9"/>
    <w:rsid w:val="0059194D"/>
    <w:rsid w:val="005C28D0"/>
    <w:rsid w:val="005D42B3"/>
    <w:rsid w:val="005D6B43"/>
    <w:rsid w:val="006D12B2"/>
    <w:rsid w:val="006D27E8"/>
    <w:rsid w:val="00716796"/>
    <w:rsid w:val="00725EED"/>
    <w:rsid w:val="00747A01"/>
    <w:rsid w:val="007C0F5B"/>
    <w:rsid w:val="0082633D"/>
    <w:rsid w:val="00826DAD"/>
    <w:rsid w:val="00844609"/>
    <w:rsid w:val="00887B9B"/>
    <w:rsid w:val="008A59BB"/>
    <w:rsid w:val="008C1ED1"/>
    <w:rsid w:val="008D60B2"/>
    <w:rsid w:val="00956135"/>
    <w:rsid w:val="00981402"/>
    <w:rsid w:val="009F027D"/>
    <w:rsid w:val="00A522DB"/>
    <w:rsid w:val="00AC6C26"/>
    <w:rsid w:val="00AF3C93"/>
    <w:rsid w:val="00B04B5C"/>
    <w:rsid w:val="00B11377"/>
    <w:rsid w:val="00B501B0"/>
    <w:rsid w:val="00B66ADD"/>
    <w:rsid w:val="00C03C03"/>
    <w:rsid w:val="00C3181E"/>
    <w:rsid w:val="00C35CC7"/>
    <w:rsid w:val="00C62D67"/>
    <w:rsid w:val="00CA412D"/>
    <w:rsid w:val="00CA7F2C"/>
    <w:rsid w:val="00D00748"/>
    <w:rsid w:val="00D03E71"/>
    <w:rsid w:val="00D03FBA"/>
    <w:rsid w:val="00D25643"/>
    <w:rsid w:val="00D62CD6"/>
    <w:rsid w:val="00D64534"/>
    <w:rsid w:val="00D91794"/>
    <w:rsid w:val="00DC54DD"/>
    <w:rsid w:val="00E95003"/>
    <w:rsid w:val="00E97A06"/>
    <w:rsid w:val="00ED3B8F"/>
    <w:rsid w:val="00F309C5"/>
    <w:rsid w:val="00F35F9A"/>
    <w:rsid w:val="00F6471A"/>
    <w:rsid w:val="00FA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5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28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F83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E95003"/>
    <w:pPr>
      <w:spacing w:after="0" w:line="220" w:lineRule="exact"/>
      <w:ind w:firstLine="360"/>
      <w:jc w:val="both"/>
    </w:pPr>
    <w:rPr>
      <w:rFonts w:ascii="Times New Roman" w:eastAsia="Times New Roman" w:hAnsi="Times New Roman" w:cs="Times New Roman"/>
      <w:szCs w:val="24"/>
      <w:lang/>
    </w:rPr>
  </w:style>
  <w:style w:type="character" w:customStyle="1" w:styleId="Zkladntextodsazen2Char">
    <w:name w:val="Základní text odsazený 2 Char"/>
    <w:basedOn w:val="Standardnpsmoodstavce"/>
    <w:link w:val="Zkladntextodsazen2"/>
    <w:rsid w:val="00E95003"/>
    <w:rPr>
      <w:rFonts w:ascii="Times New Roman" w:eastAsia="Times New Roman" w:hAnsi="Times New Roman" w:cs="Times New Roman"/>
      <w:szCs w:val="24"/>
      <w:lang/>
    </w:rPr>
  </w:style>
  <w:style w:type="paragraph" w:styleId="Textkomente">
    <w:name w:val="annotation text"/>
    <w:basedOn w:val="Normln"/>
    <w:link w:val="TextkomenteChar"/>
    <w:semiHidden/>
    <w:rsid w:val="00C0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C03C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F309C5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A54"/>
  </w:style>
  <w:style w:type="paragraph" w:styleId="Zpat">
    <w:name w:val="footer"/>
    <w:basedOn w:val="Normln"/>
    <w:link w:val="ZpatChar"/>
    <w:uiPriority w:val="99"/>
    <w:unhideWhenUsed/>
    <w:rsid w:val="00FA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A54"/>
  </w:style>
  <w:style w:type="paragraph" w:styleId="Zkladntext2">
    <w:name w:val="Body Text 2"/>
    <w:basedOn w:val="Normln"/>
    <w:link w:val="Zkladntext2Char"/>
    <w:uiPriority w:val="99"/>
    <w:unhideWhenUsed/>
    <w:rsid w:val="00D03E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03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EEFE-CCBA-4A01-93D8-A0EE3E84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Dybova</dc:creator>
  <cp:lastModifiedBy>Lenka Volná</cp:lastModifiedBy>
  <cp:revision>3</cp:revision>
  <cp:lastPrinted>2012-10-25T11:35:00Z</cp:lastPrinted>
  <dcterms:created xsi:type="dcterms:W3CDTF">2017-08-30T11:56:00Z</dcterms:created>
  <dcterms:modified xsi:type="dcterms:W3CDTF">2017-08-30T11:56:00Z</dcterms:modified>
</cp:coreProperties>
</file>