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97F" w:rsidRDefault="00A04689">
      <w:pPr>
        <w:pStyle w:val="Zkladntext"/>
        <w:framePr w:w="2539" w:h="264" w:wrap="none" w:hAnchor="page" w:x="4681" w:y="1412"/>
        <w:shd w:val="clear" w:color="auto" w:fill="auto"/>
      </w:pPr>
      <w:bookmarkStart w:id="0" w:name="_Hlk207268776"/>
      <w:bookmarkStart w:id="1" w:name="_GoBack"/>
      <w:bookmarkEnd w:id="0"/>
      <w:bookmarkEnd w:id="1"/>
      <w:r>
        <w:t>SMLOUVA O SPOLUPRÁCI</w:t>
      </w:r>
    </w:p>
    <w:p w:rsidR="0063097F" w:rsidRDefault="00A04689">
      <w:pPr>
        <w:spacing w:line="360" w:lineRule="exact"/>
      </w:pPr>
      <w:r>
        <w:rPr>
          <w:noProof/>
        </w:rPr>
        <w:drawing>
          <wp:anchor distT="0" distB="0" distL="0" distR="0" simplePos="0" relativeHeight="62914690" behindDoc="1" locked="0" layoutInCell="1" allowOverlap="1">
            <wp:simplePos x="0" y="0"/>
            <wp:positionH relativeFrom="page">
              <wp:posOffset>307975</wp:posOffset>
            </wp:positionH>
            <wp:positionV relativeFrom="margin">
              <wp:posOffset>0</wp:posOffset>
            </wp:positionV>
            <wp:extent cx="372110" cy="97536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372110" cy="975360"/>
                    </a:xfrm>
                    <a:prstGeom prst="rect">
                      <a:avLst/>
                    </a:prstGeom>
                  </pic:spPr>
                </pic:pic>
              </a:graphicData>
            </a:graphic>
          </wp:anchor>
        </w:drawing>
      </w:r>
      <w:r>
        <w:rPr>
          <w:noProof/>
        </w:rPr>
        <w:drawing>
          <wp:anchor distT="0" distB="0" distL="0" distR="0" simplePos="0" relativeHeight="62914691" behindDoc="1" locked="0" layoutInCell="1" allowOverlap="1">
            <wp:simplePos x="0" y="0"/>
            <wp:positionH relativeFrom="page">
              <wp:posOffset>4950460</wp:posOffset>
            </wp:positionH>
            <wp:positionV relativeFrom="margin">
              <wp:posOffset>152400</wp:posOffset>
            </wp:positionV>
            <wp:extent cx="2078990" cy="79248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2078990" cy="792480"/>
                    </a:xfrm>
                    <a:prstGeom prst="rect">
                      <a:avLst/>
                    </a:prstGeom>
                  </pic:spPr>
                </pic:pic>
              </a:graphicData>
            </a:graphic>
          </wp:anchor>
        </w:drawing>
      </w:r>
    </w:p>
    <w:p w:rsidR="0063097F" w:rsidRDefault="0063097F">
      <w:pPr>
        <w:spacing w:line="360" w:lineRule="exact"/>
      </w:pPr>
    </w:p>
    <w:p w:rsidR="0063097F" w:rsidRDefault="0063097F">
      <w:pPr>
        <w:spacing w:line="360" w:lineRule="exact"/>
      </w:pPr>
    </w:p>
    <w:p w:rsidR="0063097F" w:rsidRDefault="0063097F">
      <w:pPr>
        <w:spacing w:after="594" w:line="1" w:lineRule="exact"/>
      </w:pPr>
    </w:p>
    <w:p w:rsidR="0063097F" w:rsidRDefault="0063097F">
      <w:pPr>
        <w:spacing w:line="1" w:lineRule="exact"/>
        <w:sectPr w:rsidR="0063097F">
          <w:footerReference w:type="even" r:id="rId10"/>
          <w:footerReference w:type="default" r:id="rId11"/>
          <w:pgSz w:w="11900" w:h="16840"/>
          <w:pgMar w:top="241" w:right="835" w:bottom="1389" w:left="485" w:header="0" w:footer="3" w:gutter="0"/>
          <w:pgNumType w:start="1"/>
          <w:cols w:space="720"/>
          <w:noEndnote/>
          <w:docGrid w:linePitch="360"/>
        </w:sectPr>
      </w:pPr>
    </w:p>
    <w:p w:rsidR="0063097F" w:rsidRDefault="00A04689">
      <w:pPr>
        <w:pStyle w:val="Zkladntext"/>
        <w:shd w:val="clear" w:color="auto" w:fill="auto"/>
        <w:spacing w:after="200"/>
        <w:jc w:val="center"/>
      </w:pPr>
      <w:r>
        <w:t>uzavřená podle § 1746 odst. 2 zákona č. 89/2012 Sb., občanský zákoník,</w:t>
      </w:r>
      <w:r>
        <w:br/>
        <w:t>ve znění pozdějších předpisů (dále jen „občanský zákoník“),</w:t>
      </w:r>
    </w:p>
    <w:p w:rsidR="0063097F" w:rsidRDefault="00A04689">
      <w:pPr>
        <w:pStyle w:val="Zkladntext"/>
        <w:shd w:val="clear" w:color="auto" w:fill="auto"/>
        <w:spacing w:after="200"/>
        <w:jc w:val="center"/>
      </w:pPr>
      <w:r>
        <w:t>ve smyslu Nařízení Komise (EU) č. 651/2014 ze dne 17. června 2014, kterým se v souladu s články</w:t>
      </w:r>
      <w:r>
        <w:br/>
        <w:t>107 a 108 Smlouvy prohlašují určité kategorie podpory za slučitelné s vnitřním trhem (dále jen</w:t>
      </w:r>
      <w:r>
        <w:br/>
        <w:t>„Nařízení“),</w:t>
      </w:r>
    </w:p>
    <w:p w:rsidR="0063097F" w:rsidRDefault="00A04689">
      <w:pPr>
        <w:pStyle w:val="Zkladntext"/>
        <w:shd w:val="clear" w:color="auto" w:fill="auto"/>
        <w:spacing w:after="200"/>
        <w:jc w:val="center"/>
      </w:pPr>
      <w:r>
        <w:t>Operační program Technologie a aplikace pro konkurenceschopnost 2021-2027 (dále jen „OP TAK“),</w:t>
      </w:r>
      <w:r>
        <w:br/>
        <w:t>program Aplikace, výzva „Aplikace - výzva l</w:t>
      </w:r>
      <w:r w:rsidR="004A6692">
        <w:t>II</w:t>
      </w:r>
      <w:r>
        <w:t>“,</w:t>
      </w:r>
    </w:p>
    <w:p w:rsidR="0063097F" w:rsidRDefault="00A04689">
      <w:pPr>
        <w:pStyle w:val="Zkladntext"/>
        <w:shd w:val="clear" w:color="auto" w:fill="auto"/>
        <w:spacing w:after="300"/>
        <w:jc w:val="center"/>
      </w:pPr>
      <w:r>
        <w:t>projekt s názvem</w:t>
      </w:r>
    </w:p>
    <w:p w:rsidR="0063097F" w:rsidRDefault="00A04689">
      <w:pPr>
        <w:pStyle w:val="Bodytext20"/>
        <w:shd w:val="clear" w:color="auto" w:fill="auto"/>
        <w:rPr>
          <w:sz w:val="19"/>
          <w:szCs w:val="19"/>
        </w:rPr>
      </w:pPr>
      <w:r>
        <w:t>„Inteligentní identifikační a signalizační systém</w:t>
      </w:r>
      <w:r>
        <w:br/>
        <w:t>na ochranu hospodářských zvířat proti predátorům“</w:t>
      </w:r>
      <w:r>
        <w:br/>
      </w:r>
      <w:r>
        <w:rPr>
          <w:b w:val="0"/>
          <w:bCs w:val="0"/>
          <w:i w:val="0"/>
          <w:iCs w:val="0"/>
          <w:sz w:val="19"/>
          <w:szCs w:val="19"/>
        </w:rPr>
        <w:t>(dále jen „Projekt“).</w:t>
      </w:r>
    </w:p>
    <w:p w:rsidR="0063097F" w:rsidRDefault="00A04689">
      <w:pPr>
        <w:pStyle w:val="Zkladntext"/>
        <w:shd w:val="clear" w:color="auto" w:fill="auto"/>
        <w:spacing w:after="200" w:line="259" w:lineRule="auto"/>
        <w:jc w:val="center"/>
      </w:pPr>
      <w:r>
        <w:rPr>
          <w:u w:val="single"/>
        </w:rPr>
        <w:t>Smluvní strany</w:t>
      </w:r>
    </w:p>
    <w:p w:rsidR="0063097F" w:rsidRDefault="00A04689">
      <w:pPr>
        <w:pStyle w:val="Zkladntext"/>
        <w:shd w:val="clear" w:color="auto" w:fill="auto"/>
        <w:spacing w:line="259" w:lineRule="auto"/>
      </w:pPr>
      <w:r>
        <w:t>AGROSOFT Tábor s.r.o.</w:t>
      </w:r>
    </w:p>
    <w:p w:rsidR="0063097F" w:rsidRDefault="00A04689">
      <w:pPr>
        <w:pStyle w:val="Zkladntext"/>
        <w:shd w:val="clear" w:color="auto" w:fill="auto"/>
        <w:spacing w:after="200" w:line="259" w:lineRule="auto"/>
      </w:pPr>
      <w:r>
        <w:t xml:space="preserve">zapsaná v obchodním rejstříku vedeném u Krajského soudu v Českých Budějovicích, spisová značka </w:t>
      </w:r>
      <w:r w:rsidR="00DC2966">
        <w:t xml:space="preserve">            </w:t>
      </w:r>
      <w:r>
        <w:t>C 7443</w:t>
      </w:r>
    </w:p>
    <w:tbl>
      <w:tblPr>
        <w:tblOverlap w:val="never"/>
        <w:tblW w:w="0" w:type="auto"/>
        <w:tblLayout w:type="fixed"/>
        <w:tblCellMar>
          <w:left w:w="10" w:type="dxa"/>
          <w:right w:w="10" w:type="dxa"/>
        </w:tblCellMar>
        <w:tblLook w:val="0000" w:firstRow="0" w:lastRow="0" w:firstColumn="0" w:lastColumn="0" w:noHBand="0" w:noVBand="0"/>
      </w:tblPr>
      <w:tblGrid>
        <w:gridCol w:w="2414"/>
        <w:gridCol w:w="2827"/>
      </w:tblGrid>
      <w:tr w:rsidR="0063097F">
        <w:trPr>
          <w:trHeight w:hRule="exact" w:val="235"/>
        </w:trPr>
        <w:tc>
          <w:tcPr>
            <w:tcW w:w="2414" w:type="dxa"/>
            <w:shd w:val="clear" w:color="auto" w:fill="FFFFFF"/>
            <w:vAlign w:val="bottom"/>
          </w:tcPr>
          <w:p w:rsidR="0063097F" w:rsidRDefault="00A04689">
            <w:pPr>
              <w:pStyle w:val="Other0"/>
              <w:shd w:val="clear" w:color="auto" w:fill="auto"/>
            </w:pPr>
            <w:r>
              <w:t>Sídlo:</w:t>
            </w:r>
          </w:p>
        </w:tc>
        <w:tc>
          <w:tcPr>
            <w:tcW w:w="2827" w:type="dxa"/>
            <w:shd w:val="clear" w:color="auto" w:fill="FFFFFF"/>
            <w:vAlign w:val="bottom"/>
          </w:tcPr>
          <w:p w:rsidR="0063097F" w:rsidRDefault="00A04689">
            <w:pPr>
              <w:pStyle w:val="Other0"/>
              <w:shd w:val="clear" w:color="auto" w:fill="auto"/>
              <w:ind w:firstLine="480"/>
            </w:pPr>
            <w:r>
              <w:t>Údolní 2930, 390 02 Tábor</w:t>
            </w:r>
          </w:p>
        </w:tc>
      </w:tr>
      <w:tr w:rsidR="0063097F">
        <w:trPr>
          <w:trHeight w:hRule="exact" w:val="221"/>
        </w:trPr>
        <w:tc>
          <w:tcPr>
            <w:tcW w:w="2414" w:type="dxa"/>
            <w:shd w:val="clear" w:color="auto" w:fill="FFFFFF"/>
          </w:tcPr>
          <w:p w:rsidR="0063097F" w:rsidRDefault="00A04689">
            <w:pPr>
              <w:pStyle w:val="Other0"/>
              <w:shd w:val="clear" w:color="auto" w:fill="auto"/>
            </w:pPr>
            <w:r>
              <w:t>IČO:</w:t>
            </w:r>
          </w:p>
        </w:tc>
        <w:tc>
          <w:tcPr>
            <w:tcW w:w="2827" w:type="dxa"/>
            <w:shd w:val="clear" w:color="auto" w:fill="FFFFFF"/>
          </w:tcPr>
          <w:p w:rsidR="0063097F" w:rsidRDefault="00A04689">
            <w:pPr>
              <w:pStyle w:val="Other0"/>
              <w:shd w:val="clear" w:color="auto" w:fill="auto"/>
              <w:ind w:firstLine="480"/>
            </w:pPr>
            <w:r>
              <w:t>25169165</w:t>
            </w:r>
          </w:p>
        </w:tc>
      </w:tr>
      <w:tr w:rsidR="0063097F">
        <w:trPr>
          <w:trHeight w:hRule="exact" w:val="226"/>
        </w:trPr>
        <w:tc>
          <w:tcPr>
            <w:tcW w:w="2414" w:type="dxa"/>
            <w:shd w:val="clear" w:color="auto" w:fill="FFFFFF"/>
          </w:tcPr>
          <w:p w:rsidR="0063097F" w:rsidRDefault="00A04689">
            <w:pPr>
              <w:pStyle w:val="Other0"/>
              <w:shd w:val="clear" w:color="auto" w:fill="auto"/>
            </w:pPr>
            <w:r>
              <w:t>DIČ:</w:t>
            </w:r>
          </w:p>
        </w:tc>
        <w:tc>
          <w:tcPr>
            <w:tcW w:w="2827" w:type="dxa"/>
            <w:shd w:val="clear" w:color="auto" w:fill="FFFFFF"/>
          </w:tcPr>
          <w:p w:rsidR="0063097F" w:rsidRDefault="00A04689">
            <w:pPr>
              <w:pStyle w:val="Other0"/>
              <w:shd w:val="clear" w:color="auto" w:fill="auto"/>
              <w:ind w:firstLine="480"/>
            </w:pPr>
            <w:r>
              <w:t>CZ25169165</w:t>
            </w:r>
          </w:p>
        </w:tc>
      </w:tr>
      <w:tr w:rsidR="0063097F">
        <w:trPr>
          <w:trHeight w:hRule="exact" w:val="240"/>
        </w:trPr>
        <w:tc>
          <w:tcPr>
            <w:tcW w:w="2414" w:type="dxa"/>
            <w:shd w:val="clear" w:color="auto" w:fill="FFFFFF"/>
            <w:vAlign w:val="bottom"/>
          </w:tcPr>
          <w:p w:rsidR="0063097F" w:rsidRDefault="00A04689">
            <w:pPr>
              <w:pStyle w:val="Other0"/>
              <w:shd w:val="clear" w:color="auto" w:fill="auto"/>
            </w:pPr>
            <w:r>
              <w:t>Zastoupená:</w:t>
            </w:r>
          </w:p>
        </w:tc>
        <w:tc>
          <w:tcPr>
            <w:tcW w:w="2827" w:type="dxa"/>
            <w:shd w:val="clear" w:color="auto" w:fill="FFFFFF"/>
            <w:vAlign w:val="bottom"/>
          </w:tcPr>
          <w:p w:rsidR="0063097F" w:rsidRDefault="00523ED9">
            <w:pPr>
              <w:pStyle w:val="Other0"/>
              <w:shd w:val="clear" w:color="auto" w:fill="auto"/>
              <w:ind w:firstLine="480"/>
            </w:pPr>
            <w:r>
              <w:t>XXXX</w:t>
            </w:r>
            <w:r w:rsidR="00A04689">
              <w:t>.</w:t>
            </w:r>
          </w:p>
        </w:tc>
      </w:tr>
      <w:tr w:rsidR="0063097F">
        <w:trPr>
          <w:trHeight w:hRule="exact" w:val="240"/>
        </w:trPr>
        <w:tc>
          <w:tcPr>
            <w:tcW w:w="2414" w:type="dxa"/>
            <w:shd w:val="clear" w:color="auto" w:fill="FFFFFF"/>
          </w:tcPr>
          <w:p w:rsidR="0063097F" w:rsidRDefault="00A04689">
            <w:pPr>
              <w:pStyle w:val="Other0"/>
              <w:shd w:val="clear" w:color="auto" w:fill="auto"/>
            </w:pPr>
            <w:r>
              <w:t>Bankovní spojení:</w:t>
            </w:r>
          </w:p>
        </w:tc>
        <w:tc>
          <w:tcPr>
            <w:tcW w:w="2827" w:type="dxa"/>
            <w:shd w:val="clear" w:color="auto" w:fill="FFFFFF"/>
          </w:tcPr>
          <w:p w:rsidR="0063097F" w:rsidRDefault="00523ED9">
            <w:pPr>
              <w:pStyle w:val="Other0"/>
              <w:shd w:val="clear" w:color="auto" w:fill="auto"/>
              <w:ind w:firstLine="480"/>
            </w:pPr>
            <w:r>
              <w:t>XXXX</w:t>
            </w:r>
          </w:p>
        </w:tc>
      </w:tr>
    </w:tbl>
    <w:p w:rsidR="0063097F" w:rsidRDefault="00A04689">
      <w:pPr>
        <w:pStyle w:val="Tablecaption0"/>
        <w:shd w:val="clear" w:color="auto" w:fill="auto"/>
        <w:ind w:left="5"/>
      </w:pPr>
      <w:r>
        <w:t>(dále jen „Příjemce“)</w:t>
      </w:r>
    </w:p>
    <w:p w:rsidR="0063097F" w:rsidRDefault="0063097F">
      <w:pPr>
        <w:spacing w:after="199" w:line="1" w:lineRule="exact"/>
      </w:pPr>
    </w:p>
    <w:p w:rsidR="0063097F" w:rsidRDefault="00A04689">
      <w:pPr>
        <w:pStyle w:val="Zkladntext"/>
        <w:shd w:val="clear" w:color="auto" w:fill="auto"/>
        <w:spacing w:after="200"/>
      </w:pPr>
      <w:r>
        <w:t>a</w:t>
      </w:r>
    </w:p>
    <w:p w:rsidR="0063097F" w:rsidRDefault="00A04689">
      <w:pPr>
        <w:pStyle w:val="Tablecaption0"/>
        <w:shd w:val="clear" w:color="auto" w:fill="auto"/>
      </w:pPr>
      <w:r>
        <w:t>Výzkumný ústav živočišné výroby, v. v. i.</w:t>
      </w:r>
    </w:p>
    <w:tbl>
      <w:tblPr>
        <w:tblOverlap w:val="never"/>
        <w:tblW w:w="0" w:type="auto"/>
        <w:tblLayout w:type="fixed"/>
        <w:tblCellMar>
          <w:left w:w="10" w:type="dxa"/>
          <w:right w:w="10" w:type="dxa"/>
        </w:tblCellMar>
        <w:tblLook w:val="0000" w:firstRow="0" w:lastRow="0" w:firstColumn="0" w:lastColumn="0" w:noHBand="0" w:noVBand="0"/>
      </w:tblPr>
      <w:tblGrid>
        <w:gridCol w:w="2678"/>
        <w:gridCol w:w="4291"/>
      </w:tblGrid>
      <w:tr w:rsidR="0063097F">
        <w:trPr>
          <w:trHeight w:hRule="exact" w:val="211"/>
        </w:trPr>
        <w:tc>
          <w:tcPr>
            <w:tcW w:w="2678" w:type="dxa"/>
            <w:shd w:val="clear" w:color="auto" w:fill="FFFFFF"/>
            <w:vAlign w:val="bottom"/>
          </w:tcPr>
          <w:p w:rsidR="0063097F" w:rsidRDefault="00A04689">
            <w:pPr>
              <w:pStyle w:val="Other0"/>
              <w:shd w:val="clear" w:color="auto" w:fill="auto"/>
            </w:pPr>
            <w:r>
              <w:t>Sídlo:</w:t>
            </w:r>
          </w:p>
        </w:tc>
        <w:tc>
          <w:tcPr>
            <w:tcW w:w="4291" w:type="dxa"/>
            <w:shd w:val="clear" w:color="auto" w:fill="FFFFFF"/>
            <w:vAlign w:val="bottom"/>
          </w:tcPr>
          <w:p w:rsidR="0063097F" w:rsidRDefault="00A04689">
            <w:pPr>
              <w:pStyle w:val="Other0"/>
              <w:shd w:val="clear" w:color="auto" w:fill="auto"/>
              <w:ind w:firstLine="220"/>
            </w:pPr>
            <w:r>
              <w:t>Přátelství 815/109, Uhříněves, 10400 Praha 10</w:t>
            </w:r>
          </w:p>
        </w:tc>
      </w:tr>
      <w:tr w:rsidR="0063097F">
        <w:trPr>
          <w:trHeight w:hRule="exact" w:val="216"/>
        </w:trPr>
        <w:tc>
          <w:tcPr>
            <w:tcW w:w="2678" w:type="dxa"/>
            <w:shd w:val="clear" w:color="auto" w:fill="FFFFFF"/>
          </w:tcPr>
          <w:p w:rsidR="0063097F" w:rsidRDefault="00A04689">
            <w:pPr>
              <w:pStyle w:val="Other0"/>
              <w:shd w:val="clear" w:color="auto" w:fill="auto"/>
            </w:pPr>
            <w:r>
              <w:t>IČO:</w:t>
            </w:r>
          </w:p>
        </w:tc>
        <w:tc>
          <w:tcPr>
            <w:tcW w:w="4291" w:type="dxa"/>
            <w:shd w:val="clear" w:color="auto" w:fill="FFFFFF"/>
          </w:tcPr>
          <w:p w:rsidR="0063097F" w:rsidRDefault="00A04689">
            <w:pPr>
              <w:pStyle w:val="Other0"/>
              <w:shd w:val="clear" w:color="auto" w:fill="auto"/>
              <w:ind w:firstLine="220"/>
            </w:pPr>
            <w:r>
              <w:t>00027014</w:t>
            </w:r>
          </w:p>
        </w:tc>
      </w:tr>
      <w:tr w:rsidR="0063097F">
        <w:trPr>
          <w:trHeight w:hRule="exact" w:val="226"/>
        </w:trPr>
        <w:tc>
          <w:tcPr>
            <w:tcW w:w="2678" w:type="dxa"/>
            <w:shd w:val="clear" w:color="auto" w:fill="FFFFFF"/>
          </w:tcPr>
          <w:p w:rsidR="0063097F" w:rsidRDefault="00A04689">
            <w:pPr>
              <w:pStyle w:val="Other0"/>
              <w:shd w:val="clear" w:color="auto" w:fill="auto"/>
            </w:pPr>
            <w:r>
              <w:t>DIČ:</w:t>
            </w:r>
          </w:p>
        </w:tc>
        <w:tc>
          <w:tcPr>
            <w:tcW w:w="4291" w:type="dxa"/>
            <w:shd w:val="clear" w:color="auto" w:fill="FFFFFF"/>
          </w:tcPr>
          <w:p w:rsidR="0063097F" w:rsidRDefault="00A04689">
            <w:pPr>
              <w:pStyle w:val="Other0"/>
              <w:shd w:val="clear" w:color="auto" w:fill="auto"/>
              <w:ind w:firstLine="220"/>
            </w:pPr>
            <w:r>
              <w:t>CZ 00027014</w:t>
            </w:r>
          </w:p>
        </w:tc>
      </w:tr>
      <w:tr w:rsidR="0063097F">
        <w:trPr>
          <w:trHeight w:hRule="exact" w:val="240"/>
        </w:trPr>
        <w:tc>
          <w:tcPr>
            <w:tcW w:w="2678" w:type="dxa"/>
            <w:shd w:val="clear" w:color="auto" w:fill="FFFFFF"/>
            <w:vAlign w:val="bottom"/>
          </w:tcPr>
          <w:p w:rsidR="0063097F" w:rsidRDefault="00A04689">
            <w:pPr>
              <w:pStyle w:val="Other0"/>
              <w:shd w:val="clear" w:color="auto" w:fill="auto"/>
            </w:pPr>
            <w:r>
              <w:t>Zastoupená:</w:t>
            </w:r>
          </w:p>
        </w:tc>
        <w:tc>
          <w:tcPr>
            <w:tcW w:w="4291" w:type="dxa"/>
            <w:shd w:val="clear" w:color="auto" w:fill="FFFFFF"/>
            <w:vAlign w:val="bottom"/>
          </w:tcPr>
          <w:p w:rsidR="0063097F" w:rsidRDefault="00CC76E3">
            <w:pPr>
              <w:pStyle w:val="Other0"/>
              <w:shd w:val="clear" w:color="auto" w:fill="auto"/>
              <w:ind w:firstLine="220"/>
            </w:pPr>
            <w:r>
              <w:t>XXXX</w:t>
            </w:r>
            <w:r w:rsidR="00A04689">
              <w:t>.</w:t>
            </w:r>
          </w:p>
        </w:tc>
      </w:tr>
      <w:tr w:rsidR="0063097F">
        <w:trPr>
          <w:trHeight w:hRule="exact" w:val="235"/>
        </w:trPr>
        <w:tc>
          <w:tcPr>
            <w:tcW w:w="2678" w:type="dxa"/>
            <w:shd w:val="clear" w:color="auto" w:fill="FFFFFF"/>
          </w:tcPr>
          <w:p w:rsidR="0063097F" w:rsidRDefault="00A04689">
            <w:pPr>
              <w:pStyle w:val="Other0"/>
              <w:shd w:val="clear" w:color="auto" w:fill="auto"/>
            </w:pPr>
            <w:r>
              <w:t>Bankovní spojení:</w:t>
            </w:r>
          </w:p>
        </w:tc>
        <w:tc>
          <w:tcPr>
            <w:tcW w:w="4291" w:type="dxa"/>
            <w:shd w:val="clear" w:color="auto" w:fill="FFFFFF"/>
          </w:tcPr>
          <w:p w:rsidR="0063097F" w:rsidRDefault="00CC76E3">
            <w:pPr>
              <w:pStyle w:val="Other0"/>
              <w:shd w:val="clear" w:color="auto" w:fill="auto"/>
              <w:ind w:firstLine="220"/>
            </w:pPr>
            <w:r>
              <w:t>XXXX</w:t>
            </w:r>
          </w:p>
        </w:tc>
      </w:tr>
    </w:tbl>
    <w:p w:rsidR="00DC2966" w:rsidRDefault="00A04689">
      <w:pPr>
        <w:pStyle w:val="Tablecaption0"/>
        <w:shd w:val="clear" w:color="auto" w:fill="auto"/>
        <w:ind w:left="5"/>
      </w:pPr>
      <w:r>
        <w:t xml:space="preserve">(dále jen „Spolupříjemce“) </w:t>
      </w:r>
      <w:r w:rsidR="00DC2966">
        <w:t xml:space="preserve">     </w:t>
      </w:r>
    </w:p>
    <w:p w:rsidR="0063097F" w:rsidRDefault="00A04689">
      <w:pPr>
        <w:pStyle w:val="Tablecaption0"/>
        <w:shd w:val="clear" w:color="auto" w:fill="auto"/>
        <w:ind w:left="5"/>
      </w:pPr>
      <w:r>
        <w:t>(společně také „Smluvní strany“)</w:t>
      </w:r>
    </w:p>
    <w:p w:rsidR="0063097F" w:rsidRDefault="0063097F">
      <w:pPr>
        <w:spacing w:after="479" w:line="1" w:lineRule="exact"/>
      </w:pPr>
    </w:p>
    <w:p w:rsidR="0063097F" w:rsidRDefault="00A04689">
      <w:pPr>
        <w:pStyle w:val="Zkladntext"/>
        <w:shd w:val="clear" w:color="auto" w:fill="auto"/>
        <w:jc w:val="center"/>
      </w:pPr>
      <w:r>
        <w:t>Článek 1</w:t>
      </w:r>
    </w:p>
    <w:p w:rsidR="0063097F" w:rsidRDefault="00A04689">
      <w:pPr>
        <w:pStyle w:val="Zkladntext"/>
        <w:shd w:val="clear" w:color="auto" w:fill="auto"/>
        <w:spacing w:after="200"/>
        <w:jc w:val="center"/>
      </w:pPr>
      <w:r>
        <w:rPr>
          <w:u w:val="single"/>
        </w:rPr>
        <w:t>Všeobecná ustanovení</w:t>
      </w:r>
    </w:p>
    <w:p w:rsidR="0063097F" w:rsidRDefault="00A04689">
      <w:pPr>
        <w:pStyle w:val="Zkladntext"/>
        <w:numPr>
          <w:ilvl w:val="0"/>
          <w:numId w:val="1"/>
        </w:numPr>
        <w:shd w:val="clear" w:color="auto" w:fill="auto"/>
        <w:tabs>
          <w:tab w:val="left" w:pos="726"/>
        </w:tabs>
        <w:ind w:left="760" w:hanging="360"/>
      </w:pPr>
      <w:r>
        <w:t xml:space="preserve">Smlouva o spolupráci </w:t>
      </w:r>
      <w:r w:rsidRPr="00B2124E">
        <w:rPr>
          <w:b/>
        </w:rPr>
        <w:t xml:space="preserve">(dále jen „Smlouva“) </w:t>
      </w:r>
      <w:r>
        <w:t xml:space="preserve">zakládá účinnou spolupráci mezi Příjemcem a Spolupříjemcem (organizací pro výzkum a šíření znalostí) ve smyslu Nařízení a dle zákona č. 130/2002 Sb., o podpoře výzkumu, experimentálního vývoje a inovací z veřejných prostředků </w:t>
      </w:r>
      <w:r w:rsidR="004E392E">
        <w:t xml:space="preserve">           </w:t>
      </w:r>
      <w:r>
        <w:t xml:space="preserve">a o změně některých souvisejících zákonů (zákon o podpoře výzkumu, experimentálního </w:t>
      </w:r>
      <w:r w:rsidR="00E44099">
        <w:t xml:space="preserve">          </w:t>
      </w:r>
      <w:r>
        <w:t xml:space="preserve">vývoje a inovací), ve znění pozdějších předpisů </w:t>
      </w:r>
      <w:r w:rsidRPr="00E44099">
        <w:rPr>
          <w:b/>
        </w:rPr>
        <w:t xml:space="preserve">(dále jen „zákon o podpoře výzkumu a </w:t>
      </w:r>
      <w:r w:rsidR="00E44099">
        <w:rPr>
          <w:b/>
        </w:rPr>
        <w:t xml:space="preserve">    </w:t>
      </w:r>
      <w:r w:rsidRPr="00E44099">
        <w:rPr>
          <w:b/>
        </w:rPr>
        <w:t>vývoje“)</w:t>
      </w:r>
      <w:r>
        <w:t>, týkající se předmětu smlouvy vymezeného článkem 2.</w:t>
      </w:r>
    </w:p>
    <w:p w:rsidR="0063097F" w:rsidRDefault="00A04689">
      <w:pPr>
        <w:pStyle w:val="Zkladntext"/>
        <w:numPr>
          <w:ilvl w:val="0"/>
          <w:numId w:val="1"/>
        </w:numPr>
        <w:shd w:val="clear" w:color="auto" w:fill="auto"/>
        <w:tabs>
          <w:tab w:val="left" w:pos="726"/>
        </w:tabs>
        <w:ind w:firstLine="380"/>
      </w:pPr>
      <w:r>
        <w:t>Smluvní strany prohlašují, že:</w:t>
      </w:r>
    </w:p>
    <w:p w:rsidR="0063097F" w:rsidRPr="00E44099" w:rsidRDefault="00E27936">
      <w:pPr>
        <w:pStyle w:val="Zkladntext"/>
        <w:shd w:val="clear" w:color="auto" w:fill="auto"/>
        <w:ind w:left="760"/>
        <w:rPr>
          <w:b/>
        </w:rPr>
      </w:pPr>
      <w:r>
        <w:t>-</w:t>
      </w:r>
      <w:r w:rsidR="00A04689">
        <w:t>budou spolupracovat v oblasti vývoje, následné výroby a testování v rámci OP TAK, výzvy</w:t>
      </w:r>
      <w:r w:rsidR="00E44099">
        <w:t xml:space="preserve">    </w:t>
      </w:r>
      <w:r w:rsidR="00A04689">
        <w:t xml:space="preserve"> </w:t>
      </w:r>
      <w:r w:rsidR="00A04689" w:rsidRPr="00E44099">
        <w:rPr>
          <w:b/>
        </w:rPr>
        <w:t xml:space="preserve">„Aplikace - výzva </w:t>
      </w:r>
      <w:r w:rsidR="00A04689" w:rsidRPr="00E44099">
        <w:rPr>
          <w:b/>
          <w:lang w:val="en-US" w:eastAsia="en-US" w:bidi="en-US"/>
        </w:rPr>
        <w:t xml:space="preserve">III.“, </w:t>
      </w:r>
      <w:r w:rsidR="00A04689" w:rsidRPr="00E44099">
        <w:rPr>
          <w:b/>
        </w:rPr>
        <w:t>na projektu s názvem „Inteligentní identifikační a signalizační</w:t>
      </w:r>
      <w:r w:rsidR="0068587A">
        <w:rPr>
          <w:b/>
        </w:rPr>
        <w:t xml:space="preserve">       </w:t>
      </w:r>
      <w:r w:rsidR="00A04689" w:rsidRPr="00E44099">
        <w:rPr>
          <w:b/>
        </w:rPr>
        <w:t xml:space="preserve"> systém na ochranu hospodářských zvířat proti predátorům“</w:t>
      </w:r>
    </w:p>
    <w:p w:rsidR="0063097F" w:rsidRDefault="00E44099" w:rsidP="00E44099">
      <w:pPr>
        <w:pStyle w:val="Zkladntext"/>
        <w:shd w:val="clear" w:color="auto" w:fill="auto"/>
      </w:pPr>
      <w:r>
        <w:t xml:space="preserve">              -</w:t>
      </w:r>
      <w:r w:rsidR="00A04689">
        <w:t xml:space="preserve">společně stanovily rozsah spolupráce v rámci Projektu a budou sdílet jeho rizika a </w:t>
      </w:r>
      <w:r>
        <w:t xml:space="preserve">                                                                                                                                                  </w:t>
      </w:r>
    </w:p>
    <w:p w:rsidR="00E44099" w:rsidRDefault="00E44099" w:rsidP="00E44099">
      <w:pPr>
        <w:pStyle w:val="Zkladntext"/>
        <w:shd w:val="clear" w:color="auto" w:fill="auto"/>
      </w:pPr>
      <w:r>
        <w:t xml:space="preserve">                výsledky,</w:t>
      </w:r>
    </w:p>
    <w:p w:rsidR="00E44099" w:rsidRDefault="00E44099">
      <w:pPr>
        <w:pStyle w:val="Zkladntext"/>
        <w:shd w:val="clear" w:color="auto" w:fill="auto"/>
        <w:ind w:left="800" w:hanging="360"/>
        <w:jc w:val="both"/>
      </w:pPr>
      <w:r>
        <w:t xml:space="preserve">          </w:t>
      </w:r>
    </w:p>
    <w:p w:rsidR="00E44099" w:rsidRDefault="00E44099">
      <w:pPr>
        <w:pStyle w:val="Zkladntext"/>
        <w:shd w:val="clear" w:color="auto" w:fill="auto"/>
        <w:ind w:left="800" w:hanging="360"/>
        <w:jc w:val="both"/>
      </w:pPr>
    </w:p>
    <w:p w:rsidR="00E44099" w:rsidRDefault="00E44099">
      <w:pPr>
        <w:pStyle w:val="Zkladntext"/>
        <w:shd w:val="clear" w:color="auto" w:fill="auto"/>
        <w:ind w:left="800" w:hanging="360"/>
        <w:jc w:val="both"/>
      </w:pPr>
    </w:p>
    <w:p w:rsidR="00E44099" w:rsidRDefault="00E44099">
      <w:pPr>
        <w:pStyle w:val="Zkladntext"/>
        <w:shd w:val="clear" w:color="auto" w:fill="auto"/>
        <w:ind w:left="800" w:hanging="360"/>
        <w:jc w:val="both"/>
      </w:pPr>
    </w:p>
    <w:p w:rsidR="00E44099" w:rsidRDefault="00E44099">
      <w:pPr>
        <w:pStyle w:val="Zkladntext"/>
        <w:shd w:val="clear" w:color="auto" w:fill="auto"/>
        <w:ind w:left="800" w:hanging="360"/>
        <w:jc w:val="both"/>
      </w:pPr>
    </w:p>
    <w:p w:rsidR="003023F7" w:rsidRDefault="003023F7">
      <w:pPr>
        <w:pStyle w:val="Zkladntext"/>
        <w:shd w:val="clear" w:color="auto" w:fill="auto"/>
        <w:ind w:left="800" w:hanging="360"/>
        <w:jc w:val="both"/>
      </w:pPr>
    </w:p>
    <w:p w:rsidR="0063097F" w:rsidRDefault="00A04689" w:rsidP="003023F7">
      <w:pPr>
        <w:pStyle w:val="Zkladntext"/>
        <w:shd w:val="clear" w:color="auto" w:fill="auto"/>
        <w:ind w:left="360" w:hanging="360"/>
        <w:jc w:val="both"/>
      </w:pPr>
      <w:r>
        <w:t xml:space="preserve">- </w:t>
      </w:r>
      <w:r w:rsidR="003023F7">
        <w:t xml:space="preserve">     </w:t>
      </w:r>
      <w:r>
        <w:t xml:space="preserve">se společně zavazují splnit podmínky Rozhodnutí o poskytnutí dotace (vzor Rozhodnutí o </w:t>
      </w:r>
      <w:r w:rsidR="003023F7">
        <w:t xml:space="preserve">                      </w:t>
      </w:r>
      <w:r>
        <w:t xml:space="preserve">poskytnutí dotace je obsahem přílohy č. 1 této Smlouvy) a postupovat dle pravidel </w:t>
      </w:r>
      <w:r w:rsidR="003023F7">
        <w:t xml:space="preserve">                                                            </w:t>
      </w:r>
      <w:r w:rsidR="003023F7" w:rsidRPr="003023F7">
        <w:t>stanovených</w:t>
      </w:r>
      <w:r w:rsidR="003023F7">
        <w:tab/>
      </w:r>
      <w:r w:rsidR="003023F7" w:rsidRPr="003023F7">
        <w:t>OP</w:t>
      </w:r>
      <w:r w:rsidR="003023F7">
        <w:tab/>
      </w:r>
      <w:r w:rsidR="003023F7" w:rsidRPr="003023F7">
        <w:t xml:space="preserve">TAK,                                                                                                                                                                                                                                                                                                                                                             </w:t>
      </w:r>
      <w:r w:rsidR="008E4960">
        <w:t>-</w:t>
      </w:r>
      <w:r>
        <w:t>budou koordinovat rozvoj spolupráce v souladu se svými potřebami, zásadami účinné</w:t>
      </w:r>
      <w:r w:rsidR="003023F7">
        <w:t xml:space="preserve">                              </w:t>
      </w:r>
      <w:r>
        <w:t xml:space="preserve"> spolupráce a projektovou žádostí.</w:t>
      </w:r>
    </w:p>
    <w:p w:rsidR="0063097F" w:rsidRDefault="00A04689">
      <w:pPr>
        <w:pStyle w:val="Zkladntext"/>
        <w:numPr>
          <w:ilvl w:val="0"/>
          <w:numId w:val="1"/>
        </w:numPr>
        <w:shd w:val="clear" w:color="auto" w:fill="auto"/>
        <w:tabs>
          <w:tab w:val="left" w:pos="363"/>
        </w:tabs>
        <w:spacing w:after="440"/>
        <w:ind w:left="420" w:hanging="420"/>
        <w:jc w:val="both"/>
      </w:pPr>
      <w:r>
        <w:t>Smluvní strany se zavazují, že budou respektovat a dodržovat povinnosti a podmínky</w:t>
      </w:r>
      <w:r w:rsidR="003023F7">
        <w:t xml:space="preserve">                                       </w:t>
      </w:r>
      <w:r>
        <w:t xml:space="preserve"> právního rámce, zejména příslušná ustanovení občanského zákoníku, zákona č. 121/2000</w:t>
      </w:r>
      <w:r w:rsidR="003023F7">
        <w:t xml:space="preserve">                            </w:t>
      </w:r>
      <w:r>
        <w:t xml:space="preserve"> Sb., o právu autorském, o právech souvisejících s právem autorským a o změně některých </w:t>
      </w:r>
      <w:r w:rsidR="003023F7">
        <w:t xml:space="preserve">                             </w:t>
      </w:r>
      <w:r>
        <w:t xml:space="preserve">zákonů (autorský zákon), zákona č. 527/1990 Sb., o vynálezech a zlepšovacích návrzích, </w:t>
      </w:r>
      <w:r w:rsidR="003023F7">
        <w:t xml:space="preserve">                                </w:t>
      </w:r>
      <w:r>
        <w:t xml:space="preserve">zákona č. 478/1992 Sb., o užitných vzorech, zákona Č. 441/2003 Sb., o ochranných </w:t>
      </w:r>
      <w:r w:rsidR="003023F7">
        <w:t xml:space="preserve">                                       </w:t>
      </w:r>
      <w:r>
        <w:t>známkách, a dalších souvisejících právních norem.</w:t>
      </w:r>
    </w:p>
    <w:p w:rsidR="0063097F" w:rsidRDefault="00A04689">
      <w:pPr>
        <w:pStyle w:val="Zkladntext"/>
        <w:shd w:val="clear" w:color="auto" w:fill="auto"/>
        <w:spacing w:line="259" w:lineRule="auto"/>
        <w:jc w:val="center"/>
        <w:rPr>
          <w:sz w:val="18"/>
          <w:szCs w:val="18"/>
        </w:rPr>
      </w:pPr>
      <w:r>
        <w:rPr>
          <w:b/>
          <w:bCs/>
          <w:sz w:val="18"/>
          <w:szCs w:val="18"/>
        </w:rPr>
        <w:t>Článek 2</w:t>
      </w:r>
    </w:p>
    <w:p w:rsidR="0063097F" w:rsidRDefault="00A04689">
      <w:pPr>
        <w:pStyle w:val="Heading20"/>
        <w:keepNext/>
        <w:keepLines/>
        <w:shd w:val="clear" w:color="auto" w:fill="auto"/>
        <w:spacing w:after="240" w:line="259" w:lineRule="auto"/>
      </w:pPr>
      <w:bookmarkStart w:id="2" w:name="bookmark0"/>
      <w:bookmarkStart w:id="3" w:name="bookmark1"/>
      <w:r>
        <w:t>Předmět spolupráce</w:t>
      </w:r>
      <w:bookmarkEnd w:id="2"/>
      <w:bookmarkEnd w:id="3"/>
    </w:p>
    <w:p w:rsidR="0063097F" w:rsidRDefault="00A04689">
      <w:pPr>
        <w:pStyle w:val="Zkladntext"/>
        <w:numPr>
          <w:ilvl w:val="0"/>
          <w:numId w:val="2"/>
        </w:numPr>
        <w:shd w:val="clear" w:color="auto" w:fill="auto"/>
        <w:tabs>
          <w:tab w:val="left" w:pos="363"/>
        </w:tabs>
        <w:ind w:left="420" w:hanging="420"/>
        <w:jc w:val="both"/>
      </w:pPr>
      <w:r>
        <w:t>Předmětem Smlouvy je spolupráce Smluvních stran za účelem zajištění realizace cílů Projektu</w:t>
      </w:r>
      <w:r w:rsidR="0042624F">
        <w:t xml:space="preserve">                            </w:t>
      </w:r>
      <w:r>
        <w:t xml:space="preserve"> v oblasti vývoje, následné výroby a testování. Na Projekt budou poskytnuty účelové finanční</w:t>
      </w:r>
      <w:r w:rsidR="0042624F">
        <w:t xml:space="preserve">                    </w:t>
      </w:r>
      <w:r>
        <w:t xml:space="preserve"> prostředky (dotace) poskytované formou podpory v rámci Operačního programu Technologie</w:t>
      </w:r>
      <w:r w:rsidR="0042624F">
        <w:t xml:space="preserve">                             </w:t>
      </w:r>
      <w:r>
        <w:t xml:space="preserve"> a aplikace pro konkurenceschopnost, programu podpory APLIKACE, výzvy Aplikace - výzva I.</w:t>
      </w:r>
      <w:r w:rsidR="0042624F">
        <w:t xml:space="preserve">                      </w:t>
      </w:r>
      <w:r>
        <w:t xml:space="preserve"> (dále také jen „podpora“) na základě Rozhodnutí o poskytnutí dotace na řešení projektu (dále </w:t>
      </w:r>
      <w:r w:rsidR="0042624F">
        <w:t xml:space="preserve">                              </w:t>
      </w:r>
      <w:r>
        <w:t>jen „rozhodnutí“).</w:t>
      </w:r>
      <w:r w:rsidR="0042624F">
        <w:t xml:space="preserve">       </w:t>
      </w:r>
    </w:p>
    <w:p w:rsidR="0063097F" w:rsidRDefault="00A04689">
      <w:pPr>
        <w:pStyle w:val="Zkladntext"/>
        <w:numPr>
          <w:ilvl w:val="0"/>
          <w:numId w:val="2"/>
        </w:numPr>
        <w:shd w:val="clear" w:color="auto" w:fill="auto"/>
        <w:tabs>
          <w:tab w:val="left" w:pos="363"/>
        </w:tabs>
      </w:pPr>
      <w:r>
        <w:t>Poskytovatelem dotace je Ministerstvo průmyslu a obchodu ČR (dále jen „poskytovatel“).</w:t>
      </w:r>
    </w:p>
    <w:p w:rsidR="0063097F" w:rsidRDefault="00A04689">
      <w:pPr>
        <w:pStyle w:val="Zkladntext"/>
        <w:numPr>
          <w:ilvl w:val="0"/>
          <w:numId w:val="2"/>
        </w:numPr>
        <w:shd w:val="clear" w:color="auto" w:fill="auto"/>
        <w:tabs>
          <w:tab w:val="left" w:pos="363"/>
        </w:tabs>
        <w:ind w:left="420" w:hanging="420"/>
        <w:jc w:val="both"/>
      </w:pPr>
      <w:r>
        <w:t xml:space="preserve">Předpokládané výsledky projektu, rozdělení činností pro realizaci projektu a rozpočet projektu </w:t>
      </w:r>
      <w:r w:rsidR="0042624F">
        <w:t xml:space="preserve">                              </w:t>
      </w:r>
      <w:r>
        <w:t>jsou uvedeny v projektové žádosti. Rozpočet projektu je obsahem přílohy č. 2 této Smlouvy.</w:t>
      </w:r>
    </w:p>
    <w:p w:rsidR="0063097F" w:rsidRDefault="00A04689">
      <w:pPr>
        <w:pStyle w:val="Zkladntext"/>
        <w:numPr>
          <w:ilvl w:val="0"/>
          <w:numId w:val="2"/>
        </w:numPr>
        <w:shd w:val="clear" w:color="auto" w:fill="auto"/>
        <w:tabs>
          <w:tab w:val="left" w:pos="363"/>
        </w:tabs>
      </w:pPr>
      <w:r>
        <w:t>Smluvní strany se dále dohodly na podílu na výsledcích předmětu Smlouvy následovně:</w:t>
      </w:r>
    </w:p>
    <w:p w:rsidR="0063097F" w:rsidRDefault="00A04689" w:rsidP="0042624F">
      <w:pPr>
        <w:pStyle w:val="Zkladntext"/>
        <w:numPr>
          <w:ilvl w:val="0"/>
          <w:numId w:val="6"/>
        </w:numPr>
        <w:shd w:val="clear" w:color="auto" w:fill="auto"/>
        <w:jc w:val="both"/>
      </w:pPr>
      <w:r>
        <w:t xml:space="preserve">Příjemce i Spolupříjemce mohou využívat výsledky projektu v dalším společném výzkumu </w:t>
      </w:r>
      <w:r w:rsidR="00DC2966">
        <w:t xml:space="preserve">               </w:t>
      </w:r>
      <w:r>
        <w:t>a vývoji;</w:t>
      </w:r>
    </w:p>
    <w:p w:rsidR="0063097F" w:rsidRDefault="00A04689" w:rsidP="0042624F">
      <w:pPr>
        <w:pStyle w:val="Zkladntext"/>
        <w:numPr>
          <w:ilvl w:val="0"/>
          <w:numId w:val="6"/>
        </w:numPr>
        <w:shd w:val="clear" w:color="auto" w:fill="auto"/>
        <w:jc w:val="both"/>
      </w:pPr>
      <w:r>
        <w:t xml:space="preserve">Příjemce je oprávněn využívat výsledek Projektu (spolupráce), včetně s tím souvisejících autorských děl, ve výrobě a obchodní činnosti, tento komerčně distribuovat, prodávat a s </w:t>
      </w:r>
      <w:r w:rsidR="00DC2966">
        <w:t xml:space="preserve">            </w:t>
      </w:r>
      <w:r>
        <w:t>tímto dle vlastního uvážení obchodovat;</w:t>
      </w:r>
    </w:p>
    <w:p w:rsidR="0063097F" w:rsidRDefault="00A04689" w:rsidP="0042624F">
      <w:pPr>
        <w:pStyle w:val="Zkladntext"/>
        <w:numPr>
          <w:ilvl w:val="0"/>
          <w:numId w:val="6"/>
        </w:numPr>
        <w:shd w:val="clear" w:color="auto" w:fill="auto"/>
        <w:jc w:val="both"/>
      </w:pPr>
      <w:r>
        <w:t>Spolupříjemce je oprávněn využívat výsledek Projektu (spolupráce), včetně s</w:t>
      </w:r>
      <w:r w:rsidR="00DC2966">
        <w:t xml:space="preserve"> </w:t>
      </w:r>
      <w:r>
        <w:t xml:space="preserve">tím </w:t>
      </w:r>
      <w:r w:rsidR="00F176D5">
        <w:t xml:space="preserve">         </w:t>
      </w:r>
      <w:r>
        <w:t xml:space="preserve">souvisejících autorských děl, k dalšímu výzkumu a vývoji, své propagaci, popularizaci, ve </w:t>
      </w:r>
      <w:r w:rsidR="00F176D5">
        <w:t xml:space="preserve">       </w:t>
      </w:r>
      <w:r>
        <w:t>výuce či jinému užití v rámci akademické nekomerční sféry;</w:t>
      </w:r>
    </w:p>
    <w:p w:rsidR="0042624F" w:rsidRDefault="00A04689" w:rsidP="0042624F">
      <w:pPr>
        <w:pStyle w:val="Zkladntext"/>
        <w:numPr>
          <w:ilvl w:val="0"/>
          <w:numId w:val="6"/>
        </w:numPr>
        <w:shd w:val="clear" w:color="auto" w:fill="auto"/>
        <w:jc w:val="both"/>
      </w:pPr>
      <w:r>
        <w:t xml:space="preserve">každá ze Smluvních Stran má právo zveřejňovat a využívat výsledky vlastního výzkumu, </w:t>
      </w:r>
      <w:r w:rsidR="00F176D5">
        <w:t xml:space="preserve">               </w:t>
      </w:r>
      <w:r>
        <w:t>za splnění podmínky, že nebude s žádnou třetí stranou sdílet jakékoliv informace, které by</w:t>
      </w:r>
      <w:r w:rsidR="00F176D5">
        <w:t xml:space="preserve">          </w:t>
      </w:r>
      <w:r>
        <w:t xml:space="preserve"> tato třetí strana mohla využít k výrobě a prodeji podobného konkurenčního produktu; </w:t>
      </w:r>
    </w:p>
    <w:p w:rsidR="0063097F" w:rsidRDefault="00A04689" w:rsidP="0042624F">
      <w:pPr>
        <w:pStyle w:val="Zkladntext"/>
        <w:numPr>
          <w:ilvl w:val="0"/>
          <w:numId w:val="6"/>
        </w:numPr>
        <w:shd w:val="clear" w:color="auto" w:fill="auto"/>
        <w:jc w:val="both"/>
      </w:pPr>
      <w:r>
        <w:t>Spolupříjemce se výslovně vzdává nároku na odměnu z výroby a prodeje předmětu</w:t>
      </w:r>
      <w:r w:rsidR="00F176D5">
        <w:t xml:space="preserve">        </w:t>
      </w:r>
      <w:r>
        <w:t xml:space="preserve"> spolupráce </w:t>
      </w:r>
      <w:r w:rsidR="0042624F">
        <w:t xml:space="preserve">         </w:t>
      </w:r>
      <w:r>
        <w:t>realizované Příjemcem;</w:t>
      </w:r>
    </w:p>
    <w:p w:rsidR="0063097F" w:rsidRDefault="00A04689" w:rsidP="0042624F">
      <w:pPr>
        <w:pStyle w:val="Zkladntext"/>
        <w:numPr>
          <w:ilvl w:val="0"/>
          <w:numId w:val="6"/>
        </w:numPr>
        <w:shd w:val="clear" w:color="auto" w:fill="auto"/>
        <w:jc w:val="both"/>
      </w:pPr>
      <w:r>
        <w:t xml:space="preserve">Spolupříjemce uděluje Příjemci bezúplatnou časově neomezenou licenci k užití veškerých průmyslových a autorských práv, která budou v důsledku spolupráce, tj. v rámci realizace </w:t>
      </w:r>
      <w:r w:rsidR="00F176D5">
        <w:t xml:space="preserve">      </w:t>
      </w:r>
      <w:r>
        <w:t xml:space="preserve">projektu z jeho strany získána (tj. právo k užitným vzorům či patentům či obdobným </w:t>
      </w:r>
      <w:r w:rsidR="00F176D5">
        <w:t xml:space="preserve">                </w:t>
      </w:r>
      <w:r>
        <w:t>právům vzešlým ze spolupráce a právo užít dílo bez omezení ve vztahu k</w:t>
      </w:r>
      <w:r w:rsidR="00F176D5">
        <w:t> </w:t>
      </w:r>
      <w:r>
        <w:t>veškerému</w:t>
      </w:r>
      <w:r w:rsidR="00F176D5">
        <w:t xml:space="preserve">         </w:t>
      </w:r>
      <w:r>
        <w:t xml:space="preserve"> software, který je výsledkem předmětu spolupráce).</w:t>
      </w:r>
    </w:p>
    <w:p w:rsidR="0063097F" w:rsidRDefault="00A04689">
      <w:pPr>
        <w:pStyle w:val="Zkladntext"/>
        <w:numPr>
          <w:ilvl w:val="0"/>
          <w:numId w:val="2"/>
        </w:numPr>
        <w:shd w:val="clear" w:color="auto" w:fill="auto"/>
        <w:tabs>
          <w:tab w:val="left" w:pos="495"/>
        </w:tabs>
        <w:spacing w:after="440"/>
        <w:ind w:left="420" w:hanging="280"/>
        <w:jc w:val="both"/>
      </w:pPr>
      <w:r>
        <w:t xml:space="preserve">Pro vyloučení pochybností se sjednává, že žádná ze stran této Smlouvy, bez předchozího </w:t>
      </w:r>
      <w:r w:rsidR="0042624F">
        <w:t xml:space="preserve">             </w:t>
      </w:r>
      <w:r>
        <w:t>písemného souhlasu druhé strany a dohody s druhou stranou na formě a způsobu realizace,</w:t>
      </w:r>
      <w:r w:rsidR="0042624F">
        <w:t xml:space="preserve">       </w:t>
      </w:r>
      <w:r>
        <w:t xml:space="preserve"> nepodnikne žádné kroky vedoucí k získání patentové ochrany, ochrany v podobě užitného </w:t>
      </w:r>
      <w:r w:rsidR="0042624F">
        <w:t xml:space="preserve">                       </w:t>
      </w:r>
      <w:r>
        <w:t>vzoru nebo jiné ochrany průmyslového práva, ve vztahu k výsledkům spolupráce (projektu).</w:t>
      </w:r>
    </w:p>
    <w:p w:rsidR="0063097F" w:rsidRDefault="00A04689">
      <w:pPr>
        <w:pStyle w:val="Zkladntext"/>
        <w:shd w:val="clear" w:color="auto" w:fill="auto"/>
        <w:spacing w:line="259" w:lineRule="auto"/>
        <w:jc w:val="center"/>
        <w:rPr>
          <w:sz w:val="18"/>
          <w:szCs w:val="18"/>
        </w:rPr>
      </w:pPr>
      <w:r>
        <w:rPr>
          <w:b/>
          <w:bCs/>
          <w:sz w:val="18"/>
          <w:szCs w:val="18"/>
        </w:rPr>
        <w:t>Článek 3</w:t>
      </w:r>
    </w:p>
    <w:p w:rsidR="0063097F" w:rsidRDefault="00A04689">
      <w:pPr>
        <w:pStyle w:val="Heading20"/>
        <w:keepNext/>
        <w:keepLines/>
        <w:shd w:val="clear" w:color="auto" w:fill="auto"/>
        <w:spacing w:line="259" w:lineRule="auto"/>
      </w:pPr>
      <w:bookmarkStart w:id="4" w:name="bookmark2"/>
      <w:bookmarkStart w:id="5" w:name="bookmark3"/>
      <w:r>
        <w:t>Poskytování podpory</w:t>
      </w:r>
      <w:bookmarkEnd w:id="4"/>
      <w:bookmarkEnd w:id="5"/>
    </w:p>
    <w:p w:rsidR="0063097F" w:rsidRDefault="00A04689">
      <w:pPr>
        <w:pStyle w:val="Zkladntext"/>
        <w:numPr>
          <w:ilvl w:val="0"/>
          <w:numId w:val="3"/>
        </w:numPr>
        <w:shd w:val="clear" w:color="auto" w:fill="auto"/>
        <w:tabs>
          <w:tab w:val="left" w:pos="495"/>
        </w:tabs>
        <w:spacing w:after="100"/>
        <w:ind w:left="420" w:hanging="280"/>
        <w:jc w:val="both"/>
      </w:pPr>
      <w:r>
        <w:t>Finanční podpora (dotace) bude Příjemci poskytnuta v souladu s „Pravidly spolufinancování z</w:t>
      </w:r>
      <w:r w:rsidR="0042624F">
        <w:t xml:space="preserve">   </w:t>
      </w:r>
      <w:r>
        <w:t xml:space="preserve"> Evropského fondu pro regionální rozvoj v období 2021-2027“, Rozhodnutím o poskytnutí </w:t>
      </w:r>
      <w:r w:rsidR="0042624F">
        <w:t xml:space="preserve">                                 </w:t>
      </w:r>
      <w:r>
        <w:t>dotace a dalšími závaznými dokumenty poskytovatele, které se vztahují k projektu, a bude</w:t>
      </w:r>
      <w:r w:rsidR="0042624F">
        <w:t xml:space="preserve">                      </w:t>
      </w:r>
      <w:r>
        <w:t xml:space="preserve"> proplácena ex-post na základě dokladů předložených Příjemcem podpory v žádosti o platbu. Předpokladem je počáteční plné předfinancování výdajů projektu (nebo ucelené etapy</w:t>
      </w:r>
      <w:r w:rsidR="0042624F">
        <w:t xml:space="preserve">                                  </w:t>
      </w:r>
      <w:r>
        <w:t xml:space="preserve"> projektu) z vlastních zdrojů Příjemce a Spolupříjemce podpory.</w:t>
      </w:r>
      <w:r w:rsidR="0042624F">
        <w:t xml:space="preserve">  </w:t>
      </w:r>
    </w:p>
    <w:p w:rsidR="0042624F" w:rsidRDefault="0042624F" w:rsidP="0042624F">
      <w:pPr>
        <w:pStyle w:val="Zkladntext"/>
        <w:shd w:val="clear" w:color="auto" w:fill="auto"/>
        <w:tabs>
          <w:tab w:val="left" w:pos="495"/>
        </w:tabs>
        <w:spacing w:after="100"/>
        <w:jc w:val="both"/>
      </w:pPr>
    </w:p>
    <w:p w:rsidR="0042624F" w:rsidRDefault="0042624F" w:rsidP="0042624F">
      <w:pPr>
        <w:pStyle w:val="Zkladntext"/>
        <w:shd w:val="clear" w:color="auto" w:fill="auto"/>
        <w:tabs>
          <w:tab w:val="left" w:pos="495"/>
        </w:tabs>
        <w:spacing w:after="100"/>
        <w:jc w:val="both"/>
      </w:pPr>
    </w:p>
    <w:p w:rsidR="0063097F" w:rsidRDefault="00A04689">
      <w:pPr>
        <w:pStyle w:val="Zkladntext"/>
        <w:numPr>
          <w:ilvl w:val="0"/>
          <w:numId w:val="3"/>
        </w:numPr>
        <w:shd w:val="clear" w:color="auto" w:fill="auto"/>
        <w:tabs>
          <w:tab w:val="left" w:pos="1062"/>
        </w:tabs>
        <w:ind w:left="1040" w:hanging="320"/>
        <w:jc w:val="both"/>
      </w:pPr>
      <w:r>
        <w:t>Příjemce se zavazuje poskytovat Spolupříjemci podporu dle skutečně vynaložených nákladů,</w:t>
      </w:r>
      <w:r w:rsidR="0042624F">
        <w:t xml:space="preserve">             </w:t>
      </w:r>
      <w:r>
        <w:t xml:space="preserve"> ve výši poskytovatelem schválených nákladů bezodkladně po jejím obdržení</w:t>
      </w:r>
      <w:r w:rsidR="0042624F">
        <w:t xml:space="preserve">                                                    </w:t>
      </w:r>
      <w:r>
        <w:t xml:space="preserve"> od poskytovatele.</w:t>
      </w:r>
    </w:p>
    <w:p w:rsidR="0063097F" w:rsidRDefault="00A04689">
      <w:pPr>
        <w:pStyle w:val="Zkladntext"/>
        <w:numPr>
          <w:ilvl w:val="0"/>
          <w:numId w:val="3"/>
        </w:numPr>
        <w:shd w:val="clear" w:color="auto" w:fill="auto"/>
        <w:tabs>
          <w:tab w:val="left" w:pos="1062"/>
        </w:tabs>
        <w:ind w:left="1040" w:hanging="320"/>
        <w:jc w:val="both"/>
      </w:pPr>
      <w:r>
        <w:t>Příjemce je povinen podat žádost o platbu a případně odstranit nedostatky žádosti ve lhůtě stanovené poskytovatelem.</w:t>
      </w:r>
    </w:p>
    <w:p w:rsidR="0063097F" w:rsidRDefault="00A04689">
      <w:pPr>
        <w:pStyle w:val="Zkladntext"/>
        <w:numPr>
          <w:ilvl w:val="0"/>
          <w:numId w:val="3"/>
        </w:numPr>
        <w:shd w:val="clear" w:color="auto" w:fill="auto"/>
        <w:tabs>
          <w:tab w:val="left" w:pos="1062"/>
        </w:tabs>
        <w:ind w:left="1040" w:hanging="320"/>
        <w:jc w:val="both"/>
      </w:pPr>
      <w:r>
        <w:t xml:space="preserve">Příjemce není oprávněn vzít zpět žádost o platbu ve vztahu k dotaci příslušící Spolupříjemci </w:t>
      </w:r>
      <w:r w:rsidR="00DF49B8">
        <w:t xml:space="preserve">          </w:t>
      </w:r>
      <w:r>
        <w:t>bez jeho předchozího písemného souhlasu.</w:t>
      </w:r>
    </w:p>
    <w:p w:rsidR="0063097F" w:rsidRDefault="00A04689">
      <w:pPr>
        <w:pStyle w:val="Zkladntext"/>
        <w:numPr>
          <w:ilvl w:val="0"/>
          <w:numId w:val="3"/>
        </w:numPr>
        <w:shd w:val="clear" w:color="auto" w:fill="auto"/>
        <w:tabs>
          <w:tab w:val="left" w:pos="1062"/>
        </w:tabs>
        <w:ind w:left="1040" w:hanging="320"/>
        <w:jc w:val="both"/>
      </w:pPr>
      <w:r>
        <w:t>Smluvní strana, která způsobí, že žádost o platbu bude poskytovatelem pozastavena nebo zamítnuta, odpovídá druhé Smluvní straně za způsobenou škodu.</w:t>
      </w:r>
    </w:p>
    <w:p w:rsidR="0063097F" w:rsidRDefault="00A04689">
      <w:pPr>
        <w:pStyle w:val="Zkladntext"/>
        <w:numPr>
          <w:ilvl w:val="0"/>
          <w:numId w:val="3"/>
        </w:numPr>
        <w:shd w:val="clear" w:color="auto" w:fill="auto"/>
        <w:tabs>
          <w:tab w:val="left" w:pos="1062"/>
        </w:tabs>
        <w:ind w:left="1040" w:hanging="320"/>
        <w:jc w:val="both"/>
      </w:pPr>
      <w:r>
        <w:t>Pro případ, že by Příjemce z jakéhokoli důvodu nepodal žádost o platbu nebo tuto žádost vzal neoprávněně zpět, zavazuje se Příjemce, že Spolupříjemci nahradí veškerou škodu vzniklou</w:t>
      </w:r>
      <w:r w:rsidR="0042624F">
        <w:t xml:space="preserve">            </w:t>
      </w:r>
      <w:r>
        <w:t xml:space="preserve"> v této souvislosti. Škodou se přitom rozumí i rozdíl mezi výší podpory, kterou Spolupříjemce skutečně obdrží, a výší podpory, kterou by Spolupříjemce obdržel, kdyby Příjemce dostál </w:t>
      </w:r>
      <w:r w:rsidR="0042624F">
        <w:t xml:space="preserve">                     </w:t>
      </w:r>
      <w:r>
        <w:t>svým povinnostem dle tohoto článku.</w:t>
      </w:r>
    </w:p>
    <w:p w:rsidR="0063097F" w:rsidRDefault="00A04689">
      <w:pPr>
        <w:pStyle w:val="Zkladntext"/>
        <w:numPr>
          <w:ilvl w:val="0"/>
          <w:numId w:val="3"/>
        </w:numPr>
        <w:shd w:val="clear" w:color="auto" w:fill="auto"/>
        <w:tabs>
          <w:tab w:val="left" w:pos="1062"/>
        </w:tabs>
        <w:ind w:left="1040" w:hanging="320"/>
        <w:jc w:val="both"/>
      </w:pPr>
      <w:r>
        <w:t>Příjemce se zavazuje poskytnutou finanční podporu (dotaci) bezodkladně převést na bankovní</w:t>
      </w:r>
      <w:r w:rsidR="0042624F">
        <w:t xml:space="preserve"> </w:t>
      </w:r>
      <w:r>
        <w:t xml:space="preserve"> účet Spolupříjemce uvedený v úvodu Smlouvy, a to nejpozději do deseti dnů od připsání </w:t>
      </w:r>
      <w:r w:rsidR="0042624F">
        <w:t xml:space="preserve">        </w:t>
      </w:r>
      <w:r>
        <w:t xml:space="preserve">finanční částky na účet Příjemce. Pro případ, že by Příjemce tuto svou povinnost porušil, bude Spolupříjemce oprávněn požadovat po Příjemci smluvní pokutu ve výši 0,1 % z částky </w:t>
      </w:r>
      <w:r w:rsidR="00510931">
        <w:t xml:space="preserve">            </w:t>
      </w:r>
      <w:r>
        <w:t>finanční podpory, ohledně níž je Příjemce v prodlení. Ujednáním o smluvní pokutě není</w:t>
      </w:r>
      <w:r w:rsidR="00510931">
        <w:t xml:space="preserve">            </w:t>
      </w:r>
      <w:r>
        <w:t xml:space="preserve"> dotčen nárok na náhradu škody.</w:t>
      </w:r>
    </w:p>
    <w:p w:rsidR="0063097F" w:rsidRDefault="00A04689">
      <w:pPr>
        <w:pStyle w:val="Zkladntext"/>
        <w:numPr>
          <w:ilvl w:val="0"/>
          <w:numId w:val="3"/>
        </w:numPr>
        <w:shd w:val="clear" w:color="auto" w:fill="auto"/>
        <w:tabs>
          <w:tab w:val="left" w:pos="1062"/>
        </w:tabs>
        <w:ind w:left="1040" w:hanging="320"/>
        <w:jc w:val="both"/>
      </w:pPr>
      <w:r>
        <w:t xml:space="preserve">Převedení stanovené části účelové podpory se považuje pouze za převod finančních </w:t>
      </w:r>
      <w:r w:rsidR="00510931">
        <w:t xml:space="preserve">         </w:t>
      </w:r>
      <w:r>
        <w:t>prostředků a nepovažuje se za úplatu za uskutečněné zdanitelné plnění.</w:t>
      </w:r>
    </w:p>
    <w:p w:rsidR="0063097F" w:rsidRDefault="00A04689">
      <w:pPr>
        <w:pStyle w:val="Zkladntext"/>
        <w:numPr>
          <w:ilvl w:val="0"/>
          <w:numId w:val="3"/>
        </w:numPr>
        <w:shd w:val="clear" w:color="auto" w:fill="auto"/>
        <w:tabs>
          <w:tab w:val="left" w:pos="1062"/>
        </w:tabs>
        <w:spacing w:after="420"/>
        <w:ind w:left="1040" w:hanging="320"/>
        <w:jc w:val="both"/>
      </w:pPr>
      <w:r>
        <w:t xml:space="preserve">Spolupříjemce dofinancuje zbývající podíl uznaných nákladů projektu dle rozpočtu projektu </w:t>
      </w:r>
      <w:r w:rsidR="00510931">
        <w:t xml:space="preserve">               </w:t>
      </w:r>
      <w:r>
        <w:t>z vlastních zdrojů. Rozpočet projektu je obsahem přílohy č. 2 této Smlouvy.</w:t>
      </w:r>
    </w:p>
    <w:p w:rsidR="0063097F" w:rsidRDefault="00A04689">
      <w:pPr>
        <w:pStyle w:val="Zkladntext"/>
        <w:shd w:val="clear" w:color="auto" w:fill="auto"/>
        <w:spacing w:line="257" w:lineRule="auto"/>
        <w:jc w:val="center"/>
        <w:rPr>
          <w:sz w:val="18"/>
          <w:szCs w:val="18"/>
        </w:rPr>
      </w:pPr>
      <w:r>
        <w:rPr>
          <w:b/>
          <w:bCs/>
          <w:sz w:val="18"/>
          <w:szCs w:val="18"/>
        </w:rPr>
        <w:t>Článek 4</w:t>
      </w:r>
    </w:p>
    <w:p w:rsidR="0063097F" w:rsidRDefault="00A04689">
      <w:pPr>
        <w:pStyle w:val="Heading20"/>
        <w:keepNext/>
        <w:keepLines/>
        <w:shd w:val="clear" w:color="auto" w:fill="auto"/>
      </w:pPr>
      <w:bookmarkStart w:id="6" w:name="bookmark4"/>
      <w:bookmarkStart w:id="7" w:name="bookmark5"/>
      <w:r>
        <w:t>Další závazky Smluvních stran</w:t>
      </w:r>
      <w:bookmarkEnd w:id="6"/>
      <w:bookmarkEnd w:id="7"/>
    </w:p>
    <w:p w:rsidR="0063097F" w:rsidRDefault="00A04689">
      <w:pPr>
        <w:pStyle w:val="Zkladntext"/>
        <w:numPr>
          <w:ilvl w:val="0"/>
          <w:numId w:val="4"/>
        </w:numPr>
        <w:shd w:val="clear" w:color="auto" w:fill="auto"/>
        <w:tabs>
          <w:tab w:val="left" w:pos="1062"/>
        </w:tabs>
        <w:ind w:left="1040" w:hanging="320"/>
        <w:jc w:val="both"/>
      </w:pPr>
      <w:r>
        <w:t>Příjemce a Spolupříjemce jsou povinni jednat způsobem, který neohrožuje poskytnutí</w:t>
      </w:r>
      <w:r w:rsidR="00510931">
        <w:t xml:space="preserve">           </w:t>
      </w:r>
      <w:r>
        <w:t xml:space="preserve"> podpory, realizaci projektu a zájmy druhé Smluvní strany.</w:t>
      </w:r>
    </w:p>
    <w:p w:rsidR="0063097F" w:rsidRDefault="00A04689">
      <w:pPr>
        <w:pStyle w:val="Zkladntext"/>
        <w:numPr>
          <w:ilvl w:val="0"/>
          <w:numId w:val="4"/>
        </w:numPr>
        <w:shd w:val="clear" w:color="auto" w:fill="auto"/>
        <w:tabs>
          <w:tab w:val="left" w:pos="1062"/>
        </w:tabs>
        <w:ind w:left="1040" w:hanging="320"/>
        <w:jc w:val="both"/>
      </w:pPr>
      <w:r>
        <w:t xml:space="preserve">Příjemce a Spolupříjemce jsou povinni dodržovat podmínky stanovené v této Smlouvě, výzvě </w:t>
      </w:r>
      <w:r w:rsidR="00510931">
        <w:t xml:space="preserve">      </w:t>
      </w:r>
      <w:r>
        <w:t xml:space="preserve">OP TAK, Rozhodnutí o poskytnutí dotace, Pravidlech pro žadatele a příjemce z OP TAK - </w:t>
      </w:r>
      <w:r w:rsidR="00510931">
        <w:t xml:space="preserve">      </w:t>
      </w:r>
      <w:r>
        <w:t xml:space="preserve">obecná a zvláštní část, Pravidly pro výběr dodavatelů, Výzvou Aplikace - výzva I. a v dalších závazných dokumentech poskytovatele, které se vztahují k Projektu. Spolupříjemce se řídí </w:t>
      </w:r>
      <w:r w:rsidR="00BB0DB3">
        <w:t xml:space="preserve">      </w:t>
      </w:r>
      <w:r>
        <w:t>těmito podmínkami s výjimkou těch, které se z podstaty vztahují pouze k Příjemci.</w:t>
      </w:r>
    </w:p>
    <w:p w:rsidR="0063097F" w:rsidRDefault="00A04689">
      <w:pPr>
        <w:pStyle w:val="Zkladntext"/>
        <w:numPr>
          <w:ilvl w:val="0"/>
          <w:numId w:val="4"/>
        </w:numPr>
        <w:shd w:val="clear" w:color="auto" w:fill="auto"/>
        <w:tabs>
          <w:tab w:val="left" w:pos="1062"/>
        </w:tabs>
        <w:ind w:left="1040" w:hanging="320"/>
        <w:jc w:val="both"/>
      </w:pPr>
      <w:r>
        <w:t>Smluvní strany mají navzájem právo na informace týkající se Projektu, jeho finančního řízení, dosažených výsledků a související dokumentace.</w:t>
      </w:r>
    </w:p>
    <w:p w:rsidR="0063097F" w:rsidRDefault="00A04689">
      <w:pPr>
        <w:pStyle w:val="Zkladntext"/>
        <w:numPr>
          <w:ilvl w:val="0"/>
          <w:numId w:val="4"/>
        </w:numPr>
        <w:shd w:val="clear" w:color="auto" w:fill="auto"/>
        <w:tabs>
          <w:tab w:val="left" w:pos="1062"/>
        </w:tabs>
        <w:ind w:left="1040" w:hanging="320"/>
        <w:jc w:val="both"/>
      </w:pPr>
      <w:r>
        <w:t xml:space="preserve">Příjemce zajistí a poskytne Spolupříjemci, v rozsahu nezbytném pro realizaci projektu, přístup </w:t>
      </w:r>
      <w:r w:rsidR="00BB0DB3">
        <w:t xml:space="preserve">          </w:t>
      </w:r>
      <w:r>
        <w:t>k vývojovému prostředí a infrastruktuře (hardware, software atp.).</w:t>
      </w:r>
    </w:p>
    <w:p w:rsidR="0063097F" w:rsidRDefault="00A04689">
      <w:pPr>
        <w:pStyle w:val="Zkladntext"/>
        <w:numPr>
          <w:ilvl w:val="0"/>
          <w:numId w:val="4"/>
        </w:numPr>
        <w:shd w:val="clear" w:color="auto" w:fill="auto"/>
        <w:tabs>
          <w:tab w:val="left" w:pos="1062"/>
        </w:tabs>
        <w:ind w:left="1040" w:hanging="320"/>
        <w:jc w:val="both"/>
      </w:pPr>
      <w:r>
        <w:t xml:space="preserve">Spolupříjemce nenese žádnou odpovědnost ve spojitosti s komerčním využíváním výsledků Projektu ze strany Příjemce. Spolupříjemci v této souvislosti nevzniknou žádné závazky vůči </w:t>
      </w:r>
      <w:r w:rsidR="00BB0DB3">
        <w:t xml:space="preserve">     </w:t>
      </w:r>
      <w:r>
        <w:t>třetím osobám.</w:t>
      </w:r>
    </w:p>
    <w:p w:rsidR="0063097F" w:rsidRDefault="00A04689">
      <w:pPr>
        <w:pStyle w:val="Zkladntext"/>
        <w:numPr>
          <w:ilvl w:val="0"/>
          <w:numId w:val="4"/>
        </w:numPr>
        <w:shd w:val="clear" w:color="auto" w:fill="auto"/>
        <w:tabs>
          <w:tab w:val="left" w:pos="1062"/>
        </w:tabs>
        <w:ind w:left="1040" w:hanging="320"/>
        <w:jc w:val="both"/>
      </w:pPr>
      <w:r>
        <w:t xml:space="preserve">Každá smluvní strana odpovídá za škodu druhé smluvní straně nebo třetí osobě, která </w:t>
      </w:r>
      <w:r w:rsidR="00C43F06">
        <w:t xml:space="preserve">           </w:t>
      </w:r>
      <w:r>
        <w:t>vznikne porušením jejích povinností vyplývajících z této Smlouvy nebo závazných dokumentů poskytovatele, které se vztahují k Projektu.</w:t>
      </w:r>
    </w:p>
    <w:p w:rsidR="0063097F" w:rsidRDefault="00A04689">
      <w:pPr>
        <w:pStyle w:val="Zkladntext"/>
        <w:numPr>
          <w:ilvl w:val="0"/>
          <w:numId w:val="4"/>
        </w:numPr>
        <w:shd w:val="clear" w:color="auto" w:fill="auto"/>
        <w:tabs>
          <w:tab w:val="left" w:pos="1062"/>
        </w:tabs>
        <w:spacing w:after="420"/>
        <w:ind w:left="1040" w:hanging="320"/>
        <w:jc w:val="both"/>
      </w:pPr>
      <w:r>
        <w:t>Odpovědnost vůči poskytovateli za použití finanční podpory oběma smluvními stranami nese Příjemce.</w:t>
      </w:r>
    </w:p>
    <w:p w:rsidR="0063097F" w:rsidRDefault="00A04689">
      <w:pPr>
        <w:pStyle w:val="Zkladntext"/>
        <w:shd w:val="clear" w:color="auto" w:fill="auto"/>
        <w:spacing w:line="257" w:lineRule="auto"/>
        <w:jc w:val="center"/>
        <w:rPr>
          <w:sz w:val="18"/>
          <w:szCs w:val="18"/>
        </w:rPr>
      </w:pPr>
      <w:r>
        <w:rPr>
          <w:b/>
          <w:bCs/>
          <w:sz w:val="18"/>
          <w:szCs w:val="18"/>
        </w:rPr>
        <w:t>Článek 5</w:t>
      </w:r>
    </w:p>
    <w:p w:rsidR="0063097F" w:rsidRDefault="00A04689">
      <w:pPr>
        <w:pStyle w:val="Heading20"/>
        <w:keepNext/>
        <w:keepLines/>
        <w:shd w:val="clear" w:color="auto" w:fill="auto"/>
      </w:pPr>
      <w:bookmarkStart w:id="8" w:name="bookmark6"/>
      <w:bookmarkStart w:id="9" w:name="bookmark7"/>
      <w:r>
        <w:t>Závěrečná ustanovení</w:t>
      </w:r>
      <w:bookmarkEnd w:id="8"/>
      <w:bookmarkEnd w:id="9"/>
    </w:p>
    <w:p w:rsidR="0063097F" w:rsidRDefault="00A04689">
      <w:pPr>
        <w:pStyle w:val="Zkladntext"/>
        <w:numPr>
          <w:ilvl w:val="0"/>
          <w:numId w:val="5"/>
        </w:numPr>
        <w:shd w:val="clear" w:color="auto" w:fill="auto"/>
        <w:tabs>
          <w:tab w:val="left" w:pos="1062"/>
        </w:tabs>
        <w:ind w:left="1040" w:hanging="320"/>
        <w:jc w:val="both"/>
      </w:pPr>
      <w:r>
        <w:t>Smlouva nabývá platnosti dnem jejího podpisu poslední ze smluvních stran. Smlouva nabývá účinnosti dnem jejího uveřejnění v registru smluv.</w:t>
      </w:r>
    </w:p>
    <w:p w:rsidR="0063097F" w:rsidRDefault="00A04689">
      <w:pPr>
        <w:pStyle w:val="Zkladntext"/>
        <w:numPr>
          <w:ilvl w:val="0"/>
          <w:numId w:val="5"/>
        </w:numPr>
        <w:shd w:val="clear" w:color="auto" w:fill="auto"/>
        <w:tabs>
          <w:tab w:val="left" w:pos="1062"/>
        </w:tabs>
        <w:ind w:left="1040" w:hanging="320"/>
        <w:jc w:val="both"/>
      </w:pPr>
      <w:r>
        <w:t xml:space="preserve">Smlouva se uzavírá na dobu řešení Projektu a jeho udržitelnosti (tři roky od ukončení </w:t>
      </w:r>
      <w:r w:rsidR="00C43F06">
        <w:t xml:space="preserve">            </w:t>
      </w:r>
      <w:r>
        <w:t>projektu).</w:t>
      </w:r>
    </w:p>
    <w:p w:rsidR="0063097F" w:rsidRDefault="00A04689">
      <w:pPr>
        <w:pStyle w:val="Zkladntext"/>
        <w:numPr>
          <w:ilvl w:val="0"/>
          <w:numId w:val="5"/>
        </w:numPr>
        <w:shd w:val="clear" w:color="auto" w:fill="auto"/>
        <w:tabs>
          <w:tab w:val="left" w:pos="1062"/>
        </w:tabs>
        <w:ind w:left="1040" w:hanging="320"/>
        <w:jc w:val="both"/>
      </w:pPr>
      <w:r>
        <w:t xml:space="preserve">Tato Smlouva je vyhotovena ve čtyřech vyhotoveních, každé s platností originálu, přičemž </w:t>
      </w:r>
      <w:r w:rsidR="00C43F06">
        <w:t xml:space="preserve">        </w:t>
      </w:r>
      <w:r>
        <w:t>každá ze Smluvních stran obdrží dvě vyhotovení.</w:t>
      </w:r>
    </w:p>
    <w:p w:rsidR="00C43F06" w:rsidRDefault="00C43F06" w:rsidP="00C43F06">
      <w:pPr>
        <w:pStyle w:val="Zkladntext"/>
        <w:shd w:val="clear" w:color="auto" w:fill="auto"/>
        <w:tabs>
          <w:tab w:val="left" w:pos="1062"/>
        </w:tabs>
        <w:jc w:val="both"/>
      </w:pPr>
    </w:p>
    <w:p w:rsidR="00C43F06" w:rsidRDefault="00C43F06" w:rsidP="00C43F06">
      <w:pPr>
        <w:pStyle w:val="Zkladntext"/>
        <w:shd w:val="clear" w:color="auto" w:fill="auto"/>
        <w:tabs>
          <w:tab w:val="left" w:pos="1062"/>
        </w:tabs>
        <w:jc w:val="both"/>
      </w:pPr>
    </w:p>
    <w:p w:rsidR="00C43F06" w:rsidRDefault="00C43F06" w:rsidP="00C43F06">
      <w:pPr>
        <w:pStyle w:val="Zkladntext"/>
        <w:shd w:val="clear" w:color="auto" w:fill="auto"/>
        <w:tabs>
          <w:tab w:val="left" w:pos="1062"/>
        </w:tabs>
        <w:jc w:val="both"/>
      </w:pPr>
    </w:p>
    <w:p w:rsidR="00C43F06" w:rsidRDefault="00C43F06" w:rsidP="00C43F06">
      <w:pPr>
        <w:pStyle w:val="Zkladntext"/>
        <w:shd w:val="clear" w:color="auto" w:fill="auto"/>
        <w:tabs>
          <w:tab w:val="left" w:pos="1062"/>
        </w:tabs>
        <w:jc w:val="both"/>
        <w:sectPr w:rsidR="00C43F06" w:rsidSect="001203FA">
          <w:type w:val="continuous"/>
          <w:pgSz w:w="11900" w:h="16840"/>
          <w:pgMar w:top="1694" w:right="1461" w:bottom="1549" w:left="1189" w:header="0" w:footer="3" w:gutter="0"/>
          <w:cols w:space="720"/>
          <w:noEndnote/>
          <w:docGrid w:linePitch="360"/>
        </w:sectPr>
      </w:pPr>
    </w:p>
    <w:p w:rsidR="0063097F" w:rsidRDefault="00A04689">
      <w:pPr>
        <w:pStyle w:val="Zkladntext"/>
        <w:numPr>
          <w:ilvl w:val="0"/>
          <w:numId w:val="5"/>
        </w:numPr>
        <w:shd w:val="clear" w:color="auto" w:fill="auto"/>
        <w:tabs>
          <w:tab w:val="left" w:pos="1082"/>
        </w:tabs>
        <w:ind w:left="1060" w:hanging="320"/>
        <w:jc w:val="both"/>
      </w:pPr>
      <w:r>
        <w:t>Změny nebo doplňky této Smlouvy lze provádět výhradně na základě dohody Smluvních stran formou vzestupně číslovaných písemných dodatků podepsaných oprávněnými zástupci obou Smluvních stran.</w:t>
      </w:r>
    </w:p>
    <w:p w:rsidR="0063097F" w:rsidRDefault="00A04689">
      <w:pPr>
        <w:pStyle w:val="Zkladntext"/>
        <w:numPr>
          <w:ilvl w:val="0"/>
          <w:numId w:val="5"/>
        </w:numPr>
        <w:shd w:val="clear" w:color="auto" w:fill="auto"/>
        <w:tabs>
          <w:tab w:val="left" w:pos="1082"/>
        </w:tabs>
        <w:ind w:left="1060" w:hanging="320"/>
        <w:jc w:val="both"/>
      </w:pPr>
      <w:r>
        <w:t>Příjemce i Spolupříjemce podpisy svých oprávněných zástupců níže potvrzují, že souhlasí s</w:t>
      </w:r>
      <w:r w:rsidR="00C43F06">
        <w:t xml:space="preserve">        </w:t>
      </w:r>
      <w:r>
        <w:t xml:space="preserve"> tím, aby Smlouva včetně jejích příloh a případných dodatků </w:t>
      </w:r>
      <w:r>
        <w:rPr>
          <w:lang w:val="en-US" w:eastAsia="en-US" w:bidi="en-US"/>
        </w:rPr>
        <w:t xml:space="preserve">a metadata </w:t>
      </w:r>
      <w:r>
        <w:t xml:space="preserve">k této Smlouvě byly uveřejněny v registru smluv v souladu se zákonem č. 340/2015 Sb., o zvláštních podmínkách účinnosti některých smluv, uveřejňování těchto smluv a o registru smluv (zákon o registru </w:t>
      </w:r>
      <w:r w:rsidR="00BE0FBD">
        <w:t xml:space="preserve">      </w:t>
      </w:r>
      <w:r>
        <w:t xml:space="preserve">smluv), ve znění pozdějších předpisů. Smluvní strany se dohodly, že podklady dle tohoto </w:t>
      </w:r>
      <w:r w:rsidR="00E83D7E">
        <w:t xml:space="preserve">    </w:t>
      </w:r>
      <w:r>
        <w:t>odstavce odešle za účelem jejich uveřejnění správci registru smluv Spolupříjemce; tím není dotčeno právo Příjemce k jejich odeslání.</w:t>
      </w:r>
    </w:p>
    <w:p w:rsidR="0063097F" w:rsidRDefault="00A04689">
      <w:pPr>
        <w:pStyle w:val="Zkladntext"/>
        <w:numPr>
          <w:ilvl w:val="0"/>
          <w:numId w:val="5"/>
        </w:numPr>
        <w:shd w:val="clear" w:color="auto" w:fill="auto"/>
        <w:tabs>
          <w:tab w:val="left" w:pos="1082"/>
        </w:tabs>
        <w:ind w:left="1060" w:hanging="320"/>
        <w:jc w:val="both"/>
      </w:pPr>
      <w:r>
        <w:t xml:space="preserve">Právní vztahy výslovně neupravené touto Smlouvou se řídí obecně závaznými právními </w:t>
      </w:r>
      <w:r w:rsidR="00E83D7E">
        <w:t xml:space="preserve">     </w:t>
      </w:r>
      <w:r>
        <w:t>předpisy, zejména občanským zákoníkem a zákonem o podpoře výzkumu a vývoje.</w:t>
      </w:r>
    </w:p>
    <w:p w:rsidR="0063097F" w:rsidRDefault="00A04689">
      <w:pPr>
        <w:pStyle w:val="Zkladntext"/>
        <w:numPr>
          <w:ilvl w:val="0"/>
          <w:numId w:val="5"/>
        </w:numPr>
        <w:shd w:val="clear" w:color="auto" w:fill="auto"/>
        <w:tabs>
          <w:tab w:val="left" w:pos="1082"/>
        </w:tabs>
        <w:ind w:left="1060" w:hanging="320"/>
        <w:jc w:val="both"/>
        <w:sectPr w:rsidR="0063097F">
          <w:footerReference w:type="even" r:id="rId12"/>
          <w:footerReference w:type="default" r:id="rId13"/>
          <w:type w:val="continuous"/>
          <w:pgSz w:w="11900" w:h="16840"/>
          <w:pgMar w:top="1694" w:right="1461" w:bottom="1549" w:left="1189" w:header="1266" w:footer="3" w:gutter="0"/>
          <w:cols w:space="720"/>
          <w:noEndnote/>
          <w:docGrid w:linePitch="360"/>
        </w:sectPr>
      </w:pPr>
      <w:r>
        <w:t xml:space="preserve">Smluvní strany potvrzují, že jsou seznámeny s obsahem této Smlouvy a že ji uzavírají na </w:t>
      </w:r>
      <w:r w:rsidR="00E83D7E">
        <w:t xml:space="preserve">      </w:t>
      </w:r>
      <w:r>
        <w:t>základě své svobodné a vážné vůle, nikoliv v tísni a za nápadně nevýhodných podmínek, a na důkaz toho připojují podpisy svých oprávněných zástupců.</w:t>
      </w:r>
    </w:p>
    <w:p w:rsidR="0063097F" w:rsidRDefault="0063097F">
      <w:pPr>
        <w:spacing w:line="240" w:lineRule="exact"/>
        <w:rPr>
          <w:sz w:val="19"/>
          <w:szCs w:val="19"/>
        </w:rPr>
      </w:pPr>
    </w:p>
    <w:p w:rsidR="0063097F" w:rsidRDefault="0063097F">
      <w:pPr>
        <w:spacing w:line="240" w:lineRule="exact"/>
        <w:rPr>
          <w:sz w:val="19"/>
          <w:szCs w:val="19"/>
        </w:rPr>
      </w:pPr>
    </w:p>
    <w:p w:rsidR="0063097F" w:rsidRDefault="0063097F">
      <w:pPr>
        <w:spacing w:line="240" w:lineRule="exact"/>
        <w:rPr>
          <w:sz w:val="19"/>
          <w:szCs w:val="19"/>
        </w:rPr>
      </w:pPr>
    </w:p>
    <w:p w:rsidR="0063097F" w:rsidRDefault="0063097F">
      <w:pPr>
        <w:spacing w:before="46" w:after="46" w:line="240" w:lineRule="exact"/>
        <w:rPr>
          <w:sz w:val="19"/>
          <w:szCs w:val="19"/>
        </w:rPr>
      </w:pPr>
    </w:p>
    <w:p w:rsidR="0063097F" w:rsidRDefault="0063097F">
      <w:pPr>
        <w:spacing w:line="1" w:lineRule="exact"/>
        <w:sectPr w:rsidR="0063097F">
          <w:type w:val="continuous"/>
          <w:pgSz w:w="11900" w:h="16840"/>
          <w:pgMar w:top="1690" w:right="0" w:bottom="7428" w:left="0" w:header="0" w:footer="3" w:gutter="0"/>
          <w:cols w:space="720"/>
          <w:noEndnote/>
          <w:docGrid w:linePitch="360"/>
        </w:sectPr>
      </w:pPr>
    </w:p>
    <w:p w:rsidR="0063097F" w:rsidRDefault="00A04689">
      <w:pPr>
        <w:pStyle w:val="Zkladntext"/>
        <w:shd w:val="clear" w:color="auto" w:fill="auto"/>
        <w:tabs>
          <w:tab w:val="left" w:leader="dot" w:pos="2381"/>
        </w:tabs>
      </w:pPr>
      <w:r>
        <w:t>V Táboře dne</w:t>
      </w:r>
      <w:r>
        <w:tab/>
      </w:r>
    </w:p>
    <w:p w:rsidR="00CC76E3" w:rsidRDefault="00CC76E3">
      <w:pPr>
        <w:pStyle w:val="Zkladntext"/>
        <w:shd w:val="clear" w:color="auto" w:fill="auto"/>
        <w:tabs>
          <w:tab w:val="left" w:leader="dot" w:pos="2381"/>
        </w:tabs>
      </w:pPr>
    </w:p>
    <w:p w:rsidR="0063097F" w:rsidRDefault="00A04689">
      <w:pPr>
        <w:pStyle w:val="Zkladntext"/>
        <w:shd w:val="clear" w:color="auto" w:fill="auto"/>
        <w:tabs>
          <w:tab w:val="left" w:leader="dot" w:pos="2213"/>
        </w:tabs>
        <w:sectPr w:rsidR="0063097F">
          <w:type w:val="continuous"/>
          <w:pgSz w:w="11900" w:h="16840"/>
          <w:pgMar w:top="1690" w:right="3168" w:bottom="7428" w:left="1488" w:header="0" w:footer="3" w:gutter="0"/>
          <w:cols w:num="2" w:space="2458"/>
          <w:noEndnote/>
          <w:docGrid w:linePitch="360"/>
        </w:sectPr>
      </w:pPr>
      <w:r>
        <w:t>V Praze dne</w:t>
      </w:r>
      <w:r>
        <w:tab/>
      </w:r>
    </w:p>
    <w:p w:rsidR="0063097F" w:rsidRDefault="0063097F">
      <w:pPr>
        <w:spacing w:before="28" w:after="28" w:line="240" w:lineRule="exact"/>
        <w:rPr>
          <w:sz w:val="19"/>
          <w:szCs w:val="19"/>
        </w:rPr>
      </w:pPr>
    </w:p>
    <w:p w:rsidR="00CC76E3" w:rsidRDefault="00CC76E3" w:rsidP="00E83D7E">
      <w:pPr>
        <w:spacing w:before="28" w:after="28" w:line="240" w:lineRule="exact"/>
        <w:ind w:left="708"/>
        <w:rPr>
          <w:sz w:val="19"/>
          <w:szCs w:val="19"/>
        </w:rPr>
      </w:pPr>
    </w:p>
    <w:p w:rsidR="00E83D7E" w:rsidRDefault="00E83D7E" w:rsidP="00E83D7E">
      <w:pPr>
        <w:spacing w:before="28" w:after="28" w:line="240" w:lineRule="exact"/>
        <w:ind w:left="708"/>
        <w:jc w:val="center"/>
        <w:rPr>
          <w:sz w:val="19"/>
          <w:szCs w:val="19"/>
        </w:rPr>
      </w:pPr>
    </w:p>
    <w:p w:rsidR="00E83D7E" w:rsidRDefault="00E83D7E" w:rsidP="00E83D7E">
      <w:pPr>
        <w:spacing w:before="28" w:after="28" w:line="240" w:lineRule="exact"/>
        <w:jc w:val="center"/>
        <w:rPr>
          <w:sz w:val="19"/>
          <w:szCs w:val="19"/>
        </w:rPr>
      </w:pPr>
    </w:p>
    <w:p w:rsidR="000F4B3E" w:rsidRDefault="000F4B3E" w:rsidP="00E83D7E">
      <w:pPr>
        <w:spacing w:line="240" w:lineRule="exact"/>
        <w:jc w:val="center"/>
        <w:rPr>
          <w:sz w:val="20"/>
          <w:szCs w:val="20"/>
        </w:rPr>
      </w:pPr>
    </w:p>
    <w:p w:rsidR="000F4B3E" w:rsidRDefault="000F4B3E" w:rsidP="00E83D7E">
      <w:pPr>
        <w:spacing w:line="240" w:lineRule="exact"/>
        <w:jc w:val="center"/>
        <w:rPr>
          <w:sz w:val="20"/>
          <w:szCs w:val="20"/>
        </w:rPr>
      </w:pPr>
      <w:r w:rsidRPr="000F4B3E">
        <w:rPr>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3318510</wp:posOffset>
                </wp:positionH>
                <wp:positionV relativeFrom="paragraph">
                  <wp:posOffset>142875</wp:posOffset>
                </wp:positionV>
                <wp:extent cx="3238500" cy="1821815"/>
                <wp:effectExtent l="0" t="0" r="19050" b="2603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821815"/>
                        </a:xfrm>
                        <a:prstGeom prst="rect">
                          <a:avLst/>
                        </a:prstGeom>
                        <a:solidFill>
                          <a:srgbClr val="FFFFFF"/>
                        </a:solidFill>
                        <a:ln w="9525">
                          <a:solidFill>
                            <a:schemeClr val="bg1"/>
                          </a:solidFill>
                          <a:miter lim="800000"/>
                          <a:headEnd/>
                          <a:tailEnd/>
                        </a:ln>
                      </wps:spPr>
                      <wps:txbx>
                        <w:txbxContent>
                          <w:p w:rsidR="00827ACB" w:rsidRPr="00E83D7E" w:rsidRDefault="00827ACB" w:rsidP="000F4B3E">
                            <w:pPr>
                              <w:spacing w:line="240" w:lineRule="exact"/>
                              <w:jc w:val="center"/>
                              <w:rPr>
                                <w:sz w:val="20"/>
                                <w:szCs w:val="20"/>
                              </w:rPr>
                            </w:pPr>
                            <w:r>
                              <w:t xml:space="preserve"> </w:t>
                            </w:r>
                            <w:r>
                              <w:rPr>
                                <w:sz w:val="20"/>
                                <w:szCs w:val="20"/>
                              </w:rPr>
                              <w:t>XXXX</w:t>
                            </w:r>
                          </w:p>
                          <w:p w:rsidR="00827ACB" w:rsidRDefault="00827ACB" w:rsidP="000F4B3E">
                            <w:pPr>
                              <w:spacing w:before="28" w:after="28" w:line="240" w:lineRule="exact"/>
                              <w:jc w:val="center"/>
                              <w:rPr>
                                <w:sz w:val="19"/>
                                <w:szCs w:val="19"/>
                              </w:rPr>
                            </w:pPr>
                            <w:r>
                              <w:rPr>
                                <w:sz w:val="19"/>
                                <w:szCs w:val="19"/>
                              </w:rPr>
                              <w:t xml:space="preserve">_____________________ </w:t>
                            </w:r>
                          </w:p>
                          <w:p w:rsidR="00827ACB" w:rsidRDefault="00827ACB" w:rsidP="000F4B3E">
                            <w:pPr>
                              <w:spacing w:before="28" w:after="28" w:line="240" w:lineRule="exact"/>
                              <w:jc w:val="center"/>
                              <w:rPr>
                                <w:sz w:val="19"/>
                                <w:szCs w:val="19"/>
                              </w:rPr>
                            </w:pPr>
                            <w:r>
                              <w:rPr>
                                <w:sz w:val="19"/>
                                <w:szCs w:val="19"/>
                              </w:rPr>
                              <w:t xml:space="preserve">XXXX                    </w:t>
                            </w:r>
                          </w:p>
                          <w:p w:rsidR="00827ACB" w:rsidRPr="000F4B3E" w:rsidRDefault="00827ACB" w:rsidP="000F4B3E">
                            <w:pPr>
                              <w:jc w:val="center"/>
                              <w:rPr>
                                <w:sz w:val="20"/>
                                <w:szCs w:val="20"/>
                              </w:rPr>
                            </w:pPr>
                            <w:r w:rsidRPr="000F4B3E">
                              <w:rPr>
                                <w:sz w:val="20"/>
                                <w:szCs w:val="20"/>
                              </w:rPr>
                              <w:t>Pověřená řízením Výzkumného</w:t>
                            </w:r>
                          </w:p>
                          <w:p w:rsidR="00827ACB" w:rsidRPr="000F4B3E" w:rsidRDefault="00827ACB" w:rsidP="000F4B3E">
                            <w:pPr>
                              <w:jc w:val="center"/>
                              <w:rPr>
                                <w:sz w:val="20"/>
                                <w:szCs w:val="20"/>
                              </w:rPr>
                            </w:pPr>
                            <w:r w:rsidRPr="000F4B3E">
                              <w:rPr>
                                <w:sz w:val="20"/>
                                <w:szCs w:val="20"/>
                              </w:rPr>
                              <w:t>Ústavu živočišné výroby, v.v.i.</w:t>
                            </w:r>
                          </w:p>
                          <w:p w:rsidR="00827ACB" w:rsidRPr="000F4B3E" w:rsidRDefault="00827ACB" w:rsidP="000F4B3E">
                            <w:pPr>
                              <w:jc w:val="center"/>
                              <w:rPr>
                                <w:sz w:val="20"/>
                                <w:szCs w:val="20"/>
                              </w:rPr>
                            </w:pPr>
                            <w:r w:rsidRPr="000F4B3E">
                              <w:rPr>
                                <w:sz w:val="20"/>
                                <w:szCs w:val="20"/>
                              </w:rPr>
                              <w:t>(za Spolupříjemce)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261.3pt;margin-top:11.25pt;width:255pt;height:14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1xxNAIAAEsEAAAOAAAAZHJzL2Uyb0RvYy54bWysVF1u2zAMfh+wOwh6X/zTZE2NOEWXLsOA&#10;7gdodwBZlm1hsqhJSuzsRjvHLjZKTtO0exvmB4EUqY/kR9Kr67FXZC+sk6BLms1SSoTmUEvdlvTb&#10;w/bNkhLnma6ZAi1KehCOXq9fv1oNphA5dKBqYQmCaFcMpqSd96ZIEsc70TM3AyM0GhuwPfOo2jap&#10;LRsQvVdJnqZvkwFsbSxw4Rze3k5Guo74TSO4/9I0TniiSoq5+XjaeFbhTNYrVrSWmU7yYxrsH7Lo&#10;mdQY9AR1yzwjOyv/guolt+Cg8TMOfQJNI7mINWA1WfqimvuOGRFrQXKcOdHk/h8s/7z/aomsS5pn&#10;l5Ro1mOTHsToYf/7FzGgBMkDSYNxBfreG/T24zsYsdmxYGfugH93RMOmY7oVN9bC0AlWY5JZeJmc&#10;PZ1wXACphk9QYyy28xCBxsb2gUHkhCA6NutwahDmQzheXuQXy0WKJo62bJlny2wRY7Di8bmxzn8Q&#10;0JMglNTiBER4tr9zPqTDikeXEM2BkvVWKhUV21YbZcme4bRs43dEf+amNBlKerXIFxMDzyDC4IoT&#10;SNVOHLwI1EuPU69kX9JlGr4QhhWBtve6jrJnUk0yZqz0kcdA3USiH6sRHQO5FdQHZNTCNN24jSh0&#10;YH9SMuBkl9T92DErKFEfNXblKpvPwypEZb64zFGx55bq3MI0R6iSekomcePj+oR8Ndxg9xoZeX3K&#10;5JgrTmyk+7hdYSXO9ej19A9Y/wEAAP//AwBQSwMEFAAGAAgAAAAhAKCyOUHfAAAACwEAAA8AAABk&#10;cnMvZG93bnJldi54bWxMj8FOwzAMhu9IvENkJG4sodsqVupOCMRuCFHQ4Jg2pq1onKrJtsLTk57g&#10;aPvT7+/Pt5PtxZFG3zlGuF4oEMS1Mx03CG+vj1c3IHzQbHTvmBC+ycO2OD/LdWbciV/oWIZGxBD2&#10;mUZoQxgyKX3dktV+4QbiePt0o9UhjmMjzahPMdz2MlEqlVZ3HD+0eqD7luqv8mARfK3S/fOq3L9X&#10;ckc/G2MePnZPiJcX090tiEBT+INh1o/qUESnyh3YeNEjrJMkjShCkqxBzIBazpsKYak2K5BFLv93&#10;KH4BAAD//wMAUEsBAi0AFAAGAAgAAAAhALaDOJL+AAAA4QEAABMAAAAAAAAAAAAAAAAAAAAAAFtD&#10;b250ZW50X1R5cGVzXS54bWxQSwECLQAUAAYACAAAACEAOP0h/9YAAACUAQAACwAAAAAAAAAAAAAA&#10;AAAvAQAAX3JlbHMvLnJlbHNQSwECLQAUAAYACAAAACEAROtccTQCAABLBAAADgAAAAAAAAAAAAAA&#10;AAAuAgAAZHJzL2Uyb0RvYy54bWxQSwECLQAUAAYACAAAACEAoLI5Qd8AAAALAQAADwAAAAAAAAAA&#10;AAAAAACOBAAAZHJzL2Rvd25yZXYueG1sUEsFBgAAAAAEAAQA8wAAAJoFAAAAAA==&#10;" strokecolor="white [3212]">
                <v:textbox>
                  <w:txbxContent>
                    <w:p w:rsidR="00827ACB" w:rsidRPr="00E83D7E" w:rsidRDefault="00827ACB" w:rsidP="000F4B3E">
                      <w:pPr>
                        <w:spacing w:line="240" w:lineRule="exact"/>
                        <w:jc w:val="center"/>
                        <w:rPr>
                          <w:sz w:val="20"/>
                          <w:szCs w:val="20"/>
                        </w:rPr>
                      </w:pPr>
                      <w:r>
                        <w:t xml:space="preserve"> </w:t>
                      </w:r>
                      <w:r>
                        <w:rPr>
                          <w:sz w:val="20"/>
                          <w:szCs w:val="20"/>
                        </w:rPr>
                        <w:t>XXXX</w:t>
                      </w:r>
                    </w:p>
                    <w:p w:rsidR="00827ACB" w:rsidRDefault="00827ACB" w:rsidP="000F4B3E">
                      <w:pPr>
                        <w:spacing w:before="28" w:after="28" w:line="240" w:lineRule="exact"/>
                        <w:jc w:val="center"/>
                        <w:rPr>
                          <w:sz w:val="19"/>
                          <w:szCs w:val="19"/>
                        </w:rPr>
                      </w:pPr>
                      <w:r>
                        <w:rPr>
                          <w:sz w:val="19"/>
                          <w:szCs w:val="19"/>
                        </w:rPr>
                        <w:t xml:space="preserve">_____________________ </w:t>
                      </w:r>
                    </w:p>
                    <w:p w:rsidR="00827ACB" w:rsidRDefault="00827ACB" w:rsidP="000F4B3E">
                      <w:pPr>
                        <w:spacing w:before="28" w:after="28" w:line="240" w:lineRule="exact"/>
                        <w:jc w:val="center"/>
                        <w:rPr>
                          <w:sz w:val="19"/>
                          <w:szCs w:val="19"/>
                        </w:rPr>
                      </w:pPr>
                      <w:r>
                        <w:rPr>
                          <w:sz w:val="19"/>
                          <w:szCs w:val="19"/>
                        </w:rPr>
                        <w:t xml:space="preserve">XXXX                    </w:t>
                      </w:r>
                    </w:p>
                    <w:p w:rsidR="00827ACB" w:rsidRPr="000F4B3E" w:rsidRDefault="00827ACB" w:rsidP="000F4B3E">
                      <w:pPr>
                        <w:jc w:val="center"/>
                        <w:rPr>
                          <w:sz w:val="20"/>
                          <w:szCs w:val="20"/>
                        </w:rPr>
                      </w:pPr>
                      <w:r w:rsidRPr="000F4B3E">
                        <w:rPr>
                          <w:sz w:val="20"/>
                          <w:szCs w:val="20"/>
                        </w:rPr>
                        <w:t>Pověřená řízením Výzkumného</w:t>
                      </w:r>
                    </w:p>
                    <w:p w:rsidR="00827ACB" w:rsidRPr="000F4B3E" w:rsidRDefault="00827ACB" w:rsidP="000F4B3E">
                      <w:pPr>
                        <w:jc w:val="center"/>
                        <w:rPr>
                          <w:sz w:val="20"/>
                          <w:szCs w:val="20"/>
                        </w:rPr>
                      </w:pPr>
                      <w:r w:rsidRPr="000F4B3E">
                        <w:rPr>
                          <w:sz w:val="20"/>
                          <w:szCs w:val="20"/>
                        </w:rPr>
                        <w:t>Ústavu živočišné výroby, v.v.i.</w:t>
                      </w:r>
                    </w:p>
                    <w:p w:rsidR="00827ACB" w:rsidRPr="000F4B3E" w:rsidRDefault="00827ACB" w:rsidP="000F4B3E">
                      <w:pPr>
                        <w:jc w:val="center"/>
                        <w:rPr>
                          <w:sz w:val="20"/>
                          <w:szCs w:val="20"/>
                        </w:rPr>
                      </w:pPr>
                      <w:r w:rsidRPr="000F4B3E">
                        <w:rPr>
                          <w:sz w:val="20"/>
                          <w:szCs w:val="20"/>
                        </w:rPr>
                        <w:t>(za Spolupříjemce)</w:t>
                      </w:r>
                    </w:p>
                  </w:txbxContent>
                </v:textbox>
                <w10:wrap type="square"/>
              </v:shape>
            </w:pict>
          </mc:Fallback>
        </mc:AlternateContent>
      </w:r>
    </w:p>
    <w:p w:rsidR="00E83D7E" w:rsidRPr="00E83D7E" w:rsidRDefault="00E83D7E" w:rsidP="00E83D7E">
      <w:pPr>
        <w:spacing w:line="240" w:lineRule="exact"/>
        <w:jc w:val="center"/>
        <w:rPr>
          <w:sz w:val="20"/>
          <w:szCs w:val="20"/>
        </w:rPr>
      </w:pPr>
      <w:r>
        <w:rPr>
          <w:sz w:val="20"/>
          <w:szCs w:val="20"/>
        </w:rPr>
        <w:t>XXXX</w:t>
      </w:r>
    </w:p>
    <w:p w:rsidR="00CC76E3" w:rsidRDefault="00E83D7E" w:rsidP="00E83D7E">
      <w:pPr>
        <w:spacing w:before="28" w:after="28" w:line="240" w:lineRule="exact"/>
        <w:jc w:val="center"/>
        <w:rPr>
          <w:sz w:val="19"/>
          <w:szCs w:val="19"/>
        </w:rPr>
      </w:pPr>
      <w:r>
        <w:rPr>
          <w:sz w:val="19"/>
          <w:szCs w:val="19"/>
        </w:rPr>
        <w:t xml:space="preserve">_____________________               </w:t>
      </w:r>
      <w:r w:rsidR="008164FA">
        <w:rPr>
          <w:sz w:val="19"/>
          <w:szCs w:val="19"/>
        </w:rPr>
        <w:t xml:space="preserve">      </w:t>
      </w:r>
    </w:p>
    <w:p w:rsidR="000F4B3E" w:rsidRDefault="000F4B3E" w:rsidP="00E83D7E">
      <w:pPr>
        <w:spacing w:line="240" w:lineRule="exact"/>
        <w:jc w:val="center"/>
        <w:rPr>
          <w:sz w:val="20"/>
          <w:szCs w:val="20"/>
        </w:rPr>
      </w:pPr>
      <w:bookmarkStart w:id="10" w:name="_Hlk206666568"/>
      <w:bookmarkEnd w:id="10"/>
      <w:r>
        <w:rPr>
          <w:sz w:val="20"/>
          <w:szCs w:val="20"/>
        </w:rPr>
        <w:t>XXXX</w:t>
      </w:r>
    </w:p>
    <w:p w:rsidR="00AD4F27" w:rsidRDefault="00A04689" w:rsidP="00E83D7E">
      <w:pPr>
        <w:spacing w:line="240" w:lineRule="exact"/>
        <w:jc w:val="center"/>
        <w:rPr>
          <w:sz w:val="20"/>
          <w:szCs w:val="20"/>
        </w:rPr>
      </w:pPr>
      <w:r w:rsidRPr="00E83D7E">
        <w:rPr>
          <w:sz w:val="20"/>
          <w:szCs w:val="20"/>
        </w:rPr>
        <w:t>jednatel</w:t>
      </w:r>
      <w:r w:rsidR="00B2124E" w:rsidRPr="00E83D7E">
        <w:rPr>
          <w:sz w:val="20"/>
          <w:szCs w:val="20"/>
        </w:rPr>
        <w:t xml:space="preserve">                            </w:t>
      </w:r>
      <w:r w:rsidR="00E83D7E">
        <w:rPr>
          <w:sz w:val="20"/>
          <w:szCs w:val="20"/>
        </w:rPr>
        <w:t xml:space="preserve"> </w:t>
      </w:r>
      <w:r w:rsidR="00B2124E" w:rsidRPr="00E83D7E">
        <w:rPr>
          <w:sz w:val="20"/>
          <w:szCs w:val="20"/>
        </w:rPr>
        <w:t xml:space="preserve">                     </w:t>
      </w:r>
      <w:r w:rsidRPr="00E83D7E">
        <w:rPr>
          <w:sz w:val="20"/>
          <w:szCs w:val="20"/>
        </w:rPr>
        <w:br/>
        <w:t>(za Příjemce)</w:t>
      </w:r>
    </w:p>
    <w:p w:rsidR="00AD4F27" w:rsidRDefault="00AD4F27">
      <w:pPr>
        <w:rPr>
          <w:sz w:val="20"/>
          <w:szCs w:val="20"/>
        </w:rPr>
      </w:pPr>
      <w:r>
        <w:rPr>
          <w:sz w:val="20"/>
          <w:szCs w:val="20"/>
        </w:rPr>
        <w:br w:type="page"/>
      </w:r>
    </w:p>
    <w:p w:rsidR="00827ACB" w:rsidRPr="00827ACB" w:rsidRDefault="00827ACB" w:rsidP="00827ACB">
      <w:pPr>
        <w:rPr>
          <w:sz w:val="20"/>
          <w:szCs w:val="20"/>
        </w:rPr>
      </w:pPr>
      <w:r w:rsidRPr="00827ACB">
        <w:rPr>
          <w:sz w:val="20"/>
          <w:szCs w:val="20"/>
        </w:rPr>
        <w:lastRenderedPageBreak/>
        <w:t>Celkové způsobilé výdaje za průmyslový výzkum (PV) mohou být max. 50 % z celkových způsobilých výdajů projektu. Schválený podíl výdajů kategorie PV na celkových způsobilých výdajích nelze následně měnit .</w:t>
      </w:r>
    </w:p>
    <w:p w:rsidR="00827ACB" w:rsidRPr="00827ACB" w:rsidRDefault="00827ACB" w:rsidP="00827ACB">
      <w:pPr>
        <w:rPr>
          <w:sz w:val="20"/>
          <w:szCs w:val="20"/>
        </w:rPr>
      </w:pPr>
      <w:r w:rsidRPr="00827ACB">
        <w:rPr>
          <w:sz w:val="20"/>
          <w:szCs w:val="20"/>
        </w:rPr>
        <w:t>Max. výše rozpočtové položky Externí služby je 30 % z celkových způsobilých výdajů.</w:t>
      </w:r>
    </w:p>
    <w:p w:rsidR="00827ACB" w:rsidRDefault="00827ACB" w:rsidP="00827ACB">
      <w:pPr>
        <w:rPr>
          <w:sz w:val="20"/>
          <w:szCs w:val="20"/>
        </w:rPr>
      </w:pPr>
      <w:r w:rsidRPr="00827ACB">
        <w:rPr>
          <w:sz w:val="20"/>
          <w:szCs w:val="20"/>
        </w:rPr>
        <w:t>Max. výše rozpočtové položky Odpisy je 20 % z celkových způsobilých výdajů.</w:t>
      </w:r>
    </w:p>
    <w:p w:rsidR="00827ACB" w:rsidRPr="00827ACB" w:rsidRDefault="00827ACB" w:rsidP="00827ACB">
      <w:pPr>
        <w:rPr>
          <w:sz w:val="20"/>
          <w:szCs w:val="20"/>
        </w:rPr>
      </w:pPr>
    </w:p>
    <w:p w:rsidR="00827ACB" w:rsidRDefault="00827ACB" w:rsidP="00827ACB">
      <w:pPr>
        <w:rPr>
          <w:sz w:val="20"/>
          <w:szCs w:val="20"/>
        </w:rPr>
      </w:pPr>
      <w:r w:rsidRPr="00827ACB">
        <w:rPr>
          <w:sz w:val="20"/>
          <w:szCs w:val="20"/>
        </w:rPr>
        <w:t>Hlavním žadatelem/příjemcem projektu musí být člen konsorcia s nejvyšším podílem způsobilých výdajů na celkovém rozpočtu projektu (celkových způsobilých výdajích).</w:t>
      </w:r>
    </w:p>
    <w:p w:rsidR="00827ACB" w:rsidRPr="00827ACB" w:rsidRDefault="00827ACB" w:rsidP="00827ACB">
      <w:pPr>
        <w:rPr>
          <w:sz w:val="20"/>
          <w:szCs w:val="20"/>
        </w:rPr>
      </w:pPr>
    </w:p>
    <w:p w:rsidR="00827ACB" w:rsidRDefault="00827ACB" w:rsidP="00827ACB">
      <w:pPr>
        <w:rPr>
          <w:sz w:val="20"/>
          <w:szCs w:val="20"/>
        </w:rPr>
      </w:pPr>
      <w:r w:rsidRPr="00827ACB">
        <w:rPr>
          <w:sz w:val="20"/>
          <w:szCs w:val="20"/>
        </w:rPr>
        <w:t>Ve smyslu Nařízení Komise (EU) č. 651/2014 se musí jednat o účinnou spolupráci 1.) mezi podniky, z nichž alespoň jeden je malým nebo středním podnikem, nebo k této spolupráci dochází alespoň ve dvou členských státech nebo v členském státě a ve státě, který je smluvní stranou Dohody o EHP, a jednotlivý podnik nehradí více než 70 % způsobilých nákladů, nebo 2.) mezi podnikem a jednou nebo více organizacemi pro výzkum a šíření znalostí, jestliže tato organizace nese alespoň 10 % způsobilých nákladů a má právo zveřejňovat výsledky vlastního výzkumu.</w:t>
      </w:r>
    </w:p>
    <w:p w:rsidR="004A7972" w:rsidRPr="00827ACB" w:rsidRDefault="004A7972" w:rsidP="00827ACB">
      <w:pPr>
        <w:rPr>
          <w:sz w:val="20"/>
          <w:szCs w:val="20"/>
        </w:rPr>
      </w:pPr>
    </w:p>
    <w:p w:rsidR="00827ACB" w:rsidRPr="00827ACB" w:rsidRDefault="00827ACB" w:rsidP="00827ACB">
      <w:pPr>
        <w:rPr>
          <w:sz w:val="20"/>
          <w:szCs w:val="20"/>
        </w:rPr>
      </w:pPr>
      <w:r w:rsidRPr="00827ACB">
        <w:rPr>
          <w:sz w:val="20"/>
          <w:szCs w:val="20"/>
        </w:rPr>
        <w:t xml:space="preserve">V případě splnění definice účinné spolupráce a všech požadovaných parametrů (tj. max. 70 % ZV na jeden subjekt, pokud se jedná o konsorcium, kde je alespoň jeden subjekt MSP, nebo min. 10 % ZV nese organizace pro výzkum a šíření znalostí) </w:t>
      </w:r>
      <w:r w:rsidR="00DC26CF">
        <w:rPr>
          <w:sz w:val="20"/>
          <w:szCs w:val="20"/>
        </w:rPr>
        <w:t>může být uplatněn bonus až  10% nebo 15% k mírám podpory jednotlivých účastníků za účinnou spolupráci.</w:t>
      </w:r>
    </w:p>
    <w:p w:rsidR="00827ACB" w:rsidRPr="00827ACB" w:rsidRDefault="00827ACB" w:rsidP="00827ACB">
      <w:pPr>
        <w:rPr>
          <w:sz w:val="20"/>
          <w:szCs w:val="20"/>
        </w:rPr>
      </w:pPr>
    </w:p>
    <w:p w:rsidR="00827ACB" w:rsidRPr="00827ACB" w:rsidRDefault="00827ACB" w:rsidP="00827ACB">
      <w:pPr>
        <w:rPr>
          <w:sz w:val="20"/>
          <w:szCs w:val="20"/>
        </w:rPr>
      </w:pPr>
      <w:r w:rsidRPr="00827ACB">
        <w:rPr>
          <w:sz w:val="20"/>
          <w:szCs w:val="20"/>
        </w:rPr>
        <w:t xml:space="preserve"> </w:t>
      </w:r>
    </w:p>
    <w:p w:rsidR="00827ACB" w:rsidRPr="00827ACB" w:rsidRDefault="00827ACB" w:rsidP="00827ACB">
      <w:pPr>
        <w:rPr>
          <w:sz w:val="20"/>
          <w:szCs w:val="20"/>
        </w:rPr>
      </w:pPr>
      <w:r w:rsidRPr="00827ACB">
        <w:rPr>
          <w:sz w:val="20"/>
          <w:szCs w:val="20"/>
        </w:rPr>
        <w:t>V případě žadatele (a/či partnerů) z kategorie velkých podniků (nad 3000 zaměstnanců) je naplněna</w:t>
      </w:r>
    </w:p>
    <w:p w:rsidR="00827ACB" w:rsidRPr="00827ACB" w:rsidRDefault="00827ACB" w:rsidP="00827ACB">
      <w:pPr>
        <w:rPr>
          <w:sz w:val="20"/>
          <w:szCs w:val="20"/>
        </w:rPr>
      </w:pPr>
      <w:r w:rsidRPr="00827ACB">
        <w:rPr>
          <w:sz w:val="20"/>
          <w:szCs w:val="20"/>
        </w:rPr>
        <w:t>podmínka účinné spolupráce s MSP. V případě žadatele (a/či partnerů) z kategorie velkých podniků je projekt realizován</w:t>
      </w:r>
      <w:r w:rsidR="00DC26CF">
        <w:rPr>
          <w:sz w:val="20"/>
          <w:szCs w:val="20"/>
        </w:rPr>
        <w:t xml:space="preserve"> velkými podniky v přímé </w:t>
      </w:r>
    </w:p>
    <w:p w:rsidR="001A07A9" w:rsidRDefault="00827ACB" w:rsidP="00827ACB">
      <w:pPr>
        <w:rPr>
          <w:sz w:val="20"/>
          <w:szCs w:val="20"/>
        </w:rPr>
      </w:pPr>
      <w:r w:rsidRPr="00827ACB">
        <w:rPr>
          <w:sz w:val="20"/>
          <w:szCs w:val="20"/>
        </w:rPr>
        <w:t>spolupráci s malými a středními podniky s podmínkou minimální 30% účasti MSP na celkových způsobilých výdajích projektu, nebo s podmínkou 20 % MSP a 10 % výzkumné organizace.</w:t>
      </w:r>
    </w:p>
    <w:p w:rsidR="001A07A9" w:rsidRDefault="001A07A9">
      <w:pPr>
        <w:rPr>
          <w:sz w:val="20"/>
          <w:szCs w:val="20"/>
        </w:rPr>
      </w:pPr>
      <w:r>
        <w:rPr>
          <w:sz w:val="20"/>
          <w:szCs w:val="20"/>
        </w:rPr>
        <w:br w:type="page"/>
      </w:r>
    </w:p>
    <w:p w:rsidR="00827ACB" w:rsidRPr="00827ACB" w:rsidRDefault="001A07A9" w:rsidP="00827ACB">
      <w:pPr>
        <w:rPr>
          <w:sz w:val="20"/>
          <w:szCs w:val="20"/>
        </w:rPr>
      </w:pPr>
      <w:r w:rsidRPr="00AD4F27">
        <w:rPr>
          <w:noProof/>
        </w:rPr>
        <w:lastRenderedPageBreak/>
        <w:drawing>
          <wp:anchor distT="0" distB="0" distL="114300" distR="114300" simplePos="0" relativeHeight="251660288" behindDoc="1" locked="0" layoutInCell="1" allowOverlap="1">
            <wp:simplePos x="0" y="0"/>
            <wp:positionH relativeFrom="margin">
              <wp:posOffset>-1280160</wp:posOffset>
            </wp:positionH>
            <wp:positionV relativeFrom="paragraph">
              <wp:posOffset>1116965</wp:posOffset>
            </wp:positionV>
            <wp:extent cx="8296275" cy="6161405"/>
            <wp:effectExtent l="635" t="0" r="0" b="0"/>
            <wp:wrapTight wrapText="bothSides">
              <wp:wrapPolygon edited="0">
                <wp:start x="2" y="21602"/>
                <wp:lineTo x="7937" y="21602"/>
                <wp:lineTo x="8731" y="10917"/>
                <wp:lineTo x="9525" y="10850"/>
                <wp:lineTo x="10318" y="9381"/>
                <wp:lineTo x="21527" y="9381"/>
                <wp:lineTo x="21527" y="1968"/>
                <wp:lineTo x="9525" y="1834"/>
                <wp:lineTo x="9525" y="10917"/>
                <wp:lineTo x="8731" y="10850"/>
                <wp:lineTo x="8731" y="1834"/>
                <wp:lineTo x="3176" y="1968"/>
                <wp:lineTo x="3176" y="1166"/>
                <wp:lineTo x="2382" y="1367"/>
                <wp:lineTo x="2382" y="98"/>
                <wp:lineTo x="2" y="98"/>
                <wp:lineTo x="2" y="1968"/>
                <wp:lineTo x="2" y="21602"/>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296275" cy="61614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7ACB" w:rsidRPr="00827ACB" w:rsidRDefault="00827ACB" w:rsidP="00827ACB">
      <w:pPr>
        <w:rPr>
          <w:sz w:val="20"/>
          <w:szCs w:val="20"/>
        </w:rPr>
      </w:pPr>
    </w:p>
    <w:p w:rsidR="001A07A9" w:rsidRDefault="00827ACB" w:rsidP="001A07A9">
      <w:pPr>
        <w:rPr>
          <w:sz w:val="20"/>
          <w:szCs w:val="20"/>
        </w:rPr>
        <w:sectPr w:rsidR="001A07A9">
          <w:type w:val="continuous"/>
          <w:pgSz w:w="11900" w:h="16840"/>
          <w:pgMar w:top="1690" w:right="1699" w:bottom="1690" w:left="1104" w:header="0" w:footer="3" w:gutter="0"/>
          <w:cols w:num="2" w:space="1637"/>
          <w:noEndnote/>
          <w:docGrid w:linePitch="360"/>
        </w:sectPr>
      </w:pPr>
      <w:r>
        <w:rPr>
          <w:sz w:val="20"/>
          <w:szCs w:val="20"/>
        </w:rPr>
        <w:t xml:space="preserve"> </w:t>
      </w:r>
    </w:p>
    <w:p w:rsidR="001A07A9" w:rsidRDefault="001A07A9" w:rsidP="001A07A9">
      <w:pPr>
        <w:pStyle w:val="Heading20"/>
        <w:keepNext/>
        <w:keepLines/>
        <w:shd w:val="clear" w:color="auto" w:fill="auto"/>
      </w:pPr>
      <w:r>
        <w:lastRenderedPageBreak/>
        <w:t>Příloha 1</w:t>
      </w:r>
    </w:p>
    <w:p w:rsidR="001A07A9" w:rsidRDefault="001A07A9" w:rsidP="001A07A9">
      <w:pPr>
        <w:pStyle w:val="Zkladntext"/>
        <w:shd w:val="clear" w:color="auto" w:fill="auto"/>
      </w:pPr>
      <w:r>
        <w:t>Ministerstvo průmyslu a obchodu</w:t>
      </w:r>
    </w:p>
    <w:p w:rsidR="001A07A9" w:rsidRDefault="001A07A9" w:rsidP="001A07A9">
      <w:pPr>
        <w:pStyle w:val="Zkladntext"/>
        <w:shd w:val="clear" w:color="auto" w:fill="auto"/>
      </w:pPr>
      <w:r>
        <w:t>Na Františku 32</w:t>
      </w:r>
    </w:p>
    <w:p w:rsidR="001A07A9" w:rsidRDefault="001A07A9" w:rsidP="001A07A9">
      <w:pPr>
        <w:pStyle w:val="Zkladntext"/>
        <w:shd w:val="clear" w:color="auto" w:fill="auto"/>
        <w:spacing w:after="480"/>
      </w:pPr>
      <w:r>
        <w:t>110 15 Praha 1</w:t>
      </w:r>
    </w:p>
    <w:p w:rsidR="001A07A9" w:rsidRDefault="001A07A9" w:rsidP="001A07A9">
      <w:pPr>
        <w:pStyle w:val="Heading10"/>
        <w:keepNext/>
        <w:keepLines/>
        <w:shd w:val="clear" w:color="auto" w:fill="auto"/>
      </w:pPr>
      <w:r>
        <w:t>Rozhodnutí o poskytnutí dotace č. j.</w:t>
      </w:r>
    </w:p>
    <w:p w:rsidR="001A07A9" w:rsidRDefault="001A07A9" w:rsidP="001A07A9">
      <w:pPr>
        <w:pStyle w:val="Zkladntext"/>
        <w:shd w:val="clear" w:color="auto" w:fill="auto"/>
        <w:spacing w:after="480"/>
        <w:jc w:val="center"/>
      </w:pPr>
      <w:r>
        <w:rPr>
          <w:u w:val="single"/>
        </w:rPr>
        <w:t>(dále jen „Rozhodnutí“)</w:t>
      </w:r>
    </w:p>
    <w:p w:rsidR="001A07A9" w:rsidRDefault="001A07A9" w:rsidP="001A07A9">
      <w:pPr>
        <w:pStyle w:val="Zkladntext"/>
        <w:shd w:val="clear" w:color="auto" w:fill="auto"/>
        <w:spacing w:after="780"/>
      </w:pPr>
      <w:r>
        <w:t xml:space="preserve">Ministerstvo průmyslu a obchodu jako řídicí orgán Operačního programu Technologie a aplikace pro konkurenceschopnost (dále jen „poskytovatel dotace“ nebo „MPO“) na základě žádosti o poskytnutí dotace níže uvedeného příjemce přijaté dne v rámci Výzvy Aplikace - </w:t>
      </w:r>
      <w:r>
        <w:rPr>
          <w:lang w:val="en-US" w:eastAsia="en-US" w:bidi="en-US"/>
        </w:rPr>
        <w:t xml:space="preserve">DEEP TECH </w:t>
      </w:r>
      <w:r>
        <w:t>(dále jen „Výzva“) a Priority 01 rozhodlo dle ust. § 14 odst. 4 a § 14m odst. 1 písm. a) zákona č. 218/2000 Sb., o rozpočtových pravidlech a o změně některých souvisejících zákonů, ve znění pozdějších předpisů (dále jen „rozpočtová pravidla“), o poskytnutí dotace na níže uvedený projekt takto:</w:t>
      </w:r>
    </w:p>
    <w:p w:rsidR="001A07A9" w:rsidRDefault="001A07A9" w:rsidP="001A07A9">
      <w:pPr>
        <w:pStyle w:val="Zkladntext"/>
        <w:shd w:val="clear" w:color="auto" w:fill="auto"/>
        <w:spacing w:line="216" w:lineRule="auto"/>
        <w:jc w:val="center"/>
        <w:rPr>
          <w:sz w:val="24"/>
          <w:szCs w:val="24"/>
        </w:rPr>
      </w:pPr>
      <w:r>
        <w:rPr>
          <w:b/>
          <w:bCs/>
          <w:sz w:val="24"/>
          <w:szCs w:val="24"/>
        </w:rPr>
        <w:t>HLAVA I. - VYMEZENÍ DOTACE</w:t>
      </w:r>
    </w:p>
    <w:p w:rsidR="001A07A9" w:rsidRDefault="001A07A9" w:rsidP="001A07A9">
      <w:pPr>
        <w:pStyle w:val="Zkladntext"/>
        <w:numPr>
          <w:ilvl w:val="0"/>
          <w:numId w:val="7"/>
        </w:numPr>
        <w:shd w:val="clear" w:color="auto" w:fill="auto"/>
        <w:tabs>
          <w:tab w:val="left" w:pos="387"/>
        </w:tabs>
        <w:spacing w:line="216" w:lineRule="auto"/>
        <w:jc w:val="center"/>
        <w:rPr>
          <w:sz w:val="24"/>
          <w:szCs w:val="24"/>
        </w:rPr>
      </w:pPr>
      <w:r>
        <w:rPr>
          <w:b/>
          <w:bCs/>
          <w:sz w:val="24"/>
          <w:szCs w:val="24"/>
        </w:rPr>
        <w:t>Článek</w:t>
      </w:r>
    </w:p>
    <w:p w:rsidR="001A07A9" w:rsidRDefault="001A07A9" w:rsidP="001A07A9">
      <w:pPr>
        <w:pStyle w:val="Zkladntext"/>
        <w:shd w:val="clear" w:color="auto" w:fill="auto"/>
        <w:spacing w:after="240" w:line="216" w:lineRule="auto"/>
        <w:jc w:val="center"/>
        <w:rPr>
          <w:sz w:val="24"/>
          <w:szCs w:val="24"/>
        </w:rPr>
      </w:pPr>
      <w:r>
        <w:rPr>
          <w:b/>
          <w:bCs/>
          <w:sz w:val="24"/>
          <w:szCs w:val="24"/>
        </w:rPr>
        <w:t>Identifikace Příjemce dotace (dále jen „příjemce“) a předmětu dotace</w:t>
      </w:r>
    </w:p>
    <w:p w:rsidR="001A07A9" w:rsidRDefault="001A07A9" w:rsidP="001A07A9">
      <w:pPr>
        <w:pStyle w:val="Zkladntext"/>
        <w:numPr>
          <w:ilvl w:val="1"/>
          <w:numId w:val="7"/>
        </w:numPr>
        <w:shd w:val="clear" w:color="auto" w:fill="auto"/>
        <w:tabs>
          <w:tab w:val="left" w:pos="916"/>
        </w:tabs>
        <w:spacing w:after="240"/>
        <w:ind w:left="820" w:hanging="440"/>
      </w:pPr>
      <w:r>
        <w:t>V souladu s podmínkami pro poskytování finančních prostředků stanovenými Operačním programem Technologie a aplikace pro konkurenceschopnost (dále jen „OP TAK“) se poskytuje dotace pro: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97"/>
        <w:gridCol w:w="6101"/>
      </w:tblGrid>
      <w:tr w:rsidR="001A07A9" w:rsidTr="00FC03C9">
        <w:trPr>
          <w:trHeight w:hRule="exact" w:val="283"/>
          <w:jc w:val="center"/>
        </w:trPr>
        <w:tc>
          <w:tcPr>
            <w:tcW w:w="3197" w:type="dxa"/>
            <w:tcBorders>
              <w:top w:val="single" w:sz="4" w:space="0" w:color="auto"/>
              <w:left w:val="single" w:sz="4" w:space="0" w:color="auto"/>
            </w:tcBorders>
            <w:shd w:val="clear" w:color="auto" w:fill="FFFFFF"/>
            <w:vAlign w:val="bottom"/>
          </w:tcPr>
          <w:p w:rsidR="001A07A9" w:rsidRDefault="001A07A9" w:rsidP="00FC03C9">
            <w:pPr>
              <w:pStyle w:val="Other0"/>
              <w:shd w:val="clear" w:color="auto" w:fill="auto"/>
              <w:jc w:val="both"/>
            </w:pPr>
            <w:r>
              <w:t>Název Projektu</w:t>
            </w:r>
          </w:p>
        </w:tc>
        <w:tc>
          <w:tcPr>
            <w:tcW w:w="6101" w:type="dxa"/>
            <w:tcBorders>
              <w:top w:val="single" w:sz="4" w:space="0" w:color="auto"/>
              <w:left w:val="single" w:sz="4" w:space="0" w:color="auto"/>
              <w:right w:val="single" w:sz="4" w:space="0" w:color="auto"/>
            </w:tcBorders>
            <w:shd w:val="clear" w:color="auto" w:fill="FFFFFF"/>
          </w:tcPr>
          <w:p w:rsidR="001A07A9" w:rsidRDefault="001A07A9" w:rsidP="00FC03C9">
            <w:pPr>
              <w:rPr>
                <w:sz w:val="10"/>
                <w:szCs w:val="10"/>
              </w:rPr>
            </w:pPr>
          </w:p>
        </w:tc>
      </w:tr>
      <w:tr w:rsidR="001A07A9" w:rsidTr="00FC03C9">
        <w:trPr>
          <w:trHeight w:hRule="exact" w:val="278"/>
          <w:jc w:val="center"/>
        </w:trPr>
        <w:tc>
          <w:tcPr>
            <w:tcW w:w="3197" w:type="dxa"/>
            <w:tcBorders>
              <w:top w:val="single" w:sz="4" w:space="0" w:color="auto"/>
              <w:left w:val="single" w:sz="4" w:space="0" w:color="auto"/>
            </w:tcBorders>
            <w:shd w:val="clear" w:color="auto" w:fill="FFFFFF"/>
            <w:vAlign w:val="bottom"/>
          </w:tcPr>
          <w:p w:rsidR="001A07A9" w:rsidRDefault="001A07A9" w:rsidP="00FC03C9">
            <w:pPr>
              <w:pStyle w:val="Other0"/>
              <w:shd w:val="clear" w:color="auto" w:fill="auto"/>
              <w:jc w:val="both"/>
            </w:pPr>
            <w:r>
              <w:t>Registrační číslo Projektu</w:t>
            </w:r>
          </w:p>
        </w:tc>
        <w:tc>
          <w:tcPr>
            <w:tcW w:w="6101" w:type="dxa"/>
            <w:tcBorders>
              <w:top w:val="single" w:sz="4" w:space="0" w:color="auto"/>
              <w:left w:val="single" w:sz="4" w:space="0" w:color="auto"/>
              <w:right w:val="single" w:sz="4" w:space="0" w:color="auto"/>
            </w:tcBorders>
            <w:shd w:val="clear" w:color="auto" w:fill="FFFFFF"/>
          </w:tcPr>
          <w:p w:rsidR="001A07A9" w:rsidRDefault="001A07A9" w:rsidP="00FC03C9">
            <w:pPr>
              <w:rPr>
                <w:sz w:val="10"/>
                <w:szCs w:val="10"/>
              </w:rPr>
            </w:pPr>
          </w:p>
        </w:tc>
      </w:tr>
      <w:tr w:rsidR="001A07A9" w:rsidTr="00FC03C9">
        <w:trPr>
          <w:trHeight w:hRule="exact" w:val="278"/>
          <w:jc w:val="center"/>
        </w:trPr>
        <w:tc>
          <w:tcPr>
            <w:tcW w:w="3197" w:type="dxa"/>
            <w:tcBorders>
              <w:top w:val="single" w:sz="4" w:space="0" w:color="auto"/>
              <w:left w:val="single" w:sz="4" w:space="0" w:color="auto"/>
            </w:tcBorders>
            <w:shd w:val="clear" w:color="auto" w:fill="FFFFFF"/>
            <w:vAlign w:val="bottom"/>
          </w:tcPr>
          <w:p w:rsidR="001A07A9" w:rsidRDefault="001A07A9" w:rsidP="00FC03C9">
            <w:pPr>
              <w:pStyle w:val="Other0"/>
              <w:shd w:val="clear" w:color="auto" w:fill="auto"/>
              <w:jc w:val="both"/>
            </w:pPr>
            <w:r>
              <w:t>Místo realizace Projektu</w:t>
            </w:r>
          </w:p>
        </w:tc>
        <w:tc>
          <w:tcPr>
            <w:tcW w:w="6101" w:type="dxa"/>
            <w:tcBorders>
              <w:top w:val="single" w:sz="4" w:space="0" w:color="auto"/>
              <w:left w:val="single" w:sz="4" w:space="0" w:color="auto"/>
              <w:right w:val="single" w:sz="4" w:space="0" w:color="auto"/>
            </w:tcBorders>
            <w:shd w:val="clear" w:color="auto" w:fill="FFFFFF"/>
          </w:tcPr>
          <w:p w:rsidR="001A07A9" w:rsidRDefault="001A07A9" w:rsidP="00FC03C9">
            <w:pPr>
              <w:rPr>
                <w:sz w:val="10"/>
                <w:szCs w:val="10"/>
              </w:rPr>
            </w:pPr>
          </w:p>
        </w:tc>
      </w:tr>
      <w:tr w:rsidR="001A07A9" w:rsidTr="00FC03C9">
        <w:trPr>
          <w:trHeight w:hRule="exact" w:val="547"/>
          <w:jc w:val="center"/>
        </w:trPr>
        <w:tc>
          <w:tcPr>
            <w:tcW w:w="3197" w:type="dxa"/>
            <w:tcBorders>
              <w:top w:val="single" w:sz="4" w:space="0" w:color="auto"/>
              <w:left w:val="single" w:sz="4" w:space="0" w:color="auto"/>
            </w:tcBorders>
            <w:shd w:val="clear" w:color="auto" w:fill="FFFFFF"/>
            <w:vAlign w:val="bottom"/>
          </w:tcPr>
          <w:p w:rsidR="001A07A9" w:rsidRDefault="001A07A9" w:rsidP="00FC03C9">
            <w:pPr>
              <w:pStyle w:val="Other0"/>
              <w:shd w:val="clear" w:color="auto" w:fill="auto"/>
              <w:jc w:val="both"/>
            </w:pPr>
            <w:r>
              <w:t>Název příjemce (jméno a příjmení u fyzické osoby)</w:t>
            </w:r>
          </w:p>
        </w:tc>
        <w:tc>
          <w:tcPr>
            <w:tcW w:w="6101" w:type="dxa"/>
            <w:tcBorders>
              <w:top w:val="single" w:sz="4" w:space="0" w:color="auto"/>
              <w:left w:val="single" w:sz="4" w:space="0" w:color="auto"/>
              <w:right w:val="single" w:sz="4" w:space="0" w:color="auto"/>
            </w:tcBorders>
            <w:shd w:val="clear" w:color="auto" w:fill="FFFFFF"/>
          </w:tcPr>
          <w:p w:rsidR="001A07A9" w:rsidRDefault="001A07A9" w:rsidP="00FC03C9">
            <w:pPr>
              <w:rPr>
                <w:sz w:val="10"/>
                <w:szCs w:val="10"/>
              </w:rPr>
            </w:pPr>
          </w:p>
        </w:tc>
      </w:tr>
      <w:tr w:rsidR="001A07A9" w:rsidTr="00FC03C9">
        <w:trPr>
          <w:trHeight w:hRule="exact" w:val="278"/>
          <w:jc w:val="center"/>
        </w:trPr>
        <w:tc>
          <w:tcPr>
            <w:tcW w:w="3197" w:type="dxa"/>
            <w:tcBorders>
              <w:top w:val="single" w:sz="4" w:space="0" w:color="auto"/>
              <w:left w:val="single" w:sz="4" w:space="0" w:color="auto"/>
            </w:tcBorders>
            <w:shd w:val="clear" w:color="auto" w:fill="FFFFFF"/>
            <w:vAlign w:val="bottom"/>
          </w:tcPr>
          <w:p w:rsidR="001A07A9" w:rsidRDefault="001A07A9" w:rsidP="00FC03C9">
            <w:pPr>
              <w:pStyle w:val="Other0"/>
              <w:shd w:val="clear" w:color="auto" w:fill="auto"/>
              <w:jc w:val="both"/>
            </w:pPr>
            <w:r>
              <w:t>Rodné číslo (jen u fyzické osoby)</w:t>
            </w:r>
          </w:p>
        </w:tc>
        <w:tc>
          <w:tcPr>
            <w:tcW w:w="6101" w:type="dxa"/>
            <w:tcBorders>
              <w:top w:val="single" w:sz="4" w:space="0" w:color="auto"/>
              <w:left w:val="single" w:sz="4" w:space="0" w:color="auto"/>
              <w:right w:val="single" w:sz="4" w:space="0" w:color="auto"/>
            </w:tcBorders>
            <w:shd w:val="clear" w:color="auto" w:fill="FFFFFF"/>
          </w:tcPr>
          <w:p w:rsidR="001A07A9" w:rsidRDefault="001A07A9" w:rsidP="00FC03C9">
            <w:pPr>
              <w:rPr>
                <w:sz w:val="10"/>
                <w:szCs w:val="10"/>
              </w:rPr>
            </w:pPr>
          </w:p>
        </w:tc>
      </w:tr>
      <w:tr w:rsidR="001A07A9" w:rsidTr="00FC03C9">
        <w:trPr>
          <w:trHeight w:hRule="exact" w:val="547"/>
          <w:jc w:val="center"/>
        </w:trPr>
        <w:tc>
          <w:tcPr>
            <w:tcW w:w="3197" w:type="dxa"/>
            <w:tcBorders>
              <w:top w:val="single" w:sz="4" w:space="0" w:color="auto"/>
              <w:left w:val="single" w:sz="4" w:space="0" w:color="auto"/>
            </w:tcBorders>
            <w:shd w:val="clear" w:color="auto" w:fill="FFFFFF"/>
            <w:vAlign w:val="bottom"/>
          </w:tcPr>
          <w:p w:rsidR="001A07A9" w:rsidRDefault="001A07A9" w:rsidP="00FC03C9">
            <w:pPr>
              <w:pStyle w:val="Other0"/>
              <w:shd w:val="clear" w:color="auto" w:fill="auto"/>
              <w:jc w:val="both"/>
            </w:pPr>
            <w:r>
              <w:t>Datum narození (jen u fyzické osoby)</w:t>
            </w:r>
          </w:p>
        </w:tc>
        <w:tc>
          <w:tcPr>
            <w:tcW w:w="6101" w:type="dxa"/>
            <w:tcBorders>
              <w:top w:val="single" w:sz="4" w:space="0" w:color="auto"/>
              <w:left w:val="single" w:sz="4" w:space="0" w:color="auto"/>
              <w:right w:val="single" w:sz="4" w:space="0" w:color="auto"/>
            </w:tcBorders>
            <w:shd w:val="clear" w:color="auto" w:fill="FFFFFF"/>
          </w:tcPr>
          <w:p w:rsidR="001A07A9" w:rsidRDefault="001A07A9" w:rsidP="00FC03C9">
            <w:pPr>
              <w:rPr>
                <w:sz w:val="10"/>
                <w:szCs w:val="10"/>
              </w:rPr>
            </w:pPr>
          </w:p>
        </w:tc>
      </w:tr>
      <w:tr w:rsidR="001A07A9" w:rsidTr="00FC03C9">
        <w:trPr>
          <w:trHeight w:hRule="exact" w:val="816"/>
          <w:jc w:val="center"/>
        </w:trPr>
        <w:tc>
          <w:tcPr>
            <w:tcW w:w="3197" w:type="dxa"/>
            <w:tcBorders>
              <w:top w:val="single" w:sz="4" w:space="0" w:color="auto"/>
              <w:left w:val="single" w:sz="4" w:space="0" w:color="auto"/>
            </w:tcBorders>
            <w:shd w:val="clear" w:color="auto" w:fill="FFFFFF"/>
            <w:vAlign w:val="bottom"/>
          </w:tcPr>
          <w:p w:rsidR="001A07A9" w:rsidRDefault="001A07A9" w:rsidP="00FC03C9">
            <w:pPr>
              <w:pStyle w:val="Other0"/>
              <w:shd w:val="clear" w:color="auto" w:fill="auto"/>
              <w:jc w:val="both"/>
            </w:pPr>
            <w:r>
              <w:t>Adresa trvalého pobytu (jen u fyzické osoby) / adresa sídla u právnické osoby</w:t>
            </w:r>
          </w:p>
        </w:tc>
        <w:tc>
          <w:tcPr>
            <w:tcW w:w="6101" w:type="dxa"/>
            <w:tcBorders>
              <w:top w:val="single" w:sz="4" w:space="0" w:color="auto"/>
              <w:left w:val="single" w:sz="4" w:space="0" w:color="auto"/>
              <w:right w:val="single" w:sz="4" w:space="0" w:color="auto"/>
            </w:tcBorders>
            <w:shd w:val="clear" w:color="auto" w:fill="FFFFFF"/>
          </w:tcPr>
          <w:p w:rsidR="001A07A9" w:rsidRDefault="001A07A9" w:rsidP="00FC03C9">
            <w:pPr>
              <w:rPr>
                <w:sz w:val="10"/>
                <w:szCs w:val="10"/>
              </w:rPr>
            </w:pPr>
          </w:p>
        </w:tc>
      </w:tr>
      <w:tr w:rsidR="001A07A9" w:rsidTr="00FC03C9">
        <w:trPr>
          <w:trHeight w:hRule="exact" w:val="288"/>
          <w:jc w:val="center"/>
        </w:trPr>
        <w:tc>
          <w:tcPr>
            <w:tcW w:w="3197" w:type="dxa"/>
            <w:tcBorders>
              <w:top w:val="single" w:sz="4" w:space="0" w:color="auto"/>
              <w:left w:val="single" w:sz="4" w:space="0" w:color="auto"/>
              <w:bottom w:val="single" w:sz="4" w:space="0" w:color="auto"/>
            </w:tcBorders>
            <w:shd w:val="clear" w:color="auto" w:fill="FFFFFF"/>
          </w:tcPr>
          <w:p w:rsidR="001A07A9" w:rsidRDefault="001A07A9" w:rsidP="00FC03C9">
            <w:pPr>
              <w:pStyle w:val="Other0"/>
              <w:shd w:val="clear" w:color="auto" w:fill="auto"/>
            </w:pPr>
            <w:r>
              <w:t>IČO</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1A07A9" w:rsidRDefault="001A07A9" w:rsidP="00FC03C9">
            <w:pPr>
              <w:rPr>
                <w:sz w:val="10"/>
                <w:szCs w:val="10"/>
              </w:rPr>
            </w:pPr>
          </w:p>
        </w:tc>
      </w:tr>
    </w:tbl>
    <w:p w:rsidR="001A07A9" w:rsidRDefault="001A07A9" w:rsidP="001A07A9">
      <w:pPr>
        <w:spacing w:after="599" w:line="1" w:lineRule="exact"/>
      </w:pPr>
    </w:p>
    <w:p w:rsidR="001A07A9" w:rsidRDefault="001A07A9" w:rsidP="001A07A9">
      <w:pPr>
        <w:pStyle w:val="Zkladntext"/>
        <w:numPr>
          <w:ilvl w:val="0"/>
          <w:numId w:val="7"/>
        </w:numPr>
        <w:shd w:val="clear" w:color="auto" w:fill="auto"/>
        <w:tabs>
          <w:tab w:val="left" w:pos="373"/>
        </w:tabs>
        <w:jc w:val="center"/>
        <w:rPr>
          <w:sz w:val="24"/>
          <w:szCs w:val="24"/>
        </w:rPr>
      </w:pPr>
      <w:r>
        <w:rPr>
          <w:b/>
          <w:bCs/>
          <w:sz w:val="24"/>
          <w:szCs w:val="24"/>
        </w:rPr>
        <w:t>Článek</w:t>
      </w:r>
    </w:p>
    <w:p w:rsidR="001A07A9" w:rsidRDefault="001A07A9" w:rsidP="001A07A9">
      <w:pPr>
        <w:pStyle w:val="Zkladntext"/>
        <w:shd w:val="clear" w:color="auto" w:fill="auto"/>
        <w:jc w:val="center"/>
        <w:rPr>
          <w:sz w:val="24"/>
          <w:szCs w:val="24"/>
        </w:rPr>
      </w:pPr>
      <w:r>
        <w:rPr>
          <w:b/>
          <w:bCs/>
          <w:sz w:val="24"/>
          <w:szCs w:val="24"/>
        </w:rPr>
        <w:t>Výše dotace</w:t>
      </w:r>
    </w:p>
    <w:p w:rsidR="001A07A9" w:rsidRDefault="001A07A9" w:rsidP="001A07A9">
      <w:pPr>
        <w:pStyle w:val="Zkladntext"/>
        <w:numPr>
          <w:ilvl w:val="1"/>
          <w:numId w:val="7"/>
        </w:numPr>
        <w:shd w:val="clear" w:color="auto" w:fill="auto"/>
        <w:tabs>
          <w:tab w:val="left" w:pos="586"/>
        </w:tabs>
        <w:spacing w:after="360"/>
      </w:pPr>
      <w:r>
        <w:t>Dotace se příjemci poskytuje v celkové maximální výši a struktuře dle níže uvedené tabulky:</w:t>
      </w:r>
    </w:p>
    <w:p w:rsidR="00682916" w:rsidRDefault="00682916" w:rsidP="00682916">
      <w:pPr>
        <w:pStyle w:val="Zkladntext"/>
        <w:shd w:val="clear" w:color="auto" w:fill="auto"/>
        <w:tabs>
          <w:tab w:val="left" w:pos="586"/>
        </w:tabs>
        <w:spacing w:after="360"/>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58"/>
        <w:gridCol w:w="2011"/>
        <w:gridCol w:w="2165"/>
      </w:tblGrid>
      <w:tr w:rsidR="001A07A9" w:rsidTr="00FC03C9">
        <w:trPr>
          <w:trHeight w:hRule="exact" w:val="1598"/>
          <w:jc w:val="center"/>
        </w:trPr>
        <w:tc>
          <w:tcPr>
            <w:tcW w:w="4958" w:type="dxa"/>
            <w:tcBorders>
              <w:top w:val="single" w:sz="4" w:space="0" w:color="auto"/>
              <w:left w:val="single" w:sz="4" w:space="0" w:color="auto"/>
            </w:tcBorders>
            <w:shd w:val="clear" w:color="auto" w:fill="FFFFFF"/>
          </w:tcPr>
          <w:p w:rsidR="001A07A9" w:rsidRDefault="001A07A9" w:rsidP="00FC03C9">
            <w:pPr>
              <w:rPr>
                <w:sz w:val="10"/>
                <w:szCs w:val="10"/>
              </w:rPr>
            </w:pPr>
          </w:p>
        </w:tc>
        <w:tc>
          <w:tcPr>
            <w:tcW w:w="2011" w:type="dxa"/>
            <w:tcBorders>
              <w:top w:val="single" w:sz="4" w:space="0" w:color="auto"/>
              <w:left w:val="single" w:sz="4" w:space="0" w:color="auto"/>
            </w:tcBorders>
            <w:shd w:val="clear" w:color="auto" w:fill="FFFFFF"/>
          </w:tcPr>
          <w:p w:rsidR="001A07A9" w:rsidRDefault="001A07A9" w:rsidP="00FC03C9">
            <w:pPr>
              <w:pStyle w:val="Other0"/>
              <w:shd w:val="clear" w:color="auto" w:fill="auto"/>
              <w:spacing w:before="120"/>
              <w:jc w:val="center"/>
            </w:pPr>
            <w:r>
              <w:rPr>
                <w:b/>
                <w:bCs/>
              </w:rPr>
              <w:t>Maximální částka (v</w:t>
            </w:r>
          </w:p>
          <w:p w:rsidR="001A07A9" w:rsidRDefault="001A07A9" w:rsidP="00FC03C9">
            <w:pPr>
              <w:pStyle w:val="Other0"/>
              <w:shd w:val="clear" w:color="auto" w:fill="auto"/>
              <w:jc w:val="center"/>
            </w:pPr>
            <w:r>
              <w:rPr>
                <w:b/>
                <w:bCs/>
              </w:rPr>
              <w:t>Kč)</w:t>
            </w:r>
          </w:p>
        </w:tc>
        <w:tc>
          <w:tcPr>
            <w:tcW w:w="2165" w:type="dxa"/>
            <w:tcBorders>
              <w:top w:val="single" w:sz="4" w:space="0" w:color="auto"/>
              <w:left w:val="single" w:sz="4" w:space="0" w:color="auto"/>
              <w:right w:val="single" w:sz="4" w:space="0" w:color="auto"/>
            </w:tcBorders>
            <w:shd w:val="clear" w:color="auto" w:fill="FFFFFF"/>
            <w:vAlign w:val="center"/>
          </w:tcPr>
          <w:p w:rsidR="001A07A9" w:rsidRDefault="001A07A9" w:rsidP="00FC03C9">
            <w:pPr>
              <w:pStyle w:val="Other0"/>
              <w:shd w:val="clear" w:color="auto" w:fill="auto"/>
              <w:jc w:val="center"/>
            </w:pPr>
            <w:r>
              <w:rPr>
                <w:b/>
                <w:bCs/>
              </w:rPr>
              <w:t>Podíl na celkových způsobilých výdajích k datu vydání Rozhodnutí v %</w:t>
            </w:r>
          </w:p>
        </w:tc>
      </w:tr>
      <w:tr w:rsidR="001A07A9" w:rsidTr="00FC03C9">
        <w:trPr>
          <w:trHeight w:hRule="exact" w:val="518"/>
          <w:jc w:val="center"/>
        </w:trPr>
        <w:tc>
          <w:tcPr>
            <w:tcW w:w="4958" w:type="dxa"/>
            <w:tcBorders>
              <w:top w:val="single" w:sz="4" w:space="0" w:color="auto"/>
              <w:left w:val="single" w:sz="4" w:space="0" w:color="auto"/>
            </w:tcBorders>
            <w:shd w:val="clear" w:color="auto" w:fill="FFFFFF"/>
            <w:vAlign w:val="center"/>
          </w:tcPr>
          <w:p w:rsidR="001A07A9" w:rsidRDefault="001A07A9" w:rsidP="00FC03C9">
            <w:pPr>
              <w:pStyle w:val="Other0"/>
              <w:shd w:val="clear" w:color="auto" w:fill="auto"/>
            </w:pPr>
            <w:r>
              <w:rPr>
                <w:b/>
                <w:bCs/>
              </w:rPr>
              <w:t>Celkové způsobilé výdaje</w:t>
            </w:r>
          </w:p>
        </w:tc>
        <w:tc>
          <w:tcPr>
            <w:tcW w:w="2011" w:type="dxa"/>
            <w:tcBorders>
              <w:top w:val="single" w:sz="4" w:space="0" w:color="auto"/>
              <w:left w:val="single" w:sz="4" w:space="0" w:color="auto"/>
            </w:tcBorders>
            <w:shd w:val="clear" w:color="auto" w:fill="FFFFFF"/>
          </w:tcPr>
          <w:p w:rsidR="001A07A9" w:rsidRDefault="001A07A9" w:rsidP="00FC03C9">
            <w:pPr>
              <w:rPr>
                <w:sz w:val="10"/>
                <w:szCs w:val="10"/>
              </w:rPr>
            </w:pPr>
          </w:p>
        </w:tc>
        <w:tc>
          <w:tcPr>
            <w:tcW w:w="2165" w:type="dxa"/>
            <w:tcBorders>
              <w:top w:val="single" w:sz="4" w:space="0" w:color="auto"/>
              <w:left w:val="single" w:sz="4" w:space="0" w:color="auto"/>
              <w:right w:val="single" w:sz="4" w:space="0" w:color="auto"/>
            </w:tcBorders>
            <w:shd w:val="clear" w:color="auto" w:fill="FFFFFF"/>
            <w:vAlign w:val="center"/>
          </w:tcPr>
          <w:p w:rsidR="001A07A9" w:rsidRDefault="001A07A9" w:rsidP="00FC03C9">
            <w:pPr>
              <w:pStyle w:val="Other0"/>
              <w:shd w:val="clear" w:color="auto" w:fill="auto"/>
              <w:jc w:val="center"/>
            </w:pPr>
            <w:r>
              <w:rPr>
                <w:b/>
                <w:bCs/>
              </w:rPr>
              <w:t>x</w:t>
            </w:r>
          </w:p>
        </w:tc>
      </w:tr>
      <w:tr w:rsidR="001A07A9" w:rsidTr="00FC03C9">
        <w:trPr>
          <w:trHeight w:hRule="exact" w:val="1930"/>
          <w:jc w:val="center"/>
        </w:trPr>
        <w:tc>
          <w:tcPr>
            <w:tcW w:w="4958" w:type="dxa"/>
            <w:tcBorders>
              <w:top w:val="single" w:sz="4" w:space="0" w:color="auto"/>
              <w:left w:val="single" w:sz="4" w:space="0" w:color="auto"/>
            </w:tcBorders>
            <w:shd w:val="clear" w:color="auto" w:fill="FFFFFF"/>
            <w:vAlign w:val="bottom"/>
          </w:tcPr>
          <w:p w:rsidR="001A07A9" w:rsidRDefault="001A07A9" w:rsidP="00FC03C9">
            <w:pPr>
              <w:pStyle w:val="Other0"/>
              <w:shd w:val="clear" w:color="auto" w:fill="auto"/>
            </w:pPr>
            <w:r>
              <w:rPr>
                <w:b/>
                <w:bCs/>
              </w:rPr>
              <w:t>Dotace</w:t>
            </w:r>
          </w:p>
          <w:p w:rsidR="001A07A9" w:rsidRDefault="001A07A9" w:rsidP="00FC03C9">
            <w:pPr>
              <w:pStyle w:val="Other0"/>
              <w:shd w:val="clear" w:color="auto" w:fill="auto"/>
              <w:jc w:val="both"/>
              <w:rPr>
                <w:sz w:val="16"/>
                <w:szCs w:val="16"/>
              </w:rPr>
            </w:pPr>
            <w:r>
              <w:rPr>
                <w:sz w:val="16"/>
                <w:szCs w:val="16"/>
              </w:rPr>
              <w:t>Výše podpory z prostředků poskytnutých ze státního rozpočtu na předfinancování výdajů, které mají být kryty prostředky z Národního fondu (ust. § 44 odst. 2 písm. f) rozpočtových pravidel.</w:t>
            </w:r>
          </w:p>
          <w:p w:rsidR="001A07A9" w:rsidRDefault="001A07A9" w:rsidP="00FC03C9">
            <w:pPr>
              <w:pStyle w:val="Other0"/>
              <w:shd w:val="clear" w:color="auto" w:fill="auto"/>
              <w:jc w:val="both"/>
              <w:rPr>
                <w:sz w:val="16"/>
                <w:szCs w:val="16"/>
              </w:rPr>
            </w:pPr>
            <w:r>
              <w:rPr>
                <w:sz w:val="16"/>
                <w:szCs w:val="16"/>
              </w:rPr>
              <w:t>Podíl dotace na celkových způsobilých výdajích projektu, který bude skutečně vyplacen, bude určen dle nárokovaných způsobilých výdajů Projektu a v souladu s rozpočtem dle kap</w:t>
            </w:r>
            <w:hyperlink w:anchor="bookmark39" w:tooltip="Current Document">
              <w:r>
                <w:rPr>
                  <w:sz w:val="16"/>
                  <w:szCs w:val="16"/>
                </w:rPr>
                <w:t>. 6.11 t</w:t>
              </w:r>
            </w:hyperlink>
            <w:r>
              <w:rPr>
                <w:sz w:val="16"/>
                <w:szCs w:val="16"/>
              </w:rPr>
              <w:t>ohoto Rozhodnutí.</w:t>
            </w:r>
          </w:p>
        </w:tc>
        <w:tc>
          <w:tcPr>
            <w:tcW w:w="2011" w:type="dxa"/>
            <w:tcBorders>
              <w:top w:val="single" w:sz="4" w:space="0" w:color="auto"/>
              <w:left w:val="single" w:sz="4" w:space="0" w:color="auto"/>
            </w:tcBorders>
            <w:shd w:val="clear" w:color="auto" w:fill="FFFFFF"/>
          </w:tcPr>
          <w:p w:rsidR="001A07A9" w:rsidRDefault="001A07A9" w:rsidP="00FC03C9">
            <w:pPr>
              <w:rPr>
                <w:sz w:val="10"/>
                <w:szCs w:val="10"/>
              </w:rPr>
            </w:pPr>
          </w:p>
        </w:tc>
        <w:tc>
          <w:tcPr>
            <w:tcW w:w="2165" w:type="dxa"/>
            <w:tcBorders>
              <w:top w:val="single" w:sz="4" w:space="0" w:color="auto"/>
              <w:left w:val="single" w:sz="4" w:space="0" w:color="auto"/>
              <w:right w:val="single" w:sz="4" w:space="0" w:color="auto"/>
            </w:tcBorders>
            <w:shd w:val="clear" w:color="auto" w:fill="FFFFFF"/>
          </w:tcPr>
          <w:p w:rsidR="001A07A9" w:rsidRDefault="001A07A9" w:rsidP="00FC03C9">
            <w:pPr>
              <w:rPr>
                <w:sz w:val="10"/>
                <w:szCs w:val="10"/>
              </w:rPr>
            </w:pPr>
          </w:p>
        </w:tc>
      </w:tr>
      <w:tr w:rsidR="001A07A9" w:rsidTr="00FC03C9">
        <w:trPr>
          <w:trHeight w:hRule="exact" w:val="518"/>
          <w:jc w:val="center"/>
        </w:trPr>
        <w:tc>
          <w:tcPr>
            <w:tcW w:w="4958" w:type="dxa"/>
            <w:tcBorders>
              <w:top w:val="single" w:sz="4" w:space="0" w:color="auto"/>
              <w:left w:val="single" w:sz="4" w:space="0" w:color="auto"/>
            </w:tcBorders>
            <w:shd w:val="clear" w:color="auto" w:fill="FFFFFF"/>
            <w:vAlign w:val="center"/>
          </w:tcPr>
          <w:p w:rsidR="001A07A9" w:rsidRDefault="001A07A9" w:rsidP="00FC03C9">
            <w:pPr>
              <w:pStyle w:val="Other0"/>
              <w:shd w:val="clear" w:color="auto" w:fill="auto"/>
            </w:pPr>
            <w:r>
              <w:rPr>
                <w:b/>
                <w:bCs/>
              </w:rPr>
              <w:t xml:space="preserve">z toho </w:t>
            </w:r>
            <w:r>
              <w:rPr>
                <w:b/>
                <w:bCs/>
                <w:lang w:val="en-US" w:eastAsia="en-US" w:bidi="en-US"/>
              </w:rPr>
              <w:t xml:space="preserve">de minimis </w:t>
            </w:r>
            <w:r>
              <w:rPr>
                <w:b/>
                <w:bCs/>
              </w:rPr>
              <w:t>maximálně</w:t>
            </w:r>
            <w:r>
              <w:rPr>
                <w:b/>
                <w:bCs/>
                <w:vertAlign w:val="superscript"/>
              </w:rPr>
              <w:footnoteReference w:id="1"/>
            </w:r>
          </w:p>
        </w:tc>
        <w:tc>
          <w:tcPr>
            <w:tcW w:w="2011" w:type="dxa"/>
            <w:tcBorders>
              <w:top w:val="single" w:sz="4" w:space="0" w:color="auto"/>
              <w:left w:val="single" w:sz="4" w:space="0" w:color="auto"/>
            </w:tcBorders>
            <w:shd w:val="clear" w:color="auto" w:fill="FFFFFF"/>
          </w:tcPr>
          <w:p w:rsidR="001A07A9" w:rsidRDefault="001A07A9" w:rsidP="00FC03C9">
            <w:pPr>
              <w:rPr>
                <w:sz w:val="10"/>
                <w:szCs w:val="10"/>
              </w:rPr>
            </w:pPr>
          </w:p>
        </w:tc>
        <w:tc>
          <w:tcPr>
            <w:tcW w:w="2165" w:type="dxa"/>
            <w:tcBorders>
              <w:top w:val="single" w:sz="4" w:space="0" w:color="auto"/>
              <w:left w:val="single" w:sz="4" w:space="0" w:color="auto"/>
              <w:right w:val="single" w:sz="4" w:space="0" w:color="auto"/>
            </w:tcBorders>
            <w:shd w:val="clear" w:color="auto" w:fill="FFFFFF"/>
            <w:vAlign w:val="center"/>
          </w:tcPr>
          <w:p w:rsidR="001A07A9" w:rsidRDefault="001A07A9" w:rsidP="00FC03C9">
            <w:pPr>
              <w:pStyle w:val="Other0"/>
              <w:shd w:val="clear" w:color="auto" w:fill="auto"/>
              <w:jc w:val="center"/>
            </w:pPr>
            <w:r>
              <w:rPr>
                <w:b/>
                <w:bCs/>
              </w:rPr>
              <w:t>x</w:t>
            </w:r>
          </w:p>
        </w:tc>
      </w:tr>
      <w:tr w:rsidR="001A07A9" w:rsidTr="00FC03C9">
        <w:trPr>
          <w:trHeight w:hRule="exact" w:val="528"/>
          <w:jc w:val="center"/>
        </w:trPr>
        <w:tc>
          <w:tcPr>
            <w:tcW w:w="4958" w:type="dxa"/>
            <w:tcBorders>
              <w:top w:val="single" w:sz="4" w:space="0" w:color="auto"/>
              <w:left w:val="single" w:sz="4" w:space="0" w:color="auto"/>
              <w:bottom w:val="single" w:sz="4" w:space="0" w:color="auto"/>
            </w:tcBorders>
            <w:shd w:val="clear" w:color="auto" w:fill="FFFFFF"/>
            <w:vAlign w:val="center"/>
          </w:tcPr>
          <w:p w:rsidR="001A07A9" w:rsidRDefault="001A07A9" w:rsidP="00FC03C9">
            <w:pPr>
              <w:pStyle w:val="Other0"/>
              <w:shd w:val="clear" w:color="auto" w:fill="auto"/>
            </w:pPr>
            <w:r>
              <w:rPr>
                <w:b/>
                <w:bCs/>
              </w:rPr>
              <w:t>Podíl spolufinancování příjemce</w:t>
            </w:r>
          </w:p>
        </w:tc>
        <w:tc>
          <w:tcPr>
            <w:tcW w:w="2011" w:type="dxa"/>
            <w:tcBorders>
              <w:top w:val="single" w:sz="4" w:space="0" w:color="auto"/>
              <w:left w:val="single" w:sz="4" w:space="0" w:color="auto"/>
              <w:bottom w:val="single" w:sz="4" w:space="0" w:color="auto"/>
            </w:tcBorders>
            <w:shd w:val="clear" w:color="auto" w:fill="FFFFFF"/>
          </w:tcPr>
          <w:p w:rsidR="001A07A9" w:rsidRDefault="001A07A9" w:rsidP="00FC03C9">
            <w:pPr>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1A07A9" w:rsidRDefault="001A07A9" w:rsidP="00FC03C9">
            <w:pPr>
              <w:rPr>
                <w:sz w:val="10"/>
                <w:szCs w:val="10"/>
              </w:rPr>
            </w:pPr>
          </w:p>
        </w:tc>
      </w:tr>
    </w:tbl>
    <w:p w:rsidR="001A07A9" w:rsidRDefault="001A07A9" w:rsidP="001A07A9">
      <w:pPr>
        <w:spacing w:after="499" w:line="1" w:lineRule="exact"/>
      </w:pPr>
    </w:p>
    <w:p w:rsidR="001A07A9" w:rsidRDefault="001A07A9" w:rsidP="001A07A9">
      <w:pPr>
        <w:pStyle w:val="Zkladntext"/>
        <w:numPr>
          <w:ilvl w:val="1"/>
          <w:numId w:val="7"/>
        </w:numPr>
        <w:shd w:val="clear" w:color="auto" w:fill="auto"/>
        <w:tabs>
          <w:tab w:val="left" w:pos="566"/>
        </w:tabs>
        <w:spacing w:after="120"/>
        <w:ind w:left="580" w:hanging="580"/>
        <w:jc w:val="both"/>
      </w:pPr>
      <w:r>
        <w:t>Dotace bude příjemci vyplacena zpětně (ex post), na základě skutečně vynaložených, odůvodněných a řádně prokázaných způsobilých výdajů Projektu v souladu s právními předpisy ČR a EU a podmínkami poskytnutí dotace dle tohoto Rozhodnutí a jeho příloh.</w:t>
      </w:r>
    </w:p>
    <w:p w:rsidR="001A07A9" w:rsidRDefault="001A07A9" w:rsidP="001A07A9">
      <w:pPr>
        <w:pStyle w:val="Zkladntext"/>
        <w:numPr>
          <w:ilvl w:val="1"/>
          <w:numId w:val="7"/>
        </w:numPr>
        <w:shd w:val="clear" w:color="auto" w:fill="auto"/>
        <w:tabs>
          <w:tab w:val="left" w:pos="566"/>
        </w:tabs>
        <w:spacing w:after="120"/>
        <w:ind w:left="580" w:hanging="580"/>
        <w:jc w:val="both"/>
      </w:pPr>
      <w:r>
        <w:t>Příjemce je povinen zajistit předfinancování všech výdajů Projektu. Podíl výdajů nefinancovaný prostřednictvím dotace je příjemce povinen financovat z vlastních zdrojů.</w:t>
      </w:r>
    </w:p>
    <w:p w:rsidR="001A07A9" w:rsidRDefault="001A07A9" w:rsidP="001A07A9">
      <w:pPr>
        <w:pStyle w:val="Zkladntext"/>
        <w:numPr>
          <w:ilvl w:val="1"/>
          <w:numId w:val="7"/>
        </w:numPr>
        <w:shd w:val="clear" w:color="auto" w:fill="auto"/>
        <w:tabs>
          <w:tab w:val="left" w:pos="566"/>
        </w:tabs>
        <w:spacing w:after="120"/>
        <w:ind w:left="580" w:hanging="580"/>
        <w:jc w:val="both"/>
      </w:pPr>
      <w:r>
        <w:t>Ačkoliv se dotace poskytuje v maximální výši, není poskytovatel dotace povinen dotaci vyplatit až do její maximální výše, pokud příjemce neprokázal dostatečné množství způsobilých výdajů v souladu s podmínkami poskytnutí dotace.</w:t>
      </w:r>
    </w:p>
    <w:p w:rsidR="001A07A9" w:rsidRDefault="001A07A9" w:rsidP="001A07A9">
      <w:pPr>
        <w:pStyle w:val="Zkladntext"/>
        <w:numPr>
          <w:ilvl w:val="0"/>
          <w:numId w:val="7"/>
        </w:numPr>
        <w:shd w:val="clear" w:color="auto" w:fill="auto"/>
        <w:tabs>
          <w:tab w:val="left" w:pos="377"/>
        </w:tabs>
        <w:spacing w:line="216" w:lineRule="auto"/>
        <w:jc w:val="center"/>
        <w:rPr>
          <w:sz w:val="24"/>
          <w:szCs w:val="24"/>
        </w:rPr>
      </w:pPr>
      <w:r>
        <w:rPr>
          <w:b/>
          <w:bCs/>
          <w:sz w:val="24"/>
          <w:szCs w:val="24"/>
        </w:rPr>
        <w:t>Článek</w:t>
      </w:r>
    </w:p>
    <w:p w:rsidR="001A07A9" w:rsidRDefault="001A07A9" w:rsidP="001A07A9">
      <w:pPr>
        <w:pStyle w:val="Zkladntext"/>
        <w:shd w:val="clear" w:color="auto" w:fill="auto"/>
        <w:spacing w:after="120" w:line="216" w:lineRule="auto"/>
        <w:jc w:val="center"/>
        <w:rPr>
          <w:sz w:val="24"/>
          <w:szCs w:val="24"/>
        </w:rPr>
      </w:pPr>
      <w:r>
        <w:rPr>
          <w:b/>
          <w:bCs/>
          <w:sz w:val="24"/>
          <w:szCs w:val="24"/>
        </w:rPr>
        <w:t>Účel dotace a lhůta, v níž má být účelu dotace dosaženo</w:t>
      </w:r>
    </w:p>
    <w:p w:rsidR="001A07A9" w:rsidRDefault="001A07A9" w:rsidP="001A07A9">
      <w:pPr>
        <w:pStyle w:val="Zkladntext"/>
        <w:numPr>
          <w:ilvl w:val="1"/>
          <w:numId w:val="7"/>
        </w:numPr>
        <w:shd w:val="clear" w:color="auto" w:fill="auto"/>
        <w:tabs>
          <w:tab w:val="left" w:pos="566"/>
        </w:tabs>
        <w:spacing w:after="120"/>
        <w:ind w:left="580" w:hanging="580"/>
        <w:jc w:val="both"/>
      </w:pPr>
      <w:r>
        <w:t>Příjemce je povinen prokazatelně splnit účel, na který mu byla poskytnuta dotace. Tímto účelem se rozumí získávání nových znalostí potřebných pro vývoj nových produktů, materiálů, technologií a služeb prostřednictvím realizace projektů průmyslového výzkumu a/nebo experimentálního vývoje (dle Nařízení GBER čl. 2 bod 85 a 86).</w:t>
      </w:r>
    </w:p>
    <w:p w:rsidR="001A07A9" w:rsidRDefault="001A07A9" w:rsidP="001A07A9">
      <w:pPr>
        <w:pStyle w:val="Zkladntext"/>
        <w:numPr>
          <w:ilvl w:val="1"/>
          <w:numId w:val="7"/>
        </w:numPr>
        <w:shd w:val="clear" w:color="auto" w:fill="auto"/>
        <w:tabs>
          <w:tab w:val="left" w:pos="566"/>
        </w:tabs>
        <w:spacing w:after="120"/>
        <w:jc w:val="both"/>
      </w:pPr>
      <w:r>
        <w:t>Účel dotace nelze změnit.</w:t>
      </w:r>
    </w:p>
    <w:p w:rsidR="001A07A9" w:rsidRDefault="001A07A9" w:rsidP="001A07A9">
      <w:pPr>
        <w:pStyle w:val="Zkladntext"/>
        <w:numPr>
          <w:ilvl w:val="1"/>
          <w:numId w:val="7"/>
        </w:numPr>
        <w:shd w:val="clear" w:color="auto" w:fill="auto"/>
        <w:tabs>
          <w:tab w:val="left" w:pos="566"/>
        </w:tabs>
        <w:spacing w:after="120"/>
        <w:jc w:val="both"/>
      </w:pPr>
      <w:r>
        <w:t>Datum zahájení Projektu: . Datum zahájení Projektu není závazný údaj.</w:t>
      </w:r>
    </w:p>
    <w:p w:rsidR="001A07A9" w:rsidRDefault="001A07A9" w:rsidP="001A07A9">
      <w:pPr>
        <w:pStyle w:val="Zkladntext"/>
        <w:numPr>
          <w:ilvl w:val="1"/>
          <w:numId w:val="7"/>
        </w:numPr>
        <w:shd w:val="clear" w:color="auto" w:fill="auto"/>
        <w:tabs>
          <w:tab w:val="left" w:pos="566"/>
        </w:tabs>
        <w:spacing w:after="380"/>
        <w:jc w:val="both"/>
      </w:pPr>
      <w:r>
        <w:t>Datum předpokládaného ukončení Projektu: .</w:t>
      </w:r>
    </w:p>
    <w:p w:rsidR="00682916" w:rsidRDefault="001A07A9" w:rsidP="001A07A9">
      <w:pPr>
        <w:pStyle w:val="Zkladntext"/>
        <w:shd w:val="clear" w:color="auto" w:fill="auto"/>
        <w:spacing w:after="120"/>
        <w:jc w:val="both"/>
      </w:pPr>
      <w:r>
        <w:t>Předpokládané datum ukončení a místo realizace Projektu mohou být změněny postupem dle čl.</w:t>
      </w:r>
      <w:hyperlink w:anchor="bookmark5" w:tooltip="Current Document">
        <w:r>
          <w:t xml:space="preserve"> 5.1</w:t>
        </w:r>
      </w:hyperlink>
    </w:p>
    <w:p w:rsidR="00682916" w:rsidRDefault="00682916" w:rsidP="001A07A9">
      <w:pPr>
        <w:pStyle w:val="Zkladntext"/>
        <w:shd w:val="clear" w:color="auto" w:fill="auto"/>
        <w:spacing w:after="120"/>
        <w:jc w:val="both"/>
      </w:pPr>
    </w:p>
    <w:p w:rsidR="00682916" w:rsidRDefault="00682916" w:rsidP="001A07A9">
      <w:pPr>
        <w:pStyle w:val="Zkladntext"/>
        <w:shd w:val="clear" w:color="auto" w:fill="auto"/>
        <w:spacing w:after="120"/>
        <w:jc w:val="both"/>
      </w:pPr>
    </w:p>
    <w:p w:rsidR="00682916" w:rsidRDefault="00682916" w:rsidP="001A07A9">
      <w:pPr>
        <w:pStyle w:val="Zkladntext"/>
        <w:shd w:val="clear" w:color="auto" w:fill="auto"/>
        <w:spacing w:after="120"/>
        <w:jc w:val="both"/>
      </w:pPr>
    </w:p>
    <w:p w:rsidR="001A07A9" w:rsidRDefault="001A07A9" w:rsidP="001A07A9">
      <w:pPr>
        <w:pStyle w:val="Zkladntext"/>
        <w:shd w:val="clear" w:color="auto" w:fill="auto"/>
        <w:spacing w:after="120"/>
        <w:jc w:val="both"/>
      </w:pPr>
      <w:r>
        <w:t xml:space="preserve"> tohoto Rozhodnutí. Lhůta, ve které má být dosaženo účelu dotace, je shodná s předpokládaným datem ukončení Projektu. Předpokládané datum ukončení Projektu je nejzazší datum ukončení Projektu. V souladu s čl. Základní pravidla pro způsobilost výdajů Pravidel pro žadatele a příjemce z OP TAK - obecná část, která tvoří přílohu tohoto Rozhodnutí (dále jen „PpŽP - obecná část“), tomuto datu může předcházet datum skutečného ukončení Projektu. Pokud jsou dále v tomto Rozhodnutí povinnosti příjemce vázány na datum ukončení Projektu, je tímto datem datum skutečného ukončení Projektu uvedené v souladu s tímto Rozhodnutím a PpŽP - obecná část v závěrečné zprávě o realizaci, nestanoví-li toto Rozhodnutí dále jinak.</w:t>
      </w:r>
    </w:p>
    <w:p w:rsidR="001A07A9" w:rsidRDefault="001A07A9" w:rsidP="001A07A9">
      <w:pPr>
        <w:pStyle w:val="Zkladntext"/>
        <w:shd w:val="clear" w:color="auto" w:fill="auto"/>
        <w:spacing w:line="216" w:lineRule="auto"/>
        <w:jc w:val="center"/>
        <w:rPr>
          <w:sz w:val="24"/>
          <w:szCs w:val="24"/>
        </w:rPr>
      </w:pPr>
      <w:r>
        <w:rPr>
          <w:b/>
          <w:bCs/>
          <w:sz w:val="24"/>
          <w:szCs w:val="24"/>
        </w:rPr>
        <w:t>HLAVA II. - POVINNOSTI PŘÍJEMCE</w:t>
      </w:r>
    </w:p>
    <w:p w:rsidR="001A07A9" w:rsidRDefault="001A07A9" w:rsidP="001A07A9">
      <w:pPr>
        <w:pStyle w:val="Zkladntext"/>
        <w:numPr>
          <w:ilvl w:val="0"/>
          <w:numId w:val="7"/>
        </w:numPr>
        <w:shd w:val="clear" w:color="auto" w:fill="auto"/>
        <w:tabs>
          <w:tab w:val="left" w:pos="360"/>
        </w:tabs>
        <w:spacing w:line="216" w:lineRule="auto"/>
        <w:jc w:val="center"/>
        <w:rPr>
          <w:sz w:val="24"/>
          <w:szCs w:val="24"/>
        </w:rPr>
      </w:pPr>
      <w:r>
        <w:rPr>
          <w:b/>
          <w:bCs/>
          <w:sz w:val="24"/>
          <w:szCs w:val="24"/>
        </w:rPr>
        <w:t>Článek</w:t>
      </w:r>
    </w:p>
    <w:p w:rsidR="001A07A9" w:rsidRDefault="001A07A9" w:rsidP="001A07A9">
      <w:pPr>
        <w:pStyle w:val="Zkladntext"/>
        <w:shd w:val="clear" w:color="auto" w:fill="auto"/>
        <w:spacing w:after="120" w:line="216" w:lineRule="auto"/>
        <w:jc w:val="center"/>
        <w:rPr>
          <w:sz w:val="24"/>
          <w:szCs w:val="24"/>
        </w:rPr>
      </w:pPr>
      <w:r>
        <w:rPr>
          <w:b/>
          <w:bCs/>
          <w:sz w:val="24"/>
          <w:szCs w:val="24"/>
        </w:rPr>
        <w:t>Obecná ustanovení</w:t>
      </w:r>
    </w:p>
    <w:p w:rsidR="001A07A9" w:rsidRDefault="001A07A9" w:rsidP="001A07A9">
      <w:pPr>
        <w:pStyle w:val="Zkladntext"/>
        <w:numPr>
          <w:ilvl w:val="1"/>
          <w:numId w:val="7"/>
        </w:numPr>
        <w:shd w:val="clear" w:color="auto" w:fill="auto"/>
        <w:tabs>
          <w:tab w:val="left" w:pos="579"/>
        </w:tabs>
        <w:spacing w:after="120"/>
        <w:ind w:left="580" w:hanging="580"/>
        <w:jc w:val="both"/>
      </w:pPr>
      <w:r>
        <w:t>Běh všech lhůt stanovených tímto Rozhodnutím začíná právní mocí tohoto Rozhodnutí, nestanoví-li Výzva, toto Rozhodnutí nebo jeho přílohy jako počátek lhůty jiné datum. Lhůty jsou uvedeny v kalendářních dnech, pokud není uvedeno jinak. Lhůty se počítají dle ust. § 40 zákona č. 500/2004 Sb., správní řád, ve znění pozdějších předpisů.</w:t>
      </w:r>
    </w:p>
    <w:p w:rsidR="001A07A9" w:rsidRDefault="001A07A9" w:rsidP="001A07A9">
      <w:pPr>
        <w:pStyle w:val="Zkladntext"/>
        <w:numPr>
          <w:ilvl w:val="1"/>
          <w:numId w:val="7"/>
        </w:numPr>
        <w:shd w:val="clear" w:color="auto" w:fill="auto"/>
        <w:tabs>
          <w:tab w:val="left" w:pos="579"/>
        </w:tabs>
        <w:spacing w:after="120"/>
        <w:ind w:left="580" w:hanging="580"/>
        <w:jc w:val="both"/>
      </w:pPr>
      <w:r>
        <w:t>Komunikace příjemce, zprostředkujícího subjektu a poskytovatele dotace probíhá prostřednictvím informačního systému MS2021+ (dále jen „informační systém“ nebo „MS2021+“). Příjemce je povinen pravidelně kontrolovat stav svého účtu v informačním systému.</w:t>
      </w:r>
    </w:p>
    <w:p w:rsidR="001A07A9" w:rsidRDefault="001A07A9" w:rsidP="001A07A9">
      <w:pPr>
        <w:pStyle w:val="Zkladntext"/>
        <w:numPr>
          <w:ilvl w:val="1"/>
          <w:numId w:val="7"/>
        </w:numPr>
        <w:shd w:val="clear" w:color="auto" w:fill="auto"/>
        <w:tabs>
          <w:tab w:val="left" w:pos="579"/>
        </w:tabs>
        <w:spacing w:after="120"/>
        <w:ind w:left="580" w:hanging="580"/>
        <w:jc w:val="both"/>
      </w:pPr>
      <w:r>
        <w:t>Pro účely tohoto Rozhodnutí se zprostředkujícím subjektem rozumí Agentura pro podnikání a inovace, se sídlem Štěpánská 796/44, 110 00 Praha 1, IČO: 05108861.</w:t>
      </w:r>
    </w:p>
    <w:p w:rsidR="001A07A9" w:rsidRDefault="001A07A9" w:rsidP="001A07A9">
      <w:pPr>
        <w:pStyle w:val="Zkladntext"/>
        <w:numPr>
          <w:ilvl w:val="1"/>
          <w:numId w:val="7"/>
        </w:numPr>
        <w:shd w:val="clear" w:color="auto" w:fill="auto"/>
        <w:tabs>
          <w:tab w:val="left" w:pos="579"/>
        </w:tabs>
        <w:spacing w:after="120"/>
        <w:ind w:left="580" w:hanging="580"/>
        <w:jc w:val="both"/>
      </w:pPr>
      <w:r>
        <w:t>Je-li příjemce tímto Rozhodnutím zavázán plnit dále uvedené povinnosti „po dobu realizace a udržitelnosti“, rozumí se tímto období od nabytí právní moci tohoto Rozhodnutí do uplynutí 3 let od přechodu Projektu do centrálního stavu v MS2021+ „Projekt finančně ukončen ŘO“, pokud příslušná Výzva nestanovila povinnost plnit dané povinnosti i před nabytím právní moci tohoto Rozhodnutí.</w:t>
      </w:r>
    </w:p>
    <w:p w:rsidR="001A07A9" w:rsidRDefault="001A07A9" w:rsidP="001A07A9">
      <w:pPr>
        <w:pStyle w:val="Zkladntext"/>
        <w:numPr>
          <w:ilvl w:val="0"/>
          <w:numId w:val="7"/>
        </w:numPr>
        <w:shd w:val="clear" w:color="auto" w:fill="auto"/>
        <w:tabs>
          <w:tab w:val="left" w:pos="1003"/>
        </w:tabs>
        <w:spacing w:after="120" w:line="233" w:lineRule="auto"/>
        <w:jc w:val="center"/>
        <w:rPr>
          <w:sz w:val="24"/>
          <w:szCs w:val="24"/>
        </w:rPr>
      </w:pPr>
      <w:r>
        <w:rPr>
          <w:b/>
          <w:bCs/>
          <w:sz w:val="24"/>
          <w:szCs w:val="24"/>
        </w:rPr>
        <w:t>Článek</w:t>
      </w:r>
      <w:r>
        <w:rPr>
          <w:b/>
          <w:bCs/>
          <w:sz w:val="24"/>
          <w:szCs w:val="24"/>
        </w:rPr>
        <w:br/>
        <w:t>Změny Projektu a příjemce</w:t>
      </w:r>
    </w:p>
    <w:p w:rsidR="001A07A9" w:rsidRDefault="001A07A9" w:rsidP="001A07A9">
      <w:pPr>
        <w:pStyle w:val="Zkladntext"/>
        <w:numPr>
          <w:ilvl w:val="1"/>
          <w:numId w:val="7"/>
        </w:numPr>
        <w:shd w:val="clear" w:color="auto" w:fill="auto"/>
        <w:tabs>
          <w:tab w:val="left" w:pos="579"/>
        </w:tabs>
        <w:spacing w:after="120"/>
        <w:ind w:left="580" w:hanging="580"/>
        <w:jc w:val="both"/>
      </w:pPr>
      <w:r>
        <w:t>Příjemce je povinen realizovat Projekt v souladu s tímto Rozhodnutím a jeho případnými změnami a v rámci aktivit podporovaných Výzvou. Při jakékoliv změně Projektu je příjemce povinen postupovat dle PpŽP - obecná část a dle případně dále stanovených podmínek. Žádost o změnu příjemce podává nejpozději 14 dnů před uplynutím lhůty, ve které má být daná povinnost splněna. Pokud se žádost o změnu týká povinnosti, která nemá stanovenou konkrétní lhůtu ke svému splnění, je příjemce povinen požádat o změnu bez zbytečného odkladu poté, co se o rozhodné skutečnosti dozvěděl, nejpozději však před tím, než k porušení nebo nesplnění podmínky dojde. Žádost o změnu musí příjemce vždy podat tak, aby poskytovatel mohl o této žádosti rozhodnout před jejím skutečným provedením. Přílohou žádosti o změnu jsou dokumenty dokládající tuto změnu. V případě podání žádosti o změnu v souladu s tímto článkem Rozhodnutí příjemci lhůta pro splnění povinnosti neběží v době ode dne podání žádosti o změnu do dne, kdy je mu oznámeno vyhovění žádosti o změnu. Poskytovatel dotace může vyhovět i žádosti o změnu podané po uplynutí výše uvedené 14denní lhůty, pokud byla žádost o změnu podána před uplynutím lhůty, ve které měla být dotčená povinnost splněna.</w:t>
      </w:r>
    </w:p>
    <w:p w:rsidR="001A07A9" w:rsidRDefault="001A07A9" w:rsidP="001A07A9">
      <w:pPr>
        <w:pStyle w:val="Zkladntext"/>
        <w:numPr>
          <w:ilvl w:val="1"/>
          <w:numId w:val="7"/>
        </w:numPr>
        <w:shd w:val="clear" w:color="auto" w:fill="auto"/>
        <w:tabs>
          <w:tab w:val="left" w:pos="579"/>
        </w:tabs>
        <w:spacing w:after="120"/>
        <w:ind w:left="580" w:hanging="580"/>
        <w:jc w:val="both"/>
      </w:pPr>
      <w:r>
        <w:t>Příjemce není oprávněn převést práva a povinnosti vyplývající z Rozhodnutí na jiný subjekt bez předchozího písemného souhlasu poskytovatele dotace.</w:t>
      </w:r>
    </w:p>
    <w:p w:rsidR="00682916" w:rsidRDefault="00682916" w:rsidP="00682916">
      <w:pPr>
        <w:pStyle w:val="Zkladntext"/>
        <w:shd w:val="clear" w:color="auto" w:fill="auto"/>
        <w:tabs>
          <w:tab w:val="left" w:pos="579"/>
        </w:tabs>
        <w:spacing w:after="120"/>
        <w:ind w:left="580"/>
        <w:jc w:val="both"/>
      </w:pPr>
    </w:p>
    <w:p w:rsidR="00682916" w:rsidRDefault="00682916" w:rsidP="00682916">
      <w:pPr>
        <w:pStyle w:val="Zkladntext"/>
        <w:shd w:val="clear" w:color="auto" w:fill="auto"/>
        <w:tabs>
          <w:tab w:val="left" w:pos="579"/>
        </w:tabs>
        <w:spacing w:after="120"/>
        <w:ind w:left="580"/>
        <w:jc w:val="both"/>
      </w:pPr>
    </w:p>
    <w:p w:rsidR="00682916" w:rsidRDefault="00682916" w:rsidP="00682916">
      <w:pPr>
        <w:pStyle w:val="Zkladntext"/>
        <w:shd w:val="clear" w:color="auto" w:fill="auto"/>
        <w:tabs>
          <w:tab w:val="left" w:pos="579"/>
        </w:tabs>
        <w:spacing w:after="120"/>
        <w:ind w:left="580"/>
        <w:jc w:val="both"/>
      </w:pPr>
    </w:p>
    <w:p w:rsidR="00682916" w:rsidRDefault="00682916" w:rsidP="00682916">
      <w:pPr>
        <w:pStyle w:val="Zkladntext"/>
        <w:shd w:val="clear" w:color="auto" w:fill="auto"/>
        <w:tabs>
          <w:tab w:val="left" w:pos="579"/>
        </w:tabs>
        <w:spacing w:after="120"/>
        <w:ind w:left="580"/>
        <w:jc w:val="both"/>
      </w:pPr>
    </w:p>
    <w:p w:rsidR="00682916" w:rsidRDefault="00682916" w:rsidP="00682916">
      <w:pPr>
        <w:pStyle w:val="Zkladntext"/>
        <w:shd w:val="clear" w:color="auto" w:fill="auto"/>
        <w:tabs>
          <w:tab w:val="left" w:pos="579"/>
        </w:tabs>
        <w:spacing w:after="120"/>
        <w:ind w:left="580"/>
        <w:jc w:val="both"/>
      </w:pPr>
    </w:p>
    <w:p w:rsidR="00682916" w:rsidRDefault="00682916" w:rsidP="00682916">
      <w:pPr>
        <w:pStyle w:val="Zkladntext"/>
        <w:shd w:val="clear" w:color="auto" w:fill="auto"/>
        <w:tabs>
          <w:tab w:val="left" w:pos="579"/>
        </w:tabs>
        <w:spacing w:after="120"/>
        <w:ind w:left="580"/>
        <w:jc w:val="both"/>
      </w:pPr>
    </w:p>
    <w:p w:rsidR="00682916" w:rsidRDefault="00682916" w:rsidP="00682916">
      <w:pPr>
        <w:pStyle w:val="Zkladntext"/>
        <w:shd w:val="clear" w:color="auto" w:fill="auto"/>
        <w:tabs>
          <w:tab w:val="left" w:pos="579"/>
        </w:tabs>
        <w:spacing w:after="120"/>
        <w:ind w:left="580"/>
        <w:jc w:val="both"/>
      </w:pPr>
    </w:p>
    <w:p w:rsidR="00682916" w:rsidRDefault="00682916" w:rsidP="00682916">
      <w:pPr>
        <w:pStyle w:val="Zkladntext"/>
        <w:shd w:val="clear" w:color="auto" w:fill="auto"/>
        <w:tabs>
          <w:tab w:val="left" w:pos="579"/>
        </w:tabs>
        <w:spacing w:after="120"/>
        <w:ind w:left="580"/>
        <w:jc w:val="both"/>
      </w:pPr>
    </w:p>
    <w:p w:rsidR="001A07A9" w:rsidRDefault="001A07A9" w:rsidP="001A07A9">
      <w:pPr>
        <w:pStyle w:val="Zkladntext"/>
        <w:numPr>
          <w:ilvl w:val="0"/>
          <w:numId w:val="7"/>
        </w:numPr>
        <w:shd w:val="clear" w:color="auto" w:fill="auto"/>
        <w:tabs>
          <w:tab w:val="left" w:pos="360"/>
        </w:tabs>
        <w:jc w:val="center"/>
        <w:rPr>
          <w:sz w:val="24"/>
          <w:szCs w:val="24"/>
        </w:rPr>
      </w:pPr>
      <w:r>
        <w:rPr>
          <w:b/>
          <w:bCs/>
          <w:sz w:val="24"/>
          <w:szCs w:val="24"/>
        </w:rPr>
        <w:lastRenderedPageBreak/>
        <w:t>Článek</w:t>
      </w:r>
    </w:p>
    <w:p w:rsidR="001A07A9" w:rsidRDefault="001A07A9" w:rsidP="001A07A9">
      <w:pPr>
        <w:pStyle w:val="Zkladntext"/>
        <w:shd w:val="clear" w:color="auto" w:fill="auto"/>
        <w:spacing w:line="230" w:lineRule="auto"/>
        <w:jc w:val="center"/>
        <w:rPr>
          <w:sz w:val="24"/>
          <w:szCs w:val="24"/>
        </w:rPr>
      </w:pPr>
      <w:r>
        <w:rPr>
          <w:b/>
          <w:bCs/>
          <w:sz w:val="24"/>
          <w:szCs w:val="24"/>
        </w:rPr>
        <w:t>Povinnosti příjemce</w:t>
      </w:r>
    </w:p>
    <w:p w:rsidR="001A07A9" w:rsidRDefault="001A07A9" w:rsidP="001A07A9">
      <w:pPr>
        <w:pStyle w:val="Heading30"/>
        <w:keepNext/>
        <w:keepLines/>
        <w:numPr>
          <w:ilvl w:val="1"/>
          <w:numId w:val="7"/>
        </w:numPr>
        <w:shd w:val="clear" w:color="auto" w:fill="auto"/>
        <w:tabs>
          <w:tab w:val="left" w:pos="566"/>
        </w:tabs>
        <w:spacing w:after="100"/>
        <w:jc w:val="both"/>
      </w:pPr>
      <w:r>
        <w:t>Obecná ustanovení</w:t>
      </w:r>
    </w:p>
    <w:p w:rsidR="001A07A9" w:rsidRDefault="001A07A9" w:rsidP="001A07A9">
      <w:pPr>
        <w:pStyle w:val="Zkladntext"/>
        <w:numPr>
          <w:ilvl w:val="2"/>
          <w:numId w:val="7"/>
        </w:numPr>
        <w:shd w:val="clear" w:color="auto" w:fill="auto"/>
        <w:tabs>
          <w:tab w:val="left" w:pos="709"/>
        </w:tabs>
        <w:spacing w:after="100"/>
        <w:ind w:left="720" w:hanging="720"/>
        <w:jc w:val="both"/>
      </w:pPr>
      <w:r>
        <w:t>Není-li v tomto Rozhodnutí uvedeno jinak, jsou podmínky stanovené tímto Rozhodnutím podmínkami ve smyslu ust. § 14 odst. 4 písm. g) rozpočtových pravidel.</w:t>
      </w:r>
    </w:p>
    <w:p w:rsidR="001A07A9" w:rsidRDefault="001A07A9" w:rsidP="001A07A9">
      <w:pPr>
        <w:pStyle w:val="Zkladntext"/>
        <w:numPr>
          <w:ilvl w:val="2"/>
          <w:numId w:val="7"/>
        </w:numPr>
        <w:shd w:val="clear" w:color="auto" w:fill="auto"/>
        <w:tabs>
          <w:tab w:val="left" w:pos="709"/>
        </w:tabs>
        <w:spacing w:after="100"/>
        <w:ind w:left="720" w:hanging="720"/>
        <w:jc w:val="both"/>
      </w:pPr>
      <w:r>
        <w:t>Pokud bude zjištěno, že příjemce porušil povinnosti stanovené právním předpisem, nedodržel účel dotace nebo podmínky tohoto Rozhodnutí a jeho příloh, má poskytovatel dotace právo dotaci nebo její část dle ust. § 14e rozpočtových pravidel nevyplatit. V případě tohoto zjištění týkajícího se již vyplacené dotace či její části uplatní poskytovatel dotace postup dle ust. § 14f rozpočtových pravidel s výjimkou případu zjištěného nesplnění účelu dotace.</w:t>
      </w:r>
    </w:p>
    <w:p w:rsidR="001A07A9" w:rsidRDefault="001A07A9" w:rsidP="001A07A9">
      <w:pPr>
        <w:pStyle w:val="Zkladntext"/>
        <w:numPr>
          <w:ilvl w:val="2"/>
          <w:numId w:val="7"/>
        </w:numPr>
        <w:shd w:val="clear" w:color="auto" w:fill="auto"/>
        <w:tabs>
          <w:tab w:val="left" w:pos="709"/>
        </w:tabs>
        <w:spacing w:after="100"/>
        <w:ind w:left="720" w:hanging="720"/>
        <w:jc w:val="both"/>
      </w:pPr>
      <w:r>
        <w:t>V souladu s ust. § 14 odst. 5 rozpočtových pravidel stanoví poskytovatel dotace pro porušení podmínek s nižší intenzitou v tomto Rozhodnutí nižší částku odvodu za porušení rozpočtové kázně, než kolik činí celková částka dotace.</w:t>
      </w:r>
    </w:p>
    <w:p w:rsidR="001A07A9" w:rsidRDefault="001A07A9" w:rsidP="001A07A9">
      <w:pPr>
        <w:pStyle w:val="Zkladntext"/>
        <w:numPr>
          <w:ilvl w:val="2"/>
          <w:numId w:val="7"/>
        </w:numPr>
        <w:shd w:val="clear" w:color="auto" w:fill="auto"/>
        <w:tabs>
          <w:tab w:val="left" w:pos="709"/>
        </w:tabs>
        <w:spacing w:after="100"/>
        <w:ind w:left="720" w:hanging="720"/>
        <w:jc w:val="both"/>
      </w:pPr>
      <w:r>
        <w:t>Je-li u konkrétního porušení stanoven nižší odvod za porušení rozpočtové kázně dle ust. § 14 odst. 5 rozpočtových pravidel, stanoví poskytovatel dotace v případě postupu podle ust. § 14e rozpočtových pravidel výši nevyplacené dotace ve výši odpovídající výši sníženého odvodu za porušení rozpočtové kázně.</w:t>
      </w:r>
    </w:p>
    <w:p w:rsidR="001A07A9" w:rsidRDefault="001A07A9" w:rsidP="001A07A9">
      <w:pPr>
        <w:pStyle w:val="Zkladntext"/>
        <w:numPr>
          <w:ilvl w:val="2"/>
          <w:numId w:val="7"/>
        </w:numPr>
        <w:shd w:val="clear" w:color="auto" w:fill="auto"/>
        <w:tabs>
          <w:tab w:val="left" w:pos="709"/>
        </w:tabs>
        <w:spacing w:after="100"/>
        <w:ind w:left="720" w:hanging="720"/>
        <w:jc w:val="both"/>
      </w:pPr>
      <w:r>
        <w:t>Při nesplnění více povinností dle tohoto Rozhodnutí a souvisejících právních předpisů se jednotlivé odvody za porušení rozpočtové kázně sčítají s výjimkou porušení týkajícího se zadávaní veřejných zakázek a výběru dodavatelů, u nichž je v případě vícenásobného porušení stanoven odvod za porušení rozpočtové kázně ve výši nejvyššího odvodu stanoveného podle ust. § 14 odst. 5 rozpočtových pravidel, který lze za některé ze zjištěných porušení uložit.</w:t>
      </w:r>
    </w:p>
    <w:p w:rsidR="001A07A9" w:rsidRDefault="001A07A9" w:rsidP="001A07A9">
      <w:pPr>
        <w:pStyle w:val="Zkladntext"/>
        <w:numPr>
          <w:ilvl w:val="2"/>
          <w:numId w:val="7"/>
        </w:numPr>
        <w:shd w:val="clear" w:color="auto" w:fill="auto"/>
        <w:tabs>
          <w:tab w:val="left" w:pos="709"/>
        </w:tabs>
        <w:spacing w:after="100"/>
        <w:ind w:left="720" w:hanging="720"/>
        <w:jc w:val="both"/>
      </w:pPr>
      <w:r>
        <w:t>Celková výše částky dotace nevyplacená ze strany poskytovatele dotace dle ust. § 14e rozpočtových pravidel může v součtu dosáhnout maximálně takové částky, která byla v rámci Projektu schválena k proplacení.</w:t>
      </w:r>
    </w:p>
    <w:p w:rsidR="001A07A9" w:rsidRDefault="001A07A9" w:rsidP="001A07A9">
      <w:pPr>
        <w:pStyle w:val="Heading30"/>
        <w:keepNext/>
        <w:keepLines/>
        <w:numPr>
          <w:ilvl w:val="1"/>
          <w:numId w:val="7"/>
        </w:numPr>
        <w:shd w:val="clear" w:color="auto" w:fill="auto"/>
        <w:tabs>
          <w:tab w:val="left" w:pos="566"/>
        </w:tabs>
        <w:spacing w:after="100"/>
        <w:jc w:val="both"/>
      </w:pPr>
      <w:bookmarkStart w:id="11" w:name="bookmark10"/>
      <w:bookmarkStart w:id="12" w:name="bookmark9"/>
      <w:bookmarkStart w:id="13" w:name="bookmark8"/>
      <w:r>
        <w:t>Informační povinnosti příjemce</w:t>
      </w:r>
      <w:bookmarkEnd w:id="11"/>
      <w:bookmarkEnd w:id="12"/>
      <w:bookmarkEnd w:id="13"/>
    </w:p>
    <w:p w:rsidR="001A07A9" w:rsidRDefault="001A07A9" w:rsidP="001A07A9">
      <w:pPr>
        <w:pStyle w:val="Zkladntext"/>
        <w:numPr>
          <w:ilvl w:val="2"/>
          <w:numId w:val="7"/>
        </w:numPr>
        <w:shd w:val="clear" w:color="auto" w:fill="auto"/>
        <w:tabs>
          <w:tab w:val="left" w:pos="709"/>
        </w:tabs>
        <w:jc w:val="both"/>
      </w:pPr>
      <w:r>
        <w:t>Příjemce je povinen vést průběžně evidenci o své vlastnické struktuře a jejích změnách.</w:t>
      </w:r>
    </w:p>
    <w:p w:rsidR="001A07A9" w:rsidRDefault="001A07A9" w:rsidP="001A07A9">
      <w:pPr>
        <w:pStyle w:val="Zkladntext"/>
        <w:shd w:val="clear" w:color="auto" w:fill="auto"/>
        <w:tabs>
          <w:tab w:val="left" w:pos="4157"/>
          <w:tab w:val="left" w:pos="5827"/>
          <w:tab w:val="left" w:pos="7613"/>
          <w:tab w:val="left" w:pos="8414"/>
        </w:tabs>
        <w:ind w:left="720"/>
        <w:jc w:val="both"/>
      </w:pPr>
      <w:r>
        <w:t>Příjemce je povinen na vyžádání zejména poskytovatele dotace, Platebního orgánu, Auditního orgánu, Evropské komise nebo Evropského účetního dvora v požadované lhůtě poskytnout průkazné, pravdivé a úplné dokumenty a informace o své vlastnické struktuře (včetně informací dokládajících správnost údajů), a to až do úrovně skutečného majitele/skutečných majitelů ve smyslu</w:t>
      </w:r>
      <w:r>
        <w:tab/>
        <w:t>ust. §</w:t>
      </w:r>
      <w:r>
        <w:tab/>
        <w:t>2 písm.</w:t>
      </w:r>
      <w:r>
        <w:tab/>
        <w:t>c)</w:t>
      </w:r>
      <w:r>
        <w:tab/>
        <w:t>zákona</w:t>
      </w:r>
    </w:p>
    <w:p w:rsidR="001A07A9" w:rsidRDefault="001A07A9" w:rsidP="001A07A9">
      <w:pPr>
        <w:pStyle w:val="Zkladntext"/>
        <w:shd w:val="clear" w:color="auto" w:fill="auto"/>
        <w:ind w:firstLine="720"/>
        <w:jc w:val="both"/>
      </w:pPr>
      <w:r>
        <w:t>č. 37/2021 Sb., o evidenci skutečných majitelů (dále jen „ZESM“).</w:t>
      </w:r>
    </w:p>
    <w:p w:rsidR="001A07A9" w:rsidRDefault="001A07A9" w:rsidP="001A07A9">
      <w:pPr>
        <w:pStyle w:val="Zkladntext"/>
        <w:numPr>
          <w:ilvl w:val="2"/>
          <w:numId w:val="7"/>
        </w:numPr>
        <w:shd w:val="clear" w:color="auto" w:fill="auto"/>
        <w:tabs>
          <w:tab w:val="left" w:pos="709"/>
        </w:tabs>
        <w:spacing w:after="100"/>
        <w:ind w:left="720" w:hanging="720"/>
        <w:jc w:val="both"/>
      </w:pPr>
      <w:r>
        <w:t>Povinnost dle čl.</w:t>
      </w:r>
      <w:hyperlink w:anchor="bookmark8" w:tooltip="Current Document">
        <w:r>
          <w:t xml:space="preserve"> 6.2.1 </w:t>
        </w:r>
      </w:hyperlink>
      <w:r>
        <w:t>věty první je povinností ve smyslu ust. § 14 odst. 4 písm. i) rozpočtových pravidel.</w:t>
      </w:r>
    </w:p>
    <w:p w:rsidR="001A07A9" w:rsidRDefault="001A07A9" w:rsidP="001A07A9">
      <w:pPr>
        <w:pStyle w:val="Zkladntext"/>
        <w:numPr>
          <w:ilvl w:val="2"/>
          <w:numId w:val="7"/>
        </w:numPr>
        <w:shd w:val="clear" w:color="auto" w:fill="auto"/>
        <w:tabs>
          <w:tab w:val="left" w:pos="709"/>
        </w:tabs>
        <w:spacing w:after="100"/>
        <w:ind w:left="720" w:hanging="720"/>
        <w:jc w:val="both"/>
      </w:pPr>
      <w:r>
        <w:t>Příjemce je povinen informovat poskytovatele dotace po dobu realizace a udržitelnosti o změnách svého skutečného majitele/skutečných majitelů ve smyslu ust. § 2 ZESM, a to do 10 dnů ode dne, kdy ke změně došlo. Jedná se o povinnost ve smyslu ust. § 14 odst. 4 písm. i) rozpočtových pravidel.</w:t>
      </w:r>
    </w:p>
    <w:p w:rsidR="00682916" w:rsidRDefault="001A07A9" w:rsidP="001A07A9">
      <w:pPr>
        <w:pStyle w:val="Zkladntext"/>
        <w:numPr>
          <w:ilvl w:val="2"/>
          <w:numId w:val="7"/>
        </w:numPr>
        <w:shd w:val="clear" w:color="auto" w:fill="auto"/>
        <w:tabs>
          <w:tab w:val="left" w:pos="709"/>
        </w:tabs>
        <w:spacing w:after="120"/>
        <w:ind w:left="720" w:hanging="720"/>
        <w:jc w:val="both"/>
      </w:pPr>
      <w:r>
        <w:t xml:space="preserve">Příjemce je povinen informovat poskytovatele dotace po dobu realizace a udržitelnosti o změnách ve své vlastnické struktuře, které by mohly mít vliv na velikost jeho podniku ve smyslu Přílohy č. 1 Nařízení Komise (EU) č. 651/2014 ze dne 17. června 2014, kterým se v souladu s články 107 a 108 Smlouvy prohlašují určité kategorie podpory za slučitelné </w:t>
      </w:r>
    </w:p>
    <w:p w:rsidR="00682916" w:rsidRDefault="00682916" w:rsidP="00682916">
      <w:pPr>
        <w:pStyle w:val="Zkladntext"/>
        <w:shd w:val="clear" w:color="auto" w:fill="auto"/>
        <w:tabs>
          <w:tab w:val="left" w:pos="709"/>
        </w:tabs>
        <w:spacing w:after="120"/>
        <w:ind w:left="720"/>
        <w:jc w:val="both"/>
      </w:pPr>
    </w:p>
    <w:p w:rsidR="00682916" w:rsidRDefault="00682916" w:rsidP="00682916">
      <w:pPr>
        <w:pStyle w:val="Zkladntext"/>
        <w:shd w:val="clear" w:color="auto" w:fill="auto"/>
        <w:tabs>
          <w:tab w:val="left" w:pos="709"/>
        </w:tabs>
        <w:spacing w:after="120"/>
        <w:ind w:left="720"/>
        <w:jc w:val="both"/>
      </w:pPr>
    </w:p>
    <w:p w:rsidR="00682916" w:rsidRDefault="00682916" w:rsidP="00682916">
      <w:pPr>
        <w:pStyle w:val="Zkladntext"/>
        <w:shd w:val="clear" w:color="auto" w:fill="auto"/>
        <w:tabs>
          <w:tab w:val="left" w:pos="709"/>
        </w:tabs>
        <w:spacing w:after="120"/>
        <w:ind w:left="720"/>
        <w:jc w:val="both"/>
      </w:pPr>
    </w:p>
    <w:p w:rsidR="00682916" w:rsidRDefault="00682916" w:rsidP="00682916">
      <w:pPr>
        <w:pStyle w:val="Zkladntext"/>
        <w:shd w:val="clear" w:color="auto" w:fill="auto"/>
        <w:tabs>
          <w:tab w:val="left" w:pos="709"/>
        </w:tabs>
        <w:spacing w:after="120"/>
        <w:ind w:left="720"/>
        <w:jc w:val="both"/>
      </w:pPr>
    </w:p>
    <w:p w:rsidR="00682916" w:rsidRDefault="00682916" w:rsidP="00682916">
      <w:pPr>
        <w:pStyle w:val="Zkladntext"/>
        <w:shd w:val="clear" w:color="auto" w:fill="auto"/>
        <w:tabs>
          <w:tab w:val="left" w:pos="709"/>
        </w:tabs>
        <w:spacing w:after="120"/>
        <w:ind w:left="720"/>
        <w:jc w:val="both"/>
      </w:pPr>
    </w:p>
    <w:p w:rsidR="00682916" w:rsidRDefault="00682916" w:rsidP="00682916">
      <w:pPr>
        <w:pStyle w:val="Zkladntext"/>
        <w:shd w:val="clear" w:color="auto" w:fill="auto"/>
        <w:tabs>
          <w:tab w:val="left" w:pos="709"/>
        </w:tabs>
        <w:spacing w:after="120"/>
        <w:ind w:left="720"/>
        <w:jc w:val="both"/>
      </w:pPr>
    </w:p>
    <w:p w:rsidR="00682916" w:rsidRDefault="00682916" w:rsidP="00682916">
      <w:pPr>
        <w:pStyle w:val="Zkladntext"/>
        <w:shd w:val="clear" w:color="auto" w:fill="auto"/>
        <w:tabs>
          <w:tab w:val="left" w:pos="709"/>
        </w:tabs>
        <w:spacing w:after="120"/>
        <w:ind w:left="720"/>
        <w:jc w:val="both"/>
      </w:pPr>
    </w:p>
    <w:p w:rsidR="00682916" w:rsidRDefault="00682916" w:rsidP="00682916">
      <w:pPr>
        <w:pStyle w:val="Zkladntext"/>
        <w:shd w:val="clear" w:color="auto" w:fill="auto"/>
        <w:tabs>
          <w:tab w:val="left" w:pos="709"/>
        </w:tabs>
        <w:spacing w:after="120"/>
        <w:ind w:left="720"/>
        <w:jc w:val="both"/>
      </w:pPr>
    </w:p>
    <w:p w:rsidR="001A07A9" w:rsidRDefault="001A07A9" w:rsidP="00682916">
      <w:pPr>
        <w:pStyle w:val="Zkladntext"/>
        <w:shd w:val="clear" w:color="auto" w:fill="auto"/>
        <w:tabs>
          <w:tab w:val="left" w:pos="709"/>
        </w:tabs>
        <w:spacing w:after="120"/>
        <w:ind w:left="720"/>
        <w:jc w:val="both"/>
      </w:pPr>
      <w:r>
        <w:lastRenderedPageBreak/>
        <w:t>s vnitřním trhem, ve znění pozdějších předpisů (dále jen „Nařízení GBER“), a to nejpozději s podáním nejbližší žádosti o platbu, resp. zprávy o udržitelnosti. Jedná se o povinnost ve smyslu ust. § 14 odst. 4 písm. i) rozpočtových pravidel.</w:t>
      </w:r>
    </w:p>
    <w:p w:rsidR="001A07A9" w:rsidRDefault="001A07A9" w:rsidP="001A07A9">
      <w:pPr>
        <w:pStyle w:val="Zkladntext"/>
        <w:numPr>
          <w:ilvl w:val="2"/>
          <w:numId w:val="7"/>
        </w:numPr>
        <w:shd w:val="clear" w:color="auto" w:fill="auto"/>
        <w:tabs>
          <w:tab w:val="left" w:pos="718"/>
        </w:tabs>
        <w:spacing w:after="120"/>
        <w:ind w:left="720" w:hanging="720"/>
        <w:jc w:val="both"/>
      </w:pPr>
      <w:r>
        <w:t>Příjemce je povinen informovat poskytovatele dotace nejpozději s každou žádostí o platbu o změnách ve své vlastnické struktuře, které mají nebo by mohly mít vliv na dodržení článků 2 Nařízení Rady (EU) č. 208/2014, 269/2014 a 765/2006 a dále dodržení článku 5l Nařízení Rady č. 833/2014. Povinnost informovat je povinností ve smyslu ust. § 14 odst. 4 písm. i) rozpočtových pravidel.</w:t>
      </w:r>
    </w:p>
    <w:p w:rsidR="001A07A9" w:rsidRDefault="001A07A9" w:rsidP="001A07A9">
      <w:pPr>
        <w:pStyle w:val="Zkladntext"/>
        <w:numPr>
          <w:ilvl w:val="2"/>
          <w:numId w:val="7"/>
        </w:numPr>
        <w:shd w:val="clear" w:color="auto" w:fill="auto"/>
        <w:tabs>
          <w:tab w:val="left" w:pos="718"/>
        </w:tabs>
        <w:ind w:left="720" w:hanging="720"/>
        <w:jc w:val="both"/>
      </w:pPr>
      <w:r>
        <w:t>Příjemce je povinen poskytovatele dotace informovat po dobu realizace a udržitelnosti o zahájeném insolvenčním řízení, a to do 5 dnů od uveřejnění vyhlášky o insolvenčním návrhu na portálu</w:t>
      </w:r>
      <w:hyperlink r:id="rId15" w:history="1">
        <w:r>
          <w:t xml:space="preserve"> XXXX</w:t>
        </w:r>
        <w:r>
          <w:rPr>
            <w:lang w:val="en-US" w:eastAsia="en-US" w:bidi="en-US"/>
          </w:rPr>
          <w:t xml:space="preserve"> </w:t>
        </w:r>
      </w:hyperlink>
      <w:r>
        <w:t>Příjemce je povinen informovat poskytovatele dotace po dobu realizace a udržitelnosti o vstupu příjemce do likvidace, a to do 5 dnů od vstupu do likvidace.</w:t>
      </w:r>
    </w:p>
    <w:p w:rsidR="001A07A9" w:rsidRDefault="001A07A9" w:rsidP="001A07A9">
      <w:pPr>
        <w:pStyle w:val="Zkladntext"/>
        <w:shd w:val="clear" w:color="auto" w:fill="auto"/>
        <w:spacing w:after="120"/>
        <w:ind w:left="720"/>
        <w:jc w:val="both"/>
      </w:pPr>
      <w:r>
        <w:t>Příjemce je rovněž povinen okamžitě informovat poskytovatele dotace o uveřejnění výzvy likvidátora k přihlášení pohledávek uveřejněných na portálu XXXX Příjemce rovněž musí průběžně informovat poskytovatele dotace o vývoji insolvenčního řízení, zejména o vydání rozhodnutí o úpadku, způsobu jeho řešení a o vývoji likvidačního řízení. Jedná se o povinnosti ve smyslu ust. § 14 odst. 4 písm. i) rozpočtových pravidel.</w:t>
      </w:r>
    </w:p>
    <w:p w:rsidR="001A07A9" w:rsidRDefault="001A07A9" w:rsidP="001A07A9">
      <w:pPr>
        <w:pStyle w:val="Zkladntext"/>
        <w:numPr>
          <w:ilvl w:val="2"/>
          <w:numId w:val="7"/>
        </w:numPr>
        <w:shd w:val="clear" w:color="auto" w:fill="auto"/>
        <w:tabs>
          <w:tab w:val="left" w:pos="718"/>
        </w:tabs>
        <w:spacing w:after="120"/>
        <w:ind w:left="720" w:hanging="720"/>
        <w:jc w:val="both"/>
      </w:pPr>
      <w:bookmarkStart w:id="14" w:name="bookmark11"/>
      <w:r>
        <w:t>Příjemce je povinen po dobu realizace a udržitelnosti na vyžádání poskytovateli dotace předložit doplňující informace související s realizací Projektu a poskytnout potřebnou součinnost pro účely evaluací, vedení statistických přehledů, předávání dat do informačních systémů veřejné správy a propagace projektu.</w:t>
      </w:r>
      <w:bookmarkEnd w:id="14"/>
    </w:p>
    <w:p w:rsidR="001A07A9" w:rsidRDefault="001A07A9" w:rsidP="001A07A9">
      <w:pPr>
        <w:pStyle w:val="Zkladntext"/>
        <w:numPr>
          <w:ilvl w:val="2"/>
          <w:numId w:val="7"/>
        </w:numPr>
        <w:shd w:val="clear" w:color="auto" w:fill="auto"/>
        <w:tabs>
          <w:tab w:val="left" w:pos="718"/>
        </w:tabs>
        <w:spacing w:after="120"/>
        <w:ind w:left="720" w:hanging="720"/>
        <w:jc w:val="both"/>
      </w:pPr>
      <w:r>
        <w:t>Porušení povinnosti dle čl.</w:t>
      </w:r>
      <w:hyperlink w:anchor="bookmark11" w:tooltip="Current Document">
        <w:r>
          <w:t xml:space="preserve"> 6.2.7 </w:t>
        </w:r>
      </w:hyperlink>
      <w:r>
        <w:t>bude mít za následek vyměření odvodu za porušení rozpočtové kázně ve výši 2-25 % z celkové částky dotace.</w:t>
      </w:r>
    </w:p>
    <w:p w:rsidR="001A07A9" w:rsidRDefault="001A07A9" w:rsidP="001A07A9">
      <w:pPr>
        <w:pStyle w:val="Zkladntext"/>
        <w:numPr>
          <w:ilvl w:val="2"/>
          <w:numId w:val="7"/>
        </w:numPr>
        <w:shd w:val="clear" w:color="auto" w:fill="auto"/>
        <w:tabs>
          <w:tab w:val="left" w:pos="718"/>
        </w:tabs>
        <w:spacing w:after="120"/>
        <w:ind w:left="720" w:hanging="720"/>
        <w:jc w:val="both"/>
      </w:pPr>
      <w:r>
        <w:t>Příjemce má povinnost uveřejňovat účetní závěrky ve sbírce listin dle zákona č. 563/1991 Sb., o účetnictví (s výjimkou příjemce, kterému tuto povinnost zákon neukládá). Jedná se o povinnost dle ust. § 14 odst. 4 písm. i) rozpočtových pravidel.</w:t>
      </w:r>
    </w:p>
    <w:p w:rsidR="001A07A9" w:rsidRDefault="001A07A9" w:rsidP="001A07A9">
      <w:pPr>
        <w:pStyle w:val="Heading30"/>
        <w:keepNext/>
        <w:keepLines/>
        <w:numPr>
          <w:ilvl w:val="1"/>
          <w:numId w:val="7"/>
        </w:numPr>
        <w:shd w:val="clear" w:color="auto" w:fill="auto"/>
        <w:tabs>
          <w:tab w:val="left" w:pos="566"/>
        </w:tabs>
        <w:spacing w:after="120"/>
        <w:jc w:val="both"/>
      </w:pPr>
      <w:bookmarkStart w:id="15" w:name="bookmark12"/>
      <w:bookmarkStart w:id="16" w:name="bookmark13"/>
      <w:r>
        <w:t>Realizace Projektu</w:t>
      </w:r>
      <w:bookmarkEnd w:id="15"/>
      <w:bookmarkEnd w:id="16"/>
    </w:p>
    <w:p w:rsidR="001A07A9" w:rsidRDefault="001A07A9" w:rsidP="001A07A9">
      <w:pPr>
        <w:pStyle w:val="Zkladntext"/>
        <w:numPr>
          <w:ilvl w:val="2"/>
          <w:numId w:val="7"/>
        </w:numPr>
        <w:shd w:val="clear" w:color="auto" w:fill="auto"/>
        <w:tabs>
          <w:tab w:val="left" w:pos="718"/>
        </w:tabs>
        <w:spacing w:after="120"/>
        <w:ind w:left="720" w:hanging="720"/>
        <w:jc w:val="both"/>
      </w:pPr>
      <w:r>
        <w:t>Výstupy Projektu se nesmí projevit v oborech činností/odvětvích, které jsou vymezeny v příloze Výzvy č. 5 Nepodporované kategorie CZ NACE jako nepodporované. Výstupy Projektu jsou definovány v Pravidlech pro žadatele a příjemce z OP TAK- zvláštní část.</w:t>
      </w:r>
    </w:p>
    <w:p w:rsidR="001A07A9" w:rsidRDefault="001A07A9" w:rsidP="001A07A9">
      <w:pPr>
        <w:pStyle w:val="Zkladntext"/>
        <w:numPr>
          <w:ilvl w:val="2"/>
          <w:numId w:val="7"/>
        </w:numPr>
        <w:shd w:val="clear" w:color="auto" w:fill="auto"/>
        <w:tabs>
          <w:tab w:val="left" w:pos="718"/>
        </w:tabs>
        <w:spacing w:after="120"/>
        <w:ind w:left="720" w:hanging="720"/>
        <w:jc w:val="both"/>
      </w:pPr>
      <w:bookmarkStart w:id="17" w:name="bookmark14"/>
      <w:r>
        <w:t>Příjemce nesmí s ohledem na účel dotace po dobu realizace a udržitelnosti Projektu ukončit svou podnikatelskou činnost. Za ukončení podnikatelské činnosti se zejména považuje vstup příjemce do likvidace na základě jeho rozhodnutí či přerušení provozování všech živností příjemce.</w:t>
      </w:r>
      <w:bookmarkEnd w:id="17"/>
    </w:p>
    <w:p w:rsidR="001A07A9" w:rsidRDefault="001A07A9" w:rsidP="001A07A9">
      <w:pPr>
        <w:pStyle w:val="Zkladntext"/>
        <w:numPr>
          <w:ilvl w:val="2"/>
          <w:numId w:val="7"/>
        </w:numPr>
        <w:shd w:val="clear" w:color="auto" w:fill="auto"/>
        <w:tabs>
          <w:tab w:val="left" w:pos="718"/>
        </w:tabs>
        <w:spacing w:after="120"/>
        <w:ind w:left="720" w:hanging="720"/>
        <w:jc w:val="both"/>
      </w:pPr>
      <w:r>
        <w:t>Porušení povinnosti dle čl.</w:t>
      </w:r>
      <w:hyperlink w:anchor="bookmark14" w:tooltip="Current Document">
        <w:r>
          <w:t xml:space="preserve"> 6.3.2 </w:t>
        </w:r>
      </w:hyperlink>
      <w:r>
        <w:t>bude mít za následek vyměření odvodu za porušení rozpočtové kázně ve výši relevantní části dotace související s tímto porušením odpovídající poměrné části vzhledem k době, po kterou nebyla povinnost plněna.</w:t>
      </w:r>
    </w:p>
    <w:p w:rsidR="001A07A9" w:rsidRDefault="001A07A9" w:rsidP="001A07A9">
      <w:pPr>
        <w:pStyle w:val="Heading30"/>
        <w:keepNext/>
        <w:keepLines/>
        <w:numPr>
          <w:ilvl w:val="1"/>
          <w:numId w:val="7"/>
        </w:numPr>
        <w:shd w:val="clear" w:color="auto" w:fill="auto"/>
        <w:tabs>
          <w:tab w:val="left" w:pos="566"/>
        </w:tabs>
        <w:spacing w:after="120"/>
        <w:jc w:val="both"/>
      </w:pPr>
      <w:bookmarkStart w:id="18" w:name="bookmark16"/>
      <w:bookmarkStart w:id="19" w:name="bookmark17"/>
      <w:bookmarkStart w:id="20" w:name="bookmark15"/>
      <w:r>
        <w:t>Místo realizace Projektu a pořízený majetek</w:t>
      </w:r>
      <w:bookmarkEnd w:id="18"/>
      <w:bookmarkEnd w:id="19"/>
      <w:bookmarkEnd w:id="20"/>
    </w:p>
    <w:p w:rsidR="00682916" w:rsidRDefault="001A07A9" w:rsidP="001A07A9">
      <w:pPr>
        <w:pStyle w:val="Zkladntext"/>
        <w:numPr>
          <w:ilvl w:val="2"/>
          <w:numId w:val="7"/>
        </w:numPr>
        <w:shd w:val="clear" w:color="auto" w:fill="auto"/>
        <w:tabs>
          <w:tab w:val="left" w:pos="718"/>
        </w:tabs>
        <w:spacing w:after="100"/>
        <w:ind w:left="720" w:hanging="720"/>
        <w:jc w:val="both"/>
      </w:pPr>
      <w:r>
        <w:t xml:space="preserve">Příjemce je povinen po celou dobu realizace a udržitelnosti být vlastníkem nebo nájemcem nemovitých věcí, kde je Projekt realizován (případně mít k místu realizace jiný právní vztah dle stavu prokázaného před vydáním tohoto Rozhodnutí). Poskytovatel dotace může povolit i jinou formu zajištění místa realizace a udržitelnosti Projektu, a to postupem dle ust. § 14o rozpočtových pravidel. Pokud Pravidla pro žadatele a příjemce dotace z OP TAK - zvláštní část, </w:t>
      </w:r>
    </w:p>
    <w:p w:rsidR="00682916" w:rsidRDefault="00682916" w:rsidP="00682916">
      <w:pPr>
        <w:pStyle w:val="Zkladntext"/>
        <w:shd w:val="clear" w:color="auto" w:fill="auto"/>
        <w:tabs>
          <w:tab w:val="left" w:pos="718"/>
        </w:tabs>
        <w:spacing w:after="100"/>
        <w:ind w:left="720"/>
        <w:jc w:val="both"/>
      </w:pPr>
    </w:p>
    <w:p w:rsidR="00682916" w:rsidRDefault="00682916" w:rsidP="00682916">
      <w:pPr>
        <w:pStyle w:val="Zkladntext"/>
        <w:shd w:val="clear" w:color="auto" w:fill="auto"/>
        <w:tabs>
          <w:tab w:val="left" w:pos="718"/>
        </w:tabs>
        <w:spacing w:after="100"/>
        <w:ind w:left="720"/>
        <w:jc w:val="both"/>
      </w:pPr>
    </w:p>
    <w:p w:rsidR="00682916" w:rsidRDefault="00682916" w:rsidP="00682916">
      <w:pPr>
        <w:pStyle w:val="Zkladntext"/>
        <w:shd w:val="clear" w:color="auto" w:fill="auto"/>
        <w:tabs>
          <w:tab w:val="left" w:pos="718"/>
        </w:tabs>
        <w:spacing w:after="100"/>
        <w:ind w:left="720"/>
        <w:jc w:val="both"/>
      </w:pPr>
    </w:p>
    <w:p w:rsidR="00682916" w:rsidRDefault="00682916" w:rsidP="00682916">
      <w:pPr>
        <w:pStyle w:val="Zkladntext"/>
        <w:shd w:val="clear" w:color="auto" w:fill="auto"/>
        <w:tabs>
          <w:tab w:val="left" w:pos="718"/>
        </w:tabs>
        <w:spacing w:after="100"/>
        <w:ind w:left="720"/>
        <w:jc w:val="both"/>
      </w:pPr>
    </w:p>
    <w:p w:rsidR="00682916" w:rsidRDefault="00682916" w:rsidP="00682916">
      <w:pPr>
        <w:pStyle w:val="Zkladntext"/>
        <w:shd w:val="clear" w:color="auto" w:fill="auto"/>
        <w:tabs>
          <w:tab w:val="left" w:pos="718"/>
        </w:tabs>
        <w:spacing w:after="100"/>
        <w:ind w:left="720"/>
        <w:jc w:val="both"/>
      </w:pPr>
    </w:p>
    <w:p w:rsidR="00682916" w:rsidRDefault="00682916" w:rsidP="00682916">
      <w:pPr>
        <w:pStyle w:val="Zkladntext"/>
        <w:shd w:val="clear" w:color="auto" w:fill="auto"/>
        <w:tabs>
          <w:tab w:val="left" w:pos="718"/>
        </w:tabs>
        <w:spacing w:after="100"/>
        <w:ind w:left="720"/>
        <w:jc w:val="both"/>
      </w:pPr>
    </w:p>
    <w:p w:rsidR="00682916" w:rsidRDefault="00682916" w:rsidP="00682916">
      <w:pPr>
        <w:pStyle w:val="Zkladntext"/>
        <w:shd w:val="clear" w:color="auto" w:fill="auto"/>
        <w:tabs>
          <w:tab w:val="left" w:pos="718"/>
        </w:tabs>
        <w:spacing w:after="100"/>
        <w:ind w:left="720"/>
        <w:jc w:val="both"/>
      </w:pPr>
    </w:p>
    <w:p w:rsidR="00682916" w:rsidRDefault="00682916" w:rsidP="00682916">
      <w:pPr>
        <w:pStyle w:val="Zkladntext"/>
        <w:shd w:val="clear" w:color="auto" w:fill="auto"/>
        <w:tabs>
          <w:tab w:val="left" w:pos="718"/>
        </w:tabs>
        <w:spacing w:after="100"/>
        <w:ind w:left="720"/>
        <w:jc w:val="both"/>
      </w:pPr>
    </w:p>
    <w:p w:rsidR="001A07A9" w:rsidRDefault="001A07A9" w:rsidP="00682916">
      <w:pPr>
        <w:pStyle w:val="Zkladntext"/>
        <w:shd w:val="clear" w:color="auto" w:fill="auto"/>
        <w:tabs>
          <w:tab w:val="left" w:pos="718"/>
        </w:tabs>
        <w:spacing w:after="100"/>
        <w:ind w:left="720"/>
        <w:jc w:val="both"/>
      </w:pPr>
      <w:r>
        <w:lastRenderedPageBreak/>
        <w:t>která tvoří přílohu tohoto Rozhodnutí, stanoví jinak, použije se v tomto konkrétním případě ustanovení této přílohy.</w:t>
      </w:r>
    </w:p>
    <w:p w:rsidR="001A07A9" w:rsidRDefault="001A07A9" w:rsidP="001A07A9">
      <w:pPr>
        <w:pStyle w:val="Zkladntext"/>
        <w:numPr>
          <w:ilvl w:val="2"/>
          <w:numId w:val="7"/>
        </w:numPr>
        <w:shd w:val="clear" w:color="auto" w:fill="auto"/>
        <w:tabs>
          <w:tab w:val="left" w:pos="718"/>
        </w:tabs>
        <w:spacing w:after="100"/>
        <w:ind w:left="720" w:hanging="720"/>
        <w:jc w:val="both"/>
      </w:pPr>
      <w:r>
        <w:t>Porušení povinnosti dle čl.</w:t>
      </w:r>
      <w:hyperlink w:anchor="bookmark15" w:tooltip="Current Document">
        <w:r>
          <w:t xml:space="preserve"> 6.4.1 </w:t>
        </w:r>
      </w:hyperlink>
      <w:r>
        <w:t>bude mít za následek vyměření odvodu za porušení rozpočtové kázně ve výši relevantní části dotace související s tímto porušením odpovídající poměrné části vzhledem k době, po kterou nebyla povinnost plněna.</w:t>
      </w:r>
    </w:p>
    <w:p w:rsidR="001A07A9" w:rsidRDefault="001A07A9" w:rsidP="001A07A9">
      <w:pPr>
        <w:pStyle w:val="Zkladntext"/>
        <w:numPr>
          <w:ilvl w:val="2"/>
          <w:numId w:val="7"/>
        </w:numPr>
        <w:shd w:val="clear" w:color="auto" w:fill="auto"/>
        <w:tabs>
          <w:tab w:val="left" w:pos="718"/>
        </w:tabs>
        <w:spacing w:after="100"/>
        <w:ind w:left="720" w:hanging="720"/>
        <w:jc w:val="both"/>
      </w:pPr>
      <w:r>
        <w:t>Příjemce musí po dobu realizace a udržitelnosti dodržet pravidla stanovená pro změny místa realizace Projektu dle kap. Změna místa realizace projektu PpŽP - obecná část.</w:t>
      </w:r>
    </w:p>
    <w:p w:rsidR="001A07A9" w:rsidRDefault="001A07A9" w:rsidP="001A07A9">
      <w:pPr>
        <w:pStyle w:val="Zkladntext"/>
        <w:numPr>
          <w:ilvl w:val="2"/>
          <w:numId w:val="7"/>
        </w:numPr>
        <w:shd w:val="clear" w:color="auto" w:fill="auto"/>
        <w:tabs>
          <w:tab w:val="left" w:pos="718"/>
        </w:tabs>
        <w:spacing w:after="100"/>
        <w:ind w:left="720" w:hanging="720"/>
        <w:jc w:val="both"/>
      </w:pPr>
      <w:bookmarkStart w:id="21" w:name="bookmark18"/>
      <w:r>
        <w:t>Hmotný a nehmotný majetek, jehož pořizovací cena byla zahrnuta do způsobilých výdajů Projektu, musí mít příjemce ve svém vlastnictví a nesmí tento majetek od okamžiku jeho pořízení a po dobu realizace a udržitelnosti Projektu prodat ani jinak zcizit. V případě zničení či poškození tohoto majetku je příjemce povinen jej bezodkladně nahradit minimálně ve stejném rozsahu a o této skutečnosti bez zbytečného odkladu, nejpozději však při předložení nejbližší zprávy o realizaci/udržitelnosti, informovat poskytovatele dotace prostřednictvím MS2021+. Příjemce dále nesmí bez souhlasu poskytovatele dotace uvedený majetek po dobu realizace a udržitelnosti přemístit mimo místo(a) realizace Projektu. U mobilních a přenosných předmětů se použije ustanovení kap. Základní pravidla způsobilosti výdajů části Místní způsobilost PpŽP - obecná část.</w:t>
      </w:r>
      <w:bookmarkEnd w:id="21"/>
    </w:p>
    <w:p w:rsidR="001A07A9" w:rsidRDefault="001A07A9" w:rsidP="001A07A9">
      <w:pPr>
        <w:pStyle w:val="Zkladntext"/>
        <w:numPr>
          <w:ilvl w:val="2"/>
          <w:numId w:val="7"/>
        </w:numPr>
        <w:shd w:val="clear" w:color="auto" w:fill="auto"/>
        <w:tabs>
          <w:tab w:val="left" w:pos="718"/>
        </w:tabs>
        <w:spacing w:after="100"/>
        <w:ind w:left="720" w:hanging="720"/>
        <w:jc w:val="both"/>
      </w:pPr>
      <w:r>
        <w:t>Porušení povinnosti dle čl.</w:t>
      </w:r>
      <w:hyperlink w:anchor="bookmark18" w:tooltip="Current Document">
        <w:r>
          <w:t xml:space="preserve"> 6.4.4 </w:t>
        </w:r>
      </w:hyperlink>
      <w:r>
        <w:t>věty první bude mít za následek vyměření odvodu za porušení rozpočtové kázně ve výši 100 % poskytnuté dotace na majetek, u kterého nebyla povinnost splněna. Porušení povinnosti dle čl.</w:t>
      </w:r>
      <w:hyperlink w:anchor="bookmark18" w:tooltip="Current Document">
        <w:r>
          <w:t xml:space="preserve"> 6.4.4 </w:t>
        </w:r>
      </w:hyperlink>
      <w:r>
        <w:t>věty druhé bude mít za následek vyměření odvodu za porušení rozpočtové kázně ve výši 100 % poskytnuté dotace na majetek, u kterého nebyla povinnost splněna (tj. v případě provedení obměny v nižším rozsahu, nebo jejím neprovedení. Porušení povinnosti dle čl.</w:t>
      </w:r>
      <w:hyperlink w:anchor="bookmark18" w:tooltip="Current Document">
        <w:r>
          <w:t xml:space="preserve"> 6.4.4 </w:t>
        </w:r>
      </w:hyperlink>
      <w:r>
        <w:t>věty třetí je povinností dle ust. § 14 odst. 4 písm. i) rozpočtových pravidel, jen pokud by přemístění bylo provedeno do jiného podporovaného regionu a nemělo by vliv na schválení Projektu k poskytnutí dotace a míru podpory. Pokud by přemístění bylo provedeno zcela mimo podporované regiony nebo by mělo vliv na schválení Projektu k poskytnutí dotace či míru podpory tak, že by tento nebyl schválen k poskytnutí dotace, nebo by byla poskytnutá dotace nižší, jedná se o porušení podmínky dle ust. § 14 odst. 4 písm. g) rozpočtových pravidel, které bude mít za následek vyměření odvodu za porušení rozpočtové kázně ve výši 100 % poskytnuté dotace na majetek, u kterého nebyla povinnost splněna.</w:t>
      </w:r>
    </w:p>
    <w:p w:rsidR="001A07A9" w:rsidRDefault="001A07A9" w:rsidP="001A07A9">
      <w:pPr>
        <w:pStyle w:val="Zkladntext"/>
        <w:numPr>
          <w:ilvl w:val="2"/>
          <w:numId w:val="7"/>
        </w:numPr>
        <w:shd w:val="clear" w:color="auto" w:fill="auto"/>
        <w:tabs>
          <w:tab w:val="left" w:pos="718"/>
        </w:tabs>
        <w:spacing w:after="100"/>
        <w:ind w:left="720" w:hanging="720"/>
        <w:jc w:val="both"/>
      </w:pPr>
      <w:bookmarkStart w:id="22" w:name="bookmark19"/>
      <w:r>
        <w:t>Příjemce je povinen zacházet s majetkem, jehož pořizovací cena byla zahrnuta do způsobilých výdajů Projektu, od okamžiku jeho pořízení a po dobu realizace a udržitelnosti s péčí řádného hospodáře, zejména jej zabezpečit proti poškození, ztrátě, zcizení. Jedná se o povinnost dle ust. § 14 odst. 4 písm. i) rozpočtových pravidel. V případě jeho poškození nebo v případě jeho odcizení je příjemce povinen daný majetek nahradit postupem dle čl.</w:t>
      </w:r>
      <w:hyperlink w:anchor="bookmark18" w:tooltip="Current Document">
        <w:r>
          <w:t xml:space="preserve"> 6.4.4.</w:t>
        </w:r>
        <w:bookmarkEnd w:id="22"/>
      </w:hyperlink>
    </w:p>
    <w:p w:rsidR="001A07A9" w:rsidRDefault="001A07A9" w:rsidP="001A07A9">
      <w:pPr>
        <w:pStyle w:val="Zkladntext"/>
        <w:numPr>
          <w:ilvl w:val="2"/>
          <w:numId w:val="7"/>
        </w:numPr>
        <w:shd w:val="clear" w:color="auto" w:fill="auto"/>
        <w:tabs>
          <w:tab w:val="left" w:pos="718"/>
        </w:tabs>
        <w:spacing w:after="100"/>
        <w:ind w:left="720" w:hanging="720"/>
        <w:jc w:val="both"/>
      </w:pPr>
      <w:r>
        <w:t>Porušení povinnosti dle čl.</w:t>
      </w:r>
      <w:hyperlink w:anchor="bookmark19" w:tooltip="Current Document">
        <w:r>
          <w:t xml:space="preserve"> 6.4.6 </w:t>
        </w:r>
      </w:hyperlink>
      <w:r>
        <w:t>věty třetí bude mít za následek vyměření odvodu za porušení rozpočtové kázně ve výši relevantní části dotace související s tímto porušením odpovídající její poměrné části vzhledem k době, po kterou nebyla povinnost plněna.</w:t>
      </w:r>
    </w:p>
    <w:p w:rsidR="001A07A9" w:rsidRDefault="001A07A9" w:rsidP="001A07A9">
      <w:pPr>
        <w:pStyle w:val="Zkladntext"/>
        <w:numPr>
          <w:ilvl w:val="2"/>
          <w:numId w:val="7"/>
        </w:numPr>
        <w:shd w:val="clear" w:color="auto" w:fill="auto"/>
        <w:tabs>
          <w:tab w:val="left" w:pos="718"/>
        </w:tabs>
        <w:spacing w:after="100"/>
        <w:ind w:left="720" w:hanging="720"/>
        <w:jc w:val="both"/>
      </w:pPr>
      <w:bookmarkStart w:id="23" w:name="bookmark20"/>
      <w:r>
        <w:t>Příjemce nesmí od okamžiku jeho pořízení a po dobu realizace a udržitelnosti majetek pořízený z dotace přenechat k užití jinému bez souhlasu poskytovatele dotace, není-li dále stanoveno jinak.</w:t>
      </w:r>
      <w:bookmarkEnd w:id="23"/>
    </w:p>
    <w:p w:rsidR="001A07A9" w:rsidRDefault="001A07A9" w:rsidP="001A07A9">
      <w:pPr>
        <w:pStyle w:val="Zkladntext"/>
        <w:numPr>
          <w:ilvl w:val="2"/>
          <w:numId w:val="7"/>
        </w:numPr>
        <w:shd w:val="clear" w:color="auto" w:fill="auto"/>
        <w:tabs>
          <w:tab w:val="left" w:pos="718"/>
        </w:tabs>
        <w:spacing w:after="100"/>
        <w:ind w:left="720" w:hanging="720"/>
        <w:jc w:val="both"/>
      </w:pPr>
      <w:r>
        <w:t>Porušení povinnosti dle čl.</w:t>
      </w:r>
      <w:hyperlink w:anchor="bookmark20" w:tooltip="Current Document">
        <w:r>
          <w:t xml:space="preserve"> 6.4.8 </w:t>
        </w:r>
      </w:hyperlink>
      <w:r>
        <w:t>bude mít za následek vyměření odvodu za porušení rozpočtové kázně ve výši relevantní části dotace související s tímto porušením odpovídající její poměrné části vzhledem k době, po kterou nebyla povinnost plněna.</w:t>
      </w:r>
      <w:r>
        <w:br w:type="page"/>
      </w:r>
    </w:p>
    <w:p w:rsidR="001A07A9" w:rsidRDefault="001A07A9" w:rsidP="001A07A9">
      <w:pPr>
        <w:pStyle w:val="Zkladntext"/>
        <w:numPr>
          <w:ilvl w:val="2"/>
          <w:numId w:val="7"/>
        </w:numPr>
        <w:shd w:val="clear" w:color="auto" w:fill="auto"/>
        <w:tabs>
          <w:tab w:val="left" w:pos="754"/>
        </w:tabs>
        <w:spacing w:after="120"/>
        <w:ind w:left="720" w:hanging="720"/>
        <w:jc w:val="both"/>
      </w:pPr>
      <w:bookmarkStart w:id="24" w:name="bookmark21"/>
      <w:r>
        <w:lastRenderedPageBreak/>
        <w:t>Příjemce nesmí užívat majetek pořízený s účastí dotace od okamžiku jeho zařazení do užívání a po dobu realizace a udržitelnosti k nepodporovaným ekonomickým činnostem dle Výzvy. Majetek musí být po uvedenou dobu užíván příjemcem k jeho činnosti a zároveň tato činnost nesmí být v příslušné Výzvě uvedena mezi nepodporovanými ekonomickými činnostmi.</w:t>
      </w:r>
      <w:bookmarkEnd w:id="24"/>
    </w:p>
    <w:p w:rsidR="001A07A9" w:rsidRDefault="001A07A9" w:rsidP="001A07A9">
      <w:pPr>
        <w:pStyle w:val="Zkladntext"/>
        <w:numPr>
          <w:ilvl w:val="2"/>
          <w:numId w:val="7"/>
        </w:numPr>
        <w:shd w:val="clear" w:color="auto" w:fill="auto"/>
        <w:tabs>
          <w:tab w:val="left" w:pos="754"/>
        </w:tabs>
        <w:spacing w:after="120"/>
        <w:ind w:left="720" w:hanging="720"/>
        <w:jc w:val="both"/>
      </w:pPr>
      <w:r>
        <w:t>Porušení povinností dle čl.</w:t>
      </w:r>
      <w:hyperlink w:anchor="bookmark21" w:tooltip="Current Document">
        <w:r>
          <w:t xml:space="preserve"> 6.4.10 </w:t>
        </w:r>
      </w:hyperlink>
      <w:r>
        <w:t>bude mít za následek vyměření odvodu za porušení rozpočtové kázně ve výši relevantní části dotace související s tímto porušením odpovídající její poměrné části vzhledem k době, po kterou nebyla povinnost plněna.</w:t>
      </w:r>
    </w:p>
    <w:p w:rsidR="001A07A9" w:rsidRDefault="001A07A9" w:rsidP="001A07A9">
      <w:pPr>
        <w:pStyle w:val="Zkladntext"/>
        <w:numPr>
          <w:ilvl w:val="2"/>
          <w:numId w:val="7"/>
        </w:numPr>
        <w:shd w:val="clear" w:color="auto" w:fill="auto"/>
        <w:tabs>
          <w:tab w:val="left" w:pos="754"/>
        </w:tabs>
        <w:spacing w:after="120"/>
        <w:ind w:left="720" w:hanging="720"/>
        <w:jc w:val="both"/>
      </w:pPr>
      <w:bookmarkStart w:id="25" w:name="bookmark22"/>
      <w:r>
        <w:t>K majetku pořízenému s účastí dotace nesmí být od okamžiku jeho zaúčtování a po dobu realizace a udržitelnosti zřízen zajišťovací převod práva s výjimkou zajišťovacího převodu práva s odkládací podmínkou, pokud bude současně dodržen čl.</w:t>
      </w:r>
      <w:hyperlink w:anchor="bookmark18" w:tooltip="Current Document">
        <w:r>
          <w:t xml:space="preserve"> 6.4.4.</w:t>
        </w:r>
        <w:bookmarkEnd w:id="25"/>
      </w:hyperlink>
    </w:p>
    <w:p w:rsidR="001A07A9" w:rsidRDefault="001A07A9" w:rsidP="001A07A9">
      <w:pPr>
        <w:pStyle w:val="Zkladntext"/>
        <w:numPr>
          <w:ilvl w:val="2"/>
          <w:numId w:val="7"/>
        </w:numPr>
        <w:shd w:val="clear" w:color="auto" w:fill="auto"/>
        <w:tabs>
          <w:tab w:val="left" w:pos="754"/>
        </w:tabs>
        <w:spacing w:after="120"/>
        <w:ind w:left="720" w:hanging="720"/>
        <w:jc w:val="both"/>
      </w:pPr>
      <w:r>
        <w:t>Porušení povinnosti dle čl.</w:t>
      </w:r>
      <w:hyperlink w:anchor="bookmark22" w:tooltip="Current Document">
        <w:r>
          <w:t xml:space="preserve"> 6.4.12 </w:t>
        </w:r>
      </w:hyperlink>
      <w:r>
        <w:t>bude mít za následek vyměření odvodu za porušení rozpočtové kázně ve výši 100 % poskytnuté dotace na majetek, u kterého nebyla povinnost splněna.</w:t>
      </w:r>
    </w:p>
    <w:p w:rsidR="001A07A9" w:rsidRDefault="001A07A9" w:rsidP="001A07A9">
      <w:pPr>
        <w:pStyle w:val="Heading30"/>
        <w:keepNext/>
        <w:keepLines/>
        <w:numPr>
          <w:ilvl w:val="1"/>
          <w:numId w:val="7"/>
        </w:numPr>
        <w:shd w:val="clear" w:color="auto" w:fill="auto"/>
        <w:tabs>
          <w:tab w:val="left" w:pos="566"/>
        </w:tabs>
        <w:spacing w:after="120"/>
        <w:jc w:val="both"/>
      </w:pPr>
      <w:bookmarkStart w:id="26" w:name="bookmark23"/>
      <w:bookmarkStart w:id="27" w:name="bookmark24"/>
      <w:r>
        <w:t>Veřejné zakázky a výběr dodavatele</w:t>
      </w:r>
      <w:bookmarkEnd w:id="26"/>
      <w:bookmarkEnd w:id="27"/>
    </w:p>
    <w:p w:rsidR="001A07A9" w:rsidRDefault="001A07A9" w:rsidP="001A07A9">
      <w:pPr>
        <w:pStyle w:val="Zkladntext"/>
        <w:numPr>
          <w:ilvl w:val="2"/>
          <w:numId w:val="7"/>
        </w:numPr>
        <w:shd w:val="clear" w:color="auto" w:fill="auto"/>
        <w:tabs>
          <w:tab w:val="left" w:pos="708"/>
        </w:tabs>
        <w:spacing w:after="120"/>
        <w:ind w:left="720" w:hanging="720"/>
        <w:jc w:val="both"/>
      </w:pPr>
      <w:r>
        <w:t>Příjemce je povinen při výběru dodavatelů postupovat v souladu s Pravidly pro výběr dodavatelů, která tvoří přílohu tohoto Rozhodnutí, nebo relevantním právním předpisem upravujícím zadávání veřejných zakázek</w:t>
      </w:r>
      <w:r>
        <w:rPr>
          <w:vertAlign w:val="superscript"/>
        </w:rPr>
        <w:t>2</w:t>
      </w:r>
      <w:r>
        <w:t xml:space="preserve"> dle hodnoty příslušného plnění.</w:t>
      </w:r>
    </w:p>
    <w:p w:rsidR="001A07A9" w:rsidRDefault="001A07A9" w:rsidP="001A07A9">
      <w:pPr>
        <w:pStyle w:val="Zkladntext"/>
        <w:numPr>
          <w:ilvl w:val="2"/>
          <w:numId w:val="7"/>
        </w:numPr>
        <w:shd w:val="clear" w:color="auto" w:fill="auto"/>
        <w:tabs>
          <w:tab w:val="left" w:pos="708"/>
        </w:tabs>
        <w:spacing w:after="120"/>
        <w:ind w:left="720" w:hanging="720"/>
        <w:jc w:val="both"/>
      </w:pPr>
      <w:r>
        <w:t>Porušení povinností při výběru dodavatelů bude mít za následek vyměření odvodu za porušení rozpočtové kázně ve snížené výši dle Kategorizace sankcí za porušení postupu zadavatele zakázek účinné v den zahájení výběrového/zadávacího řízení.</w:t>
      </w:r>
    </w:p>
    <w:p w:rsidR="001A07A9" w:rsidRDefault="001A07A9" w:rsidP="001A07A9">
      <w:pPr>
        <w:pStyle w:val="Zkladntext"/>
        <w:numPr>
          <w:ilvl w:val="1"/>
          <w:numId w:val="7"/>
        </w:numPr>
        <w:shd w:val="clear" w:color="auto" w:fill="auto"/>
        <w:tabs>
          <w:tab w:val="left" w:pos="566"/>
        </w:tabs>
        <w:spacing w:after="120"/>
        <w:jc w:val="both"/>
      </w:pPr>
      <w:r>
        <w:rPr>
          <w:b/>
          <w:bCs/>
        </w:rPr>
        <w:t>Publicita</w:t>
      </w:r>
    </w:p>
    <w:p w:rsidR="001A07A9" w:rsidRDefault="001A07A9" w:rsidP="001A07A9">
      <w:pPr>
        <w:pStyle w:val="Zkladntext"/>
        <w:numPr>
          <w:ilvl w:val="2"/>
          <w:numId w:val="7"/>
        </w:numPr>
        <w:shd w:val="clear" w:color="auto" w:fill="auto"/>
        <w:tabs>
          <w:tab w:val="left" w:pos="708"/>
        </w:tabs>
        <w:spacing w:after="120"/>
        <w:ind w:left="720" w:hanging="720"/>
        <w:jc w:val="both"/>
      </w:pPr>
      <w:r>
        <w:t>Příjemce má povinnost zajistit publicitu podpory poskytnuté z fondů EU v souladu s PpŽP - obecná část.</w:t>
      </w:r>
    </w:p>
    <w:p w:rsidR="001A07A9" w:rsidRDefault="001A07A9" w:rsidP="001A07A9">
      <w:pPr>
        <w:pStyle w:val="Zkladntext"/>
        <w:numPr>
          <w:ilvl w:val="2"/>
          <w:numId w:val="7"/>
        </w:numPr>
        <w:shd w:val="clear" w:color="auto" w:fill="auto"/>
        <w:tabs>
          <w:tab w:val="left" w:pos="708"/>
        </w:tabs>
        <w:spacing w:after="120"/>
        <w:ind w:left="720" w:hanging="720"/>
        <w:jc w:val="both"/>
      </w:pPr>
      <w:r>
        <w:t>Za porušení povinností v oblasti publicity na některém z povinných nástrojů stanoví poskytovatel dotace odvod za porušení rozpočtové kázně ve výši dle tabulky uvedené níže: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38"/>
        <w:gridCol w:w="4258"/>
        <w:gridCol w:w="1330"/>
        <w:gridCol w:w="1651"/>
      </w:tblGrid>
      <w:tr w:rsidR="001A07A9" w:rsidTr="00FC03C9">
        <w:trPr>
          <w:trHeight w:hRule="exact" w:val="1627"/>
          <w:jc w:val="center"/>
        </w:trPr>
        <w:tc>
          <w:tcPr>
            <w:tcW w:w="1838" w:type="dxa"/>
            <w:tcBorders>
              <w:top w:val="single" w:sz="4" w:space="0" w:color="auto"/>
              <w:left w:val="single" w:sz="4" w:space="0" w:color="auto"/>
            </w:tcBorders>
            <w:shd w:val="clear" w:color="auto" w:fill="FFFFFF"/>
            <w:vAlign w:val="center"/>
          </w:tcPr>
          <w:p w:rsidR="001A07A9" w:rsidRDefault="001A07A9" w:rsidP="00FC03C9">
            <w:pPr>
              <w:pStyle w:val="Other0"/>
              <w:shd w:val="clear" w:color="auto" w:fill="auto"/>
              <w:jc w:val="center"/>
            </w:pPr>
            <w:r>
              <w:t>Nástroj publicity</w:t>
            </w:r>
          </w:p>
        </w:tc>
        <w:tc>
          <w:tcPr>
            <w:tcW w:w="4258" w:type="dxa"/>
            <w:tcBorders>
              <w:top w:val="single" w:sz="4" w:space="0" w:color="auto"/>
              <w:left w:val="single" w:sz="4" w:space="0" w:color="auto"/>
            </w:tcBorders>
            <w:shd w:val="clear" w:color="auto" w:fill="FFFFFF"/>
            <w:vAlign w:val="center"/>
          </w:tcPr>
          <w:p w:rsidR="001A07A9" w:rsidRDefault="001A07A9" w:rsidP="00FC03C9">
            <w:pPr>
              <w:pStyle w:val="Other0"/>
              <w:shd w:val="clear" w:color="auto" w:fill="auto"/>
              <w:jc w:val="center"/>
            </w:pPr>
            <w:r>
              <w:t>Pochybení</w:t>
            </w:r>
          </w:p>
        </w:tc>
        <w:tc>
          <w:tcPr>
            <w:tcW w:w="1330" w:type="dxa"/>
            <w:tcBorders>
              <w:top w:val="single" w:sz="4" w:space="0" w:color="auto"/>
              <w:left w:val="single" w:sz="4" w:space="0" w:color="auto"/>
            </w:tcBorders>
            <w:shd w:val="clear" w:color="auto" w:fill="FFFFFF"/>
            <w:vAlign w:val="center"/>
          </w:tcPr>
          <w:p w:rsidR="001A07A9" w:rsidRDefault="001A07A9" w:rsidP="00FC03C9">
            <w:pPr>
              <w:pStyle w:val="Other0"/>
              <w:shd w:val="clear" w:color="auto" w:fill="auto"/>
              <w:jc w:val="center"/>
            </w:pPr>
            <w:r>
              <w:t>Úroveň pochybení</w:t>
            </w:r>
          </w:p>
        </w:tc>
        <w:tc>
          <w:tcPr>
            <w:tcW w:w="1651" w:type="dxa"/>
            <w:tcBorders>
              <w:top w:val="single" w:sz="4" w:space="0" w:color="auto"/>
              <w:left w:val="single" w:sz="4" w:space="0" w:color="auto"/>
              <w:right w:val="single" w:sz="4" w:space="0" w:color="auto"/>
            </w:tcBorders>
            <w:shd w:val="clear" w:color="auto" w:fill="FFFFFF"/>
            <w:vAlign w:val="bottom"/>
          </w:tcPr>
          <w:p w:rsidR="001A07A9" w:rsidRDefault="001A07A9" w:rsidP="00FC03C9">
            <w:pPr>
              <w:pStyle w:val="Other0"/>
              <w:shd w:val="clear" w:color="auto" w:fill="auto"/>
              <w:jc w:val="center"/>
            </w:pPr>
            <w:r>
              <w:t>Výše odvodu za porušení rozpočtové kázně z poskytnuté dotace</w:t>
            </w:r>
          </w:p>
        </w:tc>
      </w:tr>
      <w:tr w:rsidR="001A07A9" w:rsidTr="00FC03C9">
        <w:trPr>
          <w:trHeight w:hRule="exact" w:val="278"/>
          <w:jc w:val="center"/>
        </w:trPr>
        <w:tc>
          <w:tcPr>
            <w:tcW w:w="1838" w:type="dxa"/>
            <w:vMerge w:val="restart"/>
            <w:tcBorders>
              <w:top w:val="single" w:sz="4" w:space="0" w:color="auto"/>
              <w:left w:val="single" w:sz="4" w:space="0" w:color="auto"/>
            </w:tcBorders>
            <w:shd w:val="clear" w:color="auto" w:fill="FFFFFF"/>
          </w:tcPr>
          <w:p w:rsidR="001A07A9" w:rsidRDefault="001A07A9" w:rsidP="00FC03C9">
            <w:pPr>
              <w:pStyle w:val="Other0"/>
              <w:shd w:val="clear" w:color="auto" w:fill="auto"/>
            </w:pPr>
            <w:r>
              <w:t>Povinné nástroje dle podmínek kap. Podmínky povinných nástrojů a násl. PpŽP - obecná část (dočasný billboard/stálý billboard/ pamětní deska, plakát</w:t>
            </w:r>
          </w:p>
        </w:tc>
        <w:tc>
          <w:tcPr>
            <w:tcW w:w="4258" w:type="dxa"/>
            <w:tcBorders>
              <w:top w:val="single" w:sz="4" w:space="0" w:color="auto"/>
              <w:left w:val="single" w:sz="4" w:space="0" w:color="auto"/>
            </w:tcBorders>
            <w:shd w:val="clear" w:color="auto" w:fill="FFFFFF"/>
            <w:vAlign w:val="bottom"/>
          </w:tcPr>
          <w:p w:rsidR="001A07A9" w:rsidRDefault="001A07A9" w:rsidP="00FC03C9">
            <w:pPr>
              <w:pStyle w:val="Other0"/>
              <w:shd w:val="clear" w:color="auto" w:fill="auto"/>
            </w:pPr>
            <w:r>
              <w:t>Povinný nástroj chybí zcela.</w:t>
            </w:r>
          </w:p>
        </w:tc>
        <w:tc>
          <w:tcPr>
            <w:tcW w:w="1330" w:type="dxa"/>
            <w:tcBorders>
              <w:top w:val="single" w:sz="4" w:space="0" w:color="auto"/>
              <w:left w:val="single" w:sz="4" w:space="0" w:color="auto"/>
            </w:tcBorders>
            <w:shd w:val="clear" w:color="auto" w:fill="FFFFFF"/>
            <w:vAlign w:val="bottom"/>
          </w:tcPr>
          <w:p w:rsidR="001A07A9" w:rsidRDefault="001A07A9" w:rsidP="00FC03C9">
            <w:pPr>
              <w:pStyle w:val="Other0"/>
              <w:shd w:val="clear" w:color="auto" w:fill="auto"/>
            </w:pPr>
            <w:r>
              <w:t>Chybí zcela.</w:t>
            </w:r>
          </w:p>
        </w:tc>
        <w:tc>
          <w:tcPr>
            <w:tcW w:w="1651" w:type="dxa"/>
            <w:tcBorders>
              <w:top w:val="single" w:sz="4" w:space="0" w:color="auto"/>
              <w:left w:val="single" w:sz="4" w:space="0" w:color="auto"/>
              <w:right w:val="single" w:sz="4" w:space="0" w:color="auto"/>
            </w:tcBorders>
            <w:shd w:val="clear" w:color="auto" w:fill="FFFFFF"/>
            <w:vAlign w:val="bottom"/>
          </w:tcPr>
          <w:p w:rsidR="001A07A9" w:rsidRDefault="001A07A9" w:rsidP="00FC03C9">
            <w:pPr>
              <w:pStyle w:val="Other0"/>
              <w:shd w:val="clear" w:color="auto" w:fill="auto"/>
              <w:jc w:val="center"/>
            </w:pPr>
            <w:r>
              <w:t>1,0 %</w:t>
            </w:r>
          </w:p>
        </w:tc>
      </w:tr>
      <w:tr w:rsidR="001A07A9" w:rsidTr="00FC03C9">
        <w:trPr>
          <w:trHeight w:hRule="exact" w:val="2750"/>
          <w:jc w:val="center"/>
        </w:trPr>
        <w:tc>
          <w:tcPr>
            <w:tcW w:w="1838" w:type="dxa"/>
            <w:vMerge/>
            <w:tcBorders>
              <w:left w:val="single" w:sz="4" w:space="0" w:color="auto"/>
              <w:bottom w:val="single" w:sz="4" w:space="0" w:color="auto"/>
            </w:tcBorders>
            <w:shd w:val="clear" w:color="auto" w:fill="FFFFFF"/>
          </w:tcPr>
          <w:p w:rsidR="001A07A9" w:rsidRDefault="001A07A9" w:rsidP="00FC03C9"/>
        </w:tc>
        <w:tc>
          <w:tcPr>
            <w:tcW w:w="4258" w:type="dxa"/>
            <w:tcBorders>
              <w:top w:val="single" w:sz="4" w:space="0" w:color="auto"/>
              <w:left w:val="single" w:sz="4" w:space="0" w:color="auto"/>
              <w:bottom w:val="single" w:sz="4" w:space="0" w:color="auto"/>
            </w:tcBorders>
            <w:shd w:val="clear" w:color="auto" w:fill="FFFFFF"/>
          </w:tcPr>
          <w:p w:rsidR="001A07A9" w:rsidRDefault="001A07A9" w:rsidP="00FC03C9">
            <w:pPr>
              <w:pStyle w:val="Other0"/>
              <w:shd w:val="clear" w:color="auto" w:fill="auto"/>
            </w:pPr>
            <w:r>
              <w:t>Na nástroji chybí, nebo je chybně (tj.</w:t>
            </w:r>
          </w:p>
          <w:p w:rsidR="001A07A9" w:rsidRDefault="001A07A9" w:rsidP="00FC03C9">
            <w:pPr>
              <w:pStyle w:val="Other0"/>
              <w:shd w:val="clear" w:color="auto" w:fill="auto"/>
            </w:pPr>
            <w:r>
              <w:t>v rozporu s parametry povinné publicity dle kap. Parametry povinné publicity PpŽP - obecná část):</w:t>
            </w:r>
          </w:p>
          <w:p w:rsidR="001A07A9" w:rsidRDefault="001A07A9" w:rsidP="001A07A9">
            <w:pPr>
              <w:pStyle w:val="Other0"/>
              <w:numPr>
                <w:ilvl w:val="0"/>
                <w:numId w:val="8"/>
              </w:numPr>
              <w:shd w:val="clear" w:color="auto" w:fill="auto"/>
              <w:tabs>
                <w:tab w:val="left" w:pos="800"/>
              </w:tabs>
              <w:ind w:firstLine="440"/>
            </w:pPr>
            <w:r>
              <w:t>znak EU</w:t>
            </w:r>
          </w:p>
          <w:p w:rsidR="001A07A9" w:rsidRDefault="001A07A9" w:rsidP="001A07A9">
            <w:pPr>
              <w:pStyle w:val="Other0"/>
              <w:numPr>
                <w:ilvl w:val="0"/>
                <w:numId w:val="8"/>
              </w:numPr>
              <w:shd w:val="clear" w:color="auto" w:fill="auto"/>
              <w:tabs>
                <w:tab w:val="left" w:pos="814"/>
              </w:tabs>
              <w:ind w:firstLine="440"/>
            </w:pPr>
            <w:r>
              <w:t>předepsaný rozměr plakátu</w:t>
            </w:r>
          </w:p>
          <w:p w:rsidR="001A07A9" w:rsidRDefault="001A07A9" w:rsidP="001A07A9">
            <w:pPr>
              <w:pStyle w:val="Other0"/>
              <w:numPr>
                <w:ilvl w:val="0"/>
                <w:numId w:val="8"/>
              </w:numPr>
              <w:shd w:val="clear" w:color="auto" w:fill="auto"/>
              <w:tabs>
                <w:tab w:val="left" w:pos="814"/>
              </w:tabs>
              <w:ind w:firstLine="440"/>
            </w:pPr>
            <w:r>
              <w:t>povinný text</w:t>
            </w:r>
          </w:p>
          <w:p w:rsidR="001A07A9" w:rsidRDefault="001A07A9" w:rsidP="001A07A9">
            <w:pPr>
              <w:pStyle w:val="Other0"/>
              <w:numPr>
                <w:ilvl w:val="0"/>
                <w:numId w:val="8"/>
              </w:numPr>
              <w:shd w:val="clear" w:color="auto" w:fill="auto"/>
              <w:tabs>
                <w:tab w:val="left" w:pos="814"/>
              </w:tabs>
              <w:ind w:left="820" w:hanging="380"/>
            </w:pPr>
            <w:r>
              <w:t>povinný obsah v případě internetových stránek a postu na sociálních sítích</w:t>
            </w:r>
          </w:p>
        </w:tc>
        <w:tc>
          <w:tcPr>
            <w:tcW w:w="1330" w:type="dxa"/>
            <w:tcBorders>
              <w:top w:val="single" w:sz="4" w:space="0" w:color="auto"/>
              <w:left w:val="single" w:sz="4" w:space="0" w:color="auto"/>
              <w:bottom w:val="single" w:sz="4" w:space="0" w:color="auto"/>
            </w:tcBorders>
            <w:shd w:val="clear" w:color="auto" w:fill="FFFFFF"/>
          </w:tcPr>
          <w:p w:rsidR="001A07A9" w:rsidRDefault="001A07A9" w:rsidP="00FC03C9">
            <w:pPr>
              <w:pStyle w:val="Other0"/>
              <w:shd w:val="clear" w:color="auto" w:fill="auto"/>
            </w:pPr>
            <w:r>
              <w:t>Je uvedeno chybně.</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1A07A9" w:rsidRDefault="001A07A9" w:rsidP="00FC03C9">
            <w:pPr>
              <w:pStyle w:val="Other0"/>
              <w:shd w:val="clear" w:color="auto" w:fill="auto"/>
              <w:jc w:val="center"/>
            </w:pPr>
            <w:r>
              <w:t>0,5 %</w:t>
            </w:r>
          </w:p>
        </w:tc>
      </w:tr>
    </w:tbl>
    <w:p w:rsidR="001A07A9" w:rsidRDefault="001A07A9" w:rsidP="001A07A9">
      <w:pPr>
        <w:pStyle w:val="Tablecaption0"/>
        <w:shd w:val="clear" w:color="auto" w:fill="auto"/>
      </w:pPr>
      <w:r>
        <w:rPr>
          <w:vertAlign w:val="superscript"/>
        </w:rPr>
        <w:t>2</w:t>
      </w:r>
      <w:r>
        <w:t xml:space="preserve"> Viz zákon č. 134/2016 Sb., o zadávání veřejných zakázek, ve znění pozdějších předpisů</w:t>
      </w:r>
    </w:p>
    <w:p w:rsidR="001A07A9" w:rsidRDefault="001A07A9" w:rsidP="001A07A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38"/>
        <w:gridCol w:w="4258"/>
        <w:gridCol w:w="1330"/>
        <w:gridCol w:w="1651"/>
      </w:tblGrid>
      <w:tr w:rsidR="001A07A9" w:rsidTr="00FC03C9">
        <w:trPr>
          <w:trHeight w:hRule="exact" w:val="3250"/>
          <w:jc w:val="center"/>
        </w:trPr>
        <w:tc>
          <w:tcPr>
            <w:tcW w:w="1838" w:type="dxa"/>
            <w:vMerge w:val="restart"/>
            <w:tcBorders>
              <w:top w:val="single" w:sz="4" w:space="0" w:color="auto"/>
              <w:left w:val="single" w:sz="4" w:space="0" w:color="auto"/>
            </w:tcBorders>
            <w:shd w:val="clear" w:color="auto" w:fill="FFFFFF"/>
          </w:tcPr>
          <w:p w:rsidR="001A07A9" w:rsidRDefault="001A07A9" w:rsidP="00FC03C9">
            <w:pPr>
              <w:pStyle w:val="Other0"/>
              <w:shd w:val="clear" w:color="auto" w:fill="auto"/>
            </w:pPr>
            <w:r>
              <w:lastRenderedPageBreak/>
              <w:t>o minimální velikosti A3, informace na internetové stránce či na sociální síti, pokud taková existuje, komunikační akce, je-li pro Projekt povinná).</w:t>
            </w:r>
          </w:p>
        </w:tc>
        <w:tc>
          <w:tcPr>
            <w:tcW w:w="4258" w:type="dxa"/>
            <w:tcBorders>
              <w:top w:val="single" w:sz="4" w:space="0" w:color="auto"/>
              <w:left w:val="single" w:sz="4" w:space="0" w:color="auto"/>
            </w:tcBorders>
            <w:shd w:val="clear" w:color="auto" w:fill="FFFFFF"/>
          </w:tcPr>
          <w:p w:rsidR="001A07A9" w:rsidRDefault="001A07A9" w:rsidP="00FC03C9">
            <w:pPr>
              <w:pStyle w:val="Other0"/>
              <w:shd w:val="clear" w:color="auto" w:fill="auto"/>
              <w:ind w:left="800" w:hanging="360"/>
            </w:pPr>
            <w:r>
              <w:t>• dočasný billboard/stálá pamětní deska/stálý billboard/plakát A3/elektronické zobrazovací zařízení není na místě viditelném pro veřejnost.</w:t>
            </w:r>
          </w:p>
          <w:p w:rsidR="001A07A9" w:rsidRDefault="001A07A9" w:rsidP="00FC03C9">
            <w:pPr>
              <w:pStyle w:val="Other0"/>
              <w:shd w:val="clear" w:color="auto" w:fill="auto"/>
            </w:pPr>
            <w:r>
              <w:t>Nesplnění podmínek komunikační akce dle kap. Podmínky povinných nástrojů PpŽP - obecná část s výjimkou pochybení níže. Není splněna doba povinné publicity dle kap. Doba, po kterou musí být povinná publicita plněna PpŽP - obecná část.</w:t>
            </w:r>
          </w:p>
        </w:tc>
        <w:tc>
          <w:tcPr>
            <w:tcW w:w="1330" w:type="dxa"/>
            <w:tcBorders>
              <w:top w:val="single" w:sz="4" w:space="0" w:color="auto"/>
              <w:left w:val="single" w:sz="4" w:space="0" w:color="auto"/>
            </w:tcBorders>
            <w:shd w:val="clear" w:color="auto" w:fill="FFFFFF"/>
          </w:tcPr>
          <w:p w:rsidR="001A07A9" w:rsidRDefault="001A07A9" w:rsidP="00FC03C9">
            <w:pPr>
              <w:rPr>
                <w:sz w:val="10"/>
                <w:szCs w:val="10"/>
              </w:rPr>
            </w:pPr>
          </w:p>
        </w:tc>
        <w:tc>
          <w:tcPr>
            <w:tcW w:w="1651" w:type="dxa"/>
            <w:tcBorders>
              <w:top w:val="single" w:sz="4" w:space="0" w:color="auto"/>
              <w:left w:val="single" w:sz="4" w:space="0" w:color="auto"/>
              <w:right w:val="single" w:sz="4" w:space="0" w:color="auto"/>
            </w:tcBorders>
            <w:shd w:val="clear" w:color="auto" w:fill="FFFFFF"/>
          </w:tcPr>
          <w:p w:rsidR="001A07A9" w:rsidRDefault="001A07A9" w:rsidP="00FC03C9">
            <w:pPr>
              <w:rPr>
                <w:sz w:val="10"/>
                <w:szCs w:val="10"/>
              </w:rPr>
            </w:pPr>
          </w:p>
        </w:tc>
      </w:tr>
      <w:tr w:rsidR="001A07A9" w:rsidTr="00FC03C9">
        <w:trPr>
          <w:trHeight w:hRule="exact" w:val="816"/>
          <w:jc w:val="center"/>
        </w:trPr>
        <w:tc>
          <w:tcPr>
            <w:tcW w:w="1838" w:type="dxa"/>
            <w:vMerge/>
            <w:tcBorders>
              <w:left w:val="single" w:sz="4" w:space="0" w:color="auto"/>
            </w:tcBorders>
            <w:shd w:val="clear" w:color="auto" w:fill="FFFFFF"/>
          </w:tcPr>
          <w:p w:rsidR="001A07A9" w:rsidRDefault="001A07A9" w:rsidP="00FC03C9"/>
        </w:tc>
        <w:tc>
          <w:tcPr>
            <w:tcW w:w="4258" w:type="dxa"/>
            <w:tcBorders>
              <w:top w:val="single" w:sz="4" w:space="0" w:color="auto"/>
              <w:left w:val="single" w:sz="4" w:space="0" w:color="auto"/>
            </w:tcBorders>
            <w:shd w:val="clear" w:color="auto" w:fill="FFFFFF"/>
            <w:vAlign w:val="bottom"/>
          </w:tcPr>
          <w:p w:rsidR="001A07A9" w:rsidRDefault="001A07A9" w:rsidP="00FC03C9">
            <w:pPr>
              <w:pStyle w:val="Other0"/>
              <w:shd w:val="clear" w:color="auto" w:fill="auto"/>
            </w:pPr>
            <w:r>
              <w:t>Na komunikační akci nebyl přizván / o komunikační aktivitě nebyl informován zástupce řídícího orgánu.</w:t>
            </w:r>
          </w:p>
        </w:tc>
        <w:tc>
          <w:tcPr>
            <w:tcW w:w="1330" w:type="dxa"/>
            <w:tcBorders>
              <w:top w:val="single" w:sz="4" w:space="0" w:color="auto"/>
              <w:left w:val="single" w:sz="4" w:space="0" w:color="auto"/>
            </w:tcBorders>
            <w:shd w:val="clear" w:color="auto" w:fill="FFFFFF"/>
            <w:vAlign w:val="bottom"/>
          </w:tcPr>
          <w:p w:rsidR="001A07A9" w:rsidRDefault="001A07A9" w:rsidP="00FC03C9">
            <w:pPr>
              <w:pStyle w:val="Other0"/>
              <w:shd w:val="clear" w:color="auto" w:fill="auto"/>
            </w:pPr>
            <w:r>
              <w:t>Je provedeno chybně.</w:t>
            </w:r>
          </w:p>
        </w:tc>
        <w:tc>
          <w:tcPr>
            <w:tcW w:w="1651" w:type="dxa"/>
            <w:tcBorders>
              <w:top w:val="single" w:sz="4" w:space="0" w:color="auto"/>
              <w:left w:val="single" w:sz="4" w:space="0" w:color="auto"/>
              <w:right w:val="single" w:sz="4" w:space="0" w:color="auto"/>
            </w:tcBorders>
            <w:shd w:val="clear" w:color="auto" w:fill="FFFFFF"/>
          </w:tcPr>
          <w:p w:rsidR="001A07A9" w:rsidRDefault="001A07A9" w:rsidP="00FC03C9">
            <w:pPr>
              <w:pStyle w:val="Other0"/>
              <w:shd w:val="clear" w:color="auto" w:fill="auto"/>
              <w:jc w:val="center"/>
            </w:pPr>
            <w:r>
              <w:t>0,01 %</w:t>
            </w:r>
          </w:p>
        </w:tc>
      </w:tr>
      <w:tr w:rsidR="001A07A9" w:rsidTr="00FC03C9">
        <w:trPr>
          <w:trHeight w:hRule="exact" w:val="1094"/>
          <w:jc w:val="center"/>
        </w:trPr>
        <w:tc>
          <w:tcPr>
            <w:tcW w:w="1838" w:type="dxa"/>
            <w:vMerge/>
            <w:tcBorders>
              <w:left w:val="single" w:sz="4" w:space="0" w:color="auto"/>
              <w:bottom w:val="single" w:sz="4" w:space="0" w:color="auto"/>
            </w:tcBorders>
            <w:shd w:val="clear" w:color="auto" w:fill="FFFFFF"/>
          </w:tcPr>
          <w:p w:rsidR="001A07A9" w:rsidRDefault="001A07A9" w:rsidP="00FC03C9"/>
        </w:tc>
        <w:tc>
          <w:tcPr>
            <w:tcW w:w="4258" w:type="dxa"/>
            <w:tcBorders>
              <w:top w:val="single" w:sz="4" w:space="0" w:color="auto"/>
              <w:left w:val="single" w:sz="4" w:space="0" w:color="auto"/>
              <w:bottom w:val="single" w:sz="4" w:space="0" w:color="auto"/>
            </w:tcBorders>
            <w:shd w:val="clear" w:color="auto" w:fill="FFFFFF"/>
            <w:vAlign w:val="bottom"/>
          </w:tcPr>
          <w:p w:rsidR="001A07A9" w:rsidRDefault="001A07A9" w:rsidP="00FC03C9">
            <w:pPr>
              <w:pStyle w:val="Other0"/>
              <w:shd w:val="clear" w:color="auto" w:fill="auto"/>
            </w:pPr>
            <w:r>
              <w:t>Je uvedeno nadbytečné logo zvýrazňující podporu EU (jiné logo, nežli znak EU s doprovodným textem spolu/financováno Evropskou unií).</w:t>
            </w:r>
          </w:p>
        </w:tc>
        <w:tc>
          <w:tcPr>
            <w:tcW w:w="1330" w:type="dxa"/>
            <w:tcBorders>
              <w:top w:val="single" w:sz="4" w:space="0" w:color="auto"/>
              <w:left w:val="single" w:sz="4" w:space="0" w:color="auto"/>
              <w:bottom w:val="single" w:sz="4" w:space="0" w:color="auto"/>
            </w:tcBorders>
            <w:shd w:val="clear" w:color="auto" w:fill="FFFFFF"/>
          </w:tcPr>
          <w:p w:rsidR="001A07A9" w:rsidRDefault="001A07A9" w:rsidP="00FC03C9">
            <w:pPr>
              <w:pStyle w:val="Other0"/>
              <w:shd w:val="clear" w:color="auto" w:fill="auto"/>
            </w:pPr>
            <w:r>
              <w:t>Je uvedeno nadbytečně.</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1A07A9" w:rsidRDefault="001A07A9" w:rsidP="00FC03C9">
            <w:pPr>
              <w:pStyle w:val="Other0"/>
              <w:shd w:val="clear" w:color="auto" w:fill="auto"/>
              <w:jc w:val="center"/>
            </w:pPr>
            <w:r>
              <w:t>0,1 %</w:t>
            </w:r>
          </w:p>
        </w:tc>
      </w:tr>
    </w:tbl>
    <w:p w:rsidR="001A07A9" w:rsidRDefault="001A07A9" w:rsidP="001A07A9">
      <w:pPr>
        <w:spacing w:after="499" w:line="1" w:lineRule="exact"/>
      </w:pPr>
    </w:p>
    <w:p w:rsidR="001A07A9" w:rsidRDefault="001A07A9" w:rsidP="001A07A9">
      <w:pPr>
        <w:pStyle w:val="Zkladntext"/>
        <w:numPr>
          <w:ilvl w:val="2"/>
          <w:numId w:val="7"/>
        </w:numPr>
        <w:shd w:val="clear" w:color="auto" w:fill="auto"/>
        <w:tabs>
          <w:tab w:val="left" w:pos="715"/>
        </w:tabs>
        <w:spacing w:after="120"/>
        <w:ind w:left="720" w:hanging="720"/>
      </w:pPr>
      <w:r>
        <w:t>Za porušení povinnosti v oblasti publicity na některém z nepovinných nástrojů stanoví poskytovatel dotace odvod za porušení rozpočtové kázně ve výši dle tabulky uvedené níže: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29"/>
        <w:gridCol w:w="3350"/>
        <w:gridCol w:w="1330"/>
        <w:gridCol w:w="1368"/>
      </w:tblGrid>
      <w:tr w:rsidR="001A07A9" w:rsidTr="00FC03C9">
        <w:trPr>
          <w:trHeight w:hRule="exact" w:val="1891"/>
          <w:jc w:val="center"/>
        </w:trPr>
        <w:tc>
          <w:tcPr>
            <w:tcW w:w="3029" w:type="dxa"/>
            <w:tcBorders>
              <w:top w:val="single" w:sz="4" w:space="0" w:color="auto"/>
              <w:left w:val="single" w:sz="4" w:space="0" w:color="auto"/>
            </w:tcBorders>
            <w:shd w:val="clear" w:color="auto" w:fill="FFFFFF"/>
            <w:vAlign w:val="center"/>
          </w:tcPr>
          <w:p w:rsidR="001A07A9" w:rsidRDefault="001A07A9" w:rsidP="00FC03C9">
            <w:pPr>
              <w:pStyle w:val="Other0"/>
              <w:shd w:val="clear" w:color="auto" w:fill="auto"/>
              <w:jc w:val="center"/>
            </w:pPr>
            <w:r>
              <w:t>Nástroj publicity</w:t>
            </w:r>
          </w:p>
        </w:tc>
        <w:tc>
          <w:tcPr>
            <w:tcW w:w="3350" w:type="dxa"/>
            <w:tcBorders>
              <w:top w:val="single" w:sz="4" w:space="0" w:color="auto"/>
              <w:left w:val="single" w:sz="4" w:space="0" w:color="auto"/>
            </w:tcBorders>
            <w:shd w:val="clear" w:color="auto" w:fill="FFFFFF"/>
            <w:vAlign w:val="center"/>
          </w:tcPr>
          <w:p w:rsidR="001A07A9" w:rsidRDefault="001A07A9" w:rsidP="00FC03C9">
            <w:pPr>
              <w:pStyle w:val="Other0"/>
              <w:shd w:val="clear" w:color="auto" w:fill="auto"/>
              <w:jc w:val="center"/>
            </w:pPr>
            <w:r>
              <w:t>Pochybení</w:t>
            </w:r>
          </w:p>
        </w:tc>
        <w:tc>
          <w:tcPr>
            <w:tcW w:w="1330" w:type="dxa"/>
            <w:tcBorders>
              <w:top w:val="single" w:sz="4" w:space="0" w:color="auto"/>
              <w:left w:val="single" w:sz="4" w:space="0" w:color="auto"/>
            </w:tcBorders>
            <w:shd w:val="clear" w:color="auto" w:fill="FFFFFF"/>
            <w:vAlign w:val="center"/>
          </w:tcPr>
          <w:p w:rsidR="001A07A9" w:rsidRDefault="001A07A9" w:rsidP="00FC03C9">
            <w:pPr>
              <w:pStyle w:val="Other0"/>
              <w:shd w:val="clear" w:color="auto" w:fill="auto"/>
              <w:jc w:val="center"/>
            </w:pPr>
            <w:r>
              <w:t>Úroveň pochybení</w:t>
            </w:r>
          </w:p>
        </w:tc>
        <w:tc>
          <w:tcPr>
            <w:tcW w:w="1368" w:type="dxa"/>
            <w:tcBorders>
              <w:top w:val="single" w:sz="4" w:space="0" w:color="auto"/>
              <w:left w:val="single" w:sz="4" w:space="0" w:color="auto"/>
              <w:right w:val="single" w:sz="4" w:space="0" w:color="auto"/>
            </w:tcBorders>
            <w:shd w:val="clear" w:color="auto" w:fill="FFFFFF"/>
            <w:vAlign w:val="bottom"/>
          </w:tcPr>
          <w:p w:rsidR="001A07A9" w:rsidRDefault="001A07A9" w:rsidP="00FC03C9">
            <w:pPr>
              <w:pStyle w:val="Other0"/>
              <w:shd w:val="clear" w:color="auto" w:fill="auto"/>
              <w:jc w:val="center"/>
            </w:pPr>
            <w:r>
              <w:t>Výše odvodu za porušení rozpočtové kázně z poskytnuté dotace</w:t>
            </w:r>
          </w:p>
        </w:tc>
      </w:tr>
      <w:tr w:rsidR="001A07A9" w:rsidTr="00FC03C9">
        <w:trPr>
          <w:trHeight w:hRule="exact" w:val="547"/>
          <w:jc w:val="center"/>
        </w:trPr>
        <w:tc>
          <w:tcPr>
            <w:tcW w:w="3029" w:type="dxa"/>
            <w:vMerge w:val="restart"/>
            <w:tcBorders>
              <w:top w:val="single" w:sz="4" w:space="0" w:color="auto"/>
              <w:left w:val="single" w:sz="4" w:space="0" w:color="auto"/>
            </w:tcBorders>
            <w:shd w:val="clear" w:color="auto" w:fill="FFFFFF"/>
          </w:tcPr>
          <w:p w:rsidR="001A07A9" w:rsidRDefault="001A07A9" w:rsidP="00FC03C9">
            <w:pPr>
              <w:pStyle w:val="Other0"/>
              <w:shd w:val="clear" w:color="auto" w:fill="auto"/>
              <w:spacing w:line="233" w:lineRule="auto"/>
            </w:pPr>
            <w:r>
              <w:t>Nepovinné nástroje/volitelná publicita</w:t>
            </w:r>
          </w:p>
        </w:tc>
        <w:tc>
          <w:tcPr>
            <w:tcW w:w="3350" w:type="dxa"/>
            <w:tcBorders>
              <w:top w:val="single" w:sz="4" w:space="0" w:color="auto"/>
              <w:left w:val="single" w:sz="4" w:space="0" w:color="auto"/>
            </w:tcBorders>
            <w:shd w:val="clear" w:color="auto" w:fill="FFFFFF"/>
            <w:vAlign w:val="bottom"/>
          </w:tcPr>
          <w:p w:rsidR="001A07A9" w:rsidRDefault="001A07A9" w:rsidP="00FC03C9">
            <w:pPr>
              <w:pStyle w:val="Other0"/>
              <w:shd w:val="clear" w:color="auto" w:fill="auto"/>
            </w:pPr>
            <w:r>
              <w:t>Znak EU</w:t>
            </w:r>
          </w:p>
          <w:p w:rsidR="001A07A9" w:rsidRDefault="001A07A9" w:rsidP="00FC03C9">
            <w:pPr>
              <w:pStyle w:val="Other0"/>
              <w:shd w:val="clear" w:color="auto" w:fill="auto"/>
              <w:spacing w:line="230" w:lineRule="auto"/>
            </w:pPr>
            <w:r>
              <w:t>(znak EU včetně povinného textu).</w:t>
            </w:r>
          </w:p>
        </w:tc>
        <w:tc>
          <w:tcPr>
            <w:tcW w:w="1330" w:type="dxa"/>
            <w:tcBorders>
              <w:top w:val="single" w:sz="4" w:space="0" w:color="auto"/>
              <w:left w:val="single" w:sz="4" w:space="0" w:color="auto"/>
            </w:tcBorders>
            <w:shd w:val="clear" w:color="auto" w:fill="FFFFFF"/>
          </w:tcPr>
          <w:p w:rsidR="001A07A9" w:rsidRDefault="001A07A9" w:rsidP="00FC03C9">
            <w:pPr>
              <w:pStyle w:val="Other0"/>
              <w:shd w:val="clear" w:color="auto" w:fill="auto"/>
            </w:pPr>
            <w:r>
              <w:t>Chybí zcela.</w:t>
            </w:r>
          </w:p>
        </w:tc>
        <w:tc>
          <w:tcPr>
            <w:tcW w:w="1368" w:type="dxa"/>
            <w:tcBorders>
              <w:top w:val="single" w:sz="4" w:space="0" w:color="auto"/>
              <w:left w:val="single" w:sz="4" w:space="0" w:color="auto"/>
              <w:right w:val="single" w:sz="4" w:space="0" w:color="auto"/>
            </w:tcBorders>
            <w:shd w:val="clear" w:color="auto" w:fill="FFFFFF"/>
          </w:tcPr>
          <w:p w:rsidR="001A07A9" w:rsidRDefault="001A07A9" w:rsidP="00FC03C9">
            <w:pPr>
              <w:pStyle w:val="Other0"/>
              <w:shd w:val="clear" w:color="auto" w:fill="auto"/>
              <w:jc w:val="center"/>
            </w:pPr>
            <w:r>
              <w:t>0,03 %</w:t>
            </w:r>
          </w:p>
        </w:tc>
      </w:tr>
      <w:tr w:rsidR="001A07A9" w:rsidTr="00FC03C9">
        <w:trPr>
          <w:trHeight w:hRule="exact" w:val="1632"/>
          <w:jc w:val="center"/>
        </w:trPr>
        <w:tc>
          <w:tcPr>
            <w:tcW w:w="3029" w:type="dxa"/>
            <w:vMerge/>
            <w:tcBorders>
              <w:left w:val="single" w:sz="4" w:space="0" w:color="auto"/>
              <w:bottom w:val="single" w:sz="4" w:space="0" w:color="auto"/>
            </w:tcBorders>
            <w:shd w:val="clear" w:color="auto" w:fill="FFFFFF"/>
          </w:tcPr>
          <w:p w:rsidR="001A07A9" w:rsidRDefault="001A07A9" w:rsidP="00FC03C9"/>
        </w:tc>
        <w:tc>
          <w:tcPr>
            <w:tcW w:w="3350" w:type="dxa"/>
            <w:tcBorders>
              <w:top w:val="single" w:sz="4" w:space="0" w:color="auto"/>
              <w:left w:val="single" w:sz="4" w:space="0" w:color="auto"/>
              <w:bottom w:val="single" w:sz="4" w:space="0" w:color="auto"/>
            </w:tcBorders>
            <w:shd w:val="clear" w:color="auto" w:fill="FFFFFF"/>
            <w:vAlign w:val="bottom"/>
          </w:tcPr>
          <w:p w:rsidR="001A07A9" w:rsidRDefault="001A07A9" w:rsidP="00FC03C9">
            <w:pPr>
              <w:pStyle w:val="Other0"/>
              <w:shd w:val="clear" w:color="auto" w:fill="auto"/>
            </w:pPr>
            <w:r>
              <w:t>Znak EU (znak EU včetně povinného textu) je uvedeno chybně (tj. v rozporu s parametry nepovinné publicity dle kap. Parametry povinné publicity PpŽP - obecná část)</w:t>
            </w:r>
          </w:p>
        </w:tc>
        <w:tc>
          <w:tcPr>
            <w:tcW w:w="1330" w:type="dxa"/>
            <w:tcBorders>
              <w:top w:val="single" w:sz="4" w:space="0" w:color="auto"/>
              <w:left w:val="single" w:sz="4" w:space="0" w:color="auto"/>
              <w:bottom w:val="single" w:sz="4" w:space="0" w:color="auto"/>
            </w:tcBorders>
            <w:shd w:val="clear" w:color="auto" w:fill="FFFFFF"/>
          </w:tcPr>
          <w:p w:rsidR="001A07A9" w:rsidRDefault="001A07A9" w:rsidP="00FC03C9">
            <w:pPr>
              <w:pStyle w:val="Other0"/>
              <w:shd w:val="clear" w:color="auto" w:fill="auto"/>
            </w:pPr>
            <w:r>
              <w:t>Je uvedeno chybně.</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1A07A9" w:rsidRDefault="001A07A9" w:rsidP="00FC03C9">
            <w:pPr>
              <w:pStyle w:val="Other0"/>
              <w:shd w:val="clear" w:color="auto" w:fill="auto"/>
              <w:jc w:val="center"/>
            </w:pPr>
            <w:r>
              <w:t>0,01 %</w:t>
            </w:r>
          </w:p>
        </w:tc>
      </w:tr>
    </w:tbl>
    <w:p w:rsidR="001A07A9" w:rsidRDefault="001A07A9" w:rsidP="001A07A9">
      <w:pPr>
        <w:spacing w:after="739" w:line="1" w:lineRule="exact"/>
      </w:pPr>
    </w:p>
    <w:p w:rsidR="001A07A9" w:rsidRDefault="001A07A9" w:rsidP="001A07A9">
      <w:pPr>
        <w:pStyle w:val="Heading30"/>
        <w:keepNext/>
        <w:keepLines/>
        <w:shd w:val="clear" w:color="auto" w:fill="auto"/>
        <w:spacing w:after="120"/>
        <w:jc w:val="both"/>
      </w:pPr>
      <w:bookmarkStart w:id="28" w:name="bookmark25"/>
      <w:bookmarkStart w:id="29" w:name="bookmark26"/>
      <w:r>
        <w:rPr>
          <w:b w:val="0"/>
          <w:bCs w:val="0"/>
        </w:rPr>
        <w:t xml:space="preserve">6.7. </w:t>
      </w:r>
      <w:r>
        <w:t>Zprávy o realizaci a udržitelnosti Projektu</w:t>
      </w:r>
      <w:bookmarkEnd w:id="28"/>
      <w:bookmarkEnd w:id="29"/>
    </w:p>
    <w:p w:rsidR="001A07A9" w:rsidRDefault="001A07A9" w:rsidP="001A07A9">
      <w:pPr>
        <w:pStyle w:val="Zkladntext"/>
        <w:numPr>
          <w:ilvl w:val="0"/>
          <w:numId w:val="9"/>
        </w:numPr>
        <w:shd w:val="clear" w:color="auto" w:fill="auto"/>
        <w:tabs>
          <w:tab w:val="left" w:pos="715"/>
        </w:tabs>
        <w:spacing w:after="300"/>
        <w:ind w:left="720" w:hanging="720"/>
        <w:jc w:val="both"/>
      </w:pPr>
      <w:r>
        <w:t>Příjemce je povinen předkládat prostřednictvím monitorovacích zpráv poskytovateli dotace pravdivé a úplné informace o průběhu realizace a udržitelnosti Projektu a údaje nutné pro sledování hodnot indikátorů a umožnit tak poskytovateli průběžné sledování vývoje a přínosů Projektu. Druhy monitorovacích zpráv a jejich náležitosti dále podrobně stanoví kap. Monitorování projektu PpŽP - obecná část.</w:t>
      </w:r>
      <w:r>
        <w:br w:type="page"/>
      </w:r>
    </w:p>
    <w:p w:rsidR="001A07A9" w:rsidRDefault="001A07A9" w:rsidP="001A07A9">
      <w:pPr>
        <w:pStyle w:val="Zkladntext"/>
        <w:numPr>
          <w:ilvl w:val="0"/>
          <w:numId w:val="9"/>
        </w:numPr>
        <w:shd w:val="clear" w:color="auto" w:fill="auto"/>
        <w:tabs>
          <w:tab w:val="left" w:pos="721"/>
        </w:tabs>
        <w:spacing w:after="100"/>
        <w:ind w:left="720" w:hanging="720"/>
        <w:jc w:val="both"/>
      </w:pPr>
      <w:r>
        <w:lastRenderedPageBreak/>
        <w:t>Příjemce je povinen u více etapových projektů předkládat poskytovateli dotace informace o realizaci Projektu prostřednictvím zpráv o realizaci Projektu. Zpráva předkládaná při poslední etapě Projektu musí obsahovat závěrečné vyhodnocení Projektu včetně uvedení dosažených hodnot indikátorů povinných k naplnění a povinných k výběru, pokud tyto měly být splněny k datu předpokládaného ukončení Projektu. Předložení zpráv je povinností dle ust. § 14 odst. 4 písm. i) rozpočtových pravidel.</w:t>
      </w:r>
    </w:p>
    <w:p w:rsidR="001A07A9" w:rsidRDefault="001A07A9" w:rsidP="001A07A9">
      <w:pPr>
        <w:pStyle w:val="Zkladntext"/>
        <w:numPr>
          <w:ilvl w:val="0"/>
          <w:numId w:val="9"/>
        </w:numPr>
        <w:shd w:val="clear" w:color="auto" w:fill="auto"/>
        <w:tabs>
          <w:tab w:val="left" w:pos="721"/>
        </w:tabs>
        <w:spacing w:after="100"/>
        <w:ind w:left="720" w:hanging="720"/>
        <w:jc w:val="both"/>
      </w:pPr>
      <w:bookmarkStart w:id="30" w:name="bookmark27"/>
      <w:r>
        <w:t>Příjemce je povinen předkládat poskytovateli po ukončení Projektu zprávy obsahující údaje o vývoji indikátoru/ů. Lhůty pro předkládání zpráv o udržitelnosti Projektu jsou uvedeny v Harmonogramu zpráv v informačním systému a jsou pro příjemce závazné. Příjemce je povinen podávat tyto zprávy ve struktuře dle informačního systému a spolu s nimi musí příjemce dodat i přílohy stanovené tímto Rozhodnutím a jeho přílohami. Příjemce může prostřednictvím informačního systému (prostřednictvím interní depeše na Projektu) požádat o prodloužení lhůty k podání této zprávy, a to nejpozději v den, kdy má být daná zpráva o udržitelnosti podána. Lhůta může být prodloužena maximálně o 20 pracovních dní.</w:t>
      </w:r>
      <w:bookmarkEnd w:id="30"/>
    </w:p>
    <w:p w:rsidR="001A07A9" w:rsidRDefault="001A07A9" w:rsidP="001A07A9">
      <w:pPr>
        <w:pStyle w:val="Zkladntext"/>
        <w:numPr>
          <w:ilvl w:val="0"/>
          <w:numId w:val="9"/>
        </w:numPr>
        <w:shd w:val="clear" w:color="auto" w:fill="auto"/>
        <w:tabs>
          <w:tab w:val="left" w:pos="721"/>
        </w:tabs>
        <w:spacing w:after="100"/>
        <w:ind w:left="720" w:hanging="720"/>
        <w:jc w:val="both"/>
      </w:pPr>
      <w:r>
        <w:t>Za nepředložení příslušné zprávy dle čl.</w:t>
      </w:r>
      <w:hyperlink w:anchor="bookmark27" w:tooltip="Current Document">
        <w:r>
          <w:t xml:space="preserve"> 6.7.3 </w:t>
        </w:r>
      </w:hyperlink>
      <w:r>
        <w:t>ve lhůtě dle Harmonogramu zpráv stanoví poskytovatel dotace odvod za porušení rozpočtové kázně ve výši 10.000,- Kč za každý jednotlivý případ porušení.</w:t>
      </w:r>
    </w:p>
    <w:p w:rsidR="001A07A9" w:rsidRDefault="001A07A9" w:rsidP="001A07A9">
      <w:pPr>
        <w:pStyle w:val="Heading30"/>
        <w:keepNext/>
        <w:keepLines/>
        <w:numPr>
          <w:ilvl w:val="0"/>
          <w:numId w:val="10"/>
        </w:numPr>
        <w:shd w:val="clear" w:color="auto" w:fill="auto"/>
        <w:tabs>
          <w:tab w:val="left" w:pos="566"/>
        </w:tabs>
        <w:spacing w:after="100"/>
        <w:jc w:val="both"/>
      </w:pPr>
      <w:bookmarkStart w:id="31" w:name="bookmark29"/>
      <w:bookmarkStart w:id="32" w:name="bookmark30"/>
      <w:bookmarkStart w:id="33" w:name="bookmark28"/>
      <w:r>
        <w:t>Účetnictví a archivace</w:t>
      </w:r>
      <w:bookmarkEnd w:id="31"/>
      <w:bookmarkEnd w:id="32"/>
      <w:bookmarkEnd w:id="33"/>
    </w:p>
    <w:p w:rsidR="001A07A9" w:rsidRDefault="001A07A9" w:rsidP="001A07A9">
      <w:pPr>
        <w:pStyle w:val="Zkladntext"/>
        <w:numPr>
          <w:ilvl w:val="0"/>
          <w:numId w:val="11"/>
        </w:numPr>
        <w:shd w:val="clear" w:color="auto" w:fill="auto"/>
        <w:tabs>
          <w:tab w:val="left" w:pos="721"/>
        </w:tabs>
        <w:spacing w:after="100"/>
        <w:ind w:left="720" w:hanging="720"/>
        <w:jc w:val="both"/>
      </w:pPr>
      <w:r>
        <w:t>Příjemce je povinen v souladu s právními předpisy ČR a EU, zejména ve smyslu čl. 82 Obecného nařízení uchovávat veškeré podklady, komunikaci a účetní, úhradové a daňové doklady související s realizací a udržitelností Projektu, a to nejméně po dobu 10 let následujících po 1. lednu roku následujícího po roce, v němž skončila příjemci udržitelnost Projektu.</w:t>
      </w:r>
    </w:p>
    <w:p w:rsidR="001A07A9" w:rsidRDefault="001A07A9" w:rsidP="001A07A9">
      <w:pPr>
        <w:pStyle w:val="Zkladntext"/>
        <w:numPr>
          <w:ilvl w:val="0"/>
          <w:numId w:val="11"/>
        </w:numPr>
        <w:shd w:val="clear" w:color="auto" w:fill="auto"/>
        <w:tabs>
          <w:tab w:val="left" w:pos="721"/>
        </w:tabs>
        <w:spacing w:after="100"/>
        <w:ind w:left="720" w:hanging="720"/>
        <w:jc w:val="both"/>
      </w:pPr>
      <w:r>
        <w:t>Za porušení povinnosti dle čl.</w:t>
      </w:r>
      <w:hyperlink w:anchor="bookmark28" w:tooltip="Current Document">
        <w:r>
          <w:t xml:space="preserve"> 6.8.1 </w:t>
        </w:r>
      </w:hyperlink>
      <w:r>
        <w:t>spočívající v nezajištění archivace dokumentů stanoví poskytovatel dotace odvod za porušení rozpočtové kázně ve výši 10.000,- Kč za každý jednotlivý případ porušení.</w:t>
      </w:r>
    </w:p>
    <w:p w:rsidR="001A07A9" w:rsidRDefault="001A07A9" w:rsidP="001A07A9">
      <w:pPr>
        <w:pStyle w:val="Zkladntext"/>
        <w:numPr>
          <w:ilvl w:val="0"/>
          <w:numId w:val="11"/>
        </w:numPr>
        <w:shd w:val="clear" w:color="auto" w:fill="auto"/>
        <w:tabs>
          <w:tab w:val="left" w:pos="721"/>
        </w:tabs>
        <w:spacing w:after="100"/>
        <w:ind w:left="720" w:hanging="720"/>
        <w:jc w:val="both"/>
      </w:pPr>
      <w:bookmarkStart w:id="34" w:name="bookmark31"/>
      <w:r>
        <w:t>Příjemce je povinen vést o způsobilých výdajích projektu a použití dotace poskytnuté tímto Rozhodnutím účetnictví dle zákona č. 563/1991 Sb., o účetnictví (dále jen „zákon o účetnictví“) nebo daňovou evidenci podle zákona č. 586/1992 Sb., o daních z příjmů. V případě daňové evidence musí každý doklad splňovat předepsané náležitosti účetního dokladu ve smyslu ust. § 11 odst. 1 (s výjimkou písm. f)) zákona o účetnictví. Všechny doklady v účetnictví nebo daňové evidenci musí být správné, úplné, průkazné, srozumitelné a průběžně chronologicky vedené způsobem zaručujícím jejich trvalost.</w:t>
      </w:r>
      <w:bookmarkEnd w:id="34"/>
    </w:p>
    <w:p w:rsidR="001A07A9" w:rsidRDefault="001A07A9" w:rsidP="001A07A9">
      <w:pPr>
        <w:pStyle w:val="Zkladntext"/>
        <w:numPr>
          <w:ilvl w:val="0"/>
          <w:numId w:val="11"/>
        </w:numPr>
        <w:shd w:val="clear" w:color="auto" w:fill="auto"/>
        <w:tabs>
          <w:tab w:val="left" w:pos="721"/>
        </w:tabs>
        <w:spacing w:after="100"/>
        <w:ind w:left="720" w:hanging="720"/>
        <w:jc w:val="both"/>
      </w:pPr>
      <w:r>
        <w:t>Porušení povinnosti dle čl.</w:t>
      </w:r>
      <w:hyperlink w:anchor="bookmark31" w:tooltip="Current Document">
        <w:r>
          <w:t xml:space="preserve"> 6.8.3 </w:t>
        </w:r>
      </w:hyperlink>
      <w:r>
        <w:t>bude mít za následek stanovení odvodu za porušení rozpočtové kázně ve výši ve výši 10.000,- Kč za každý jednotlivý případ porušení.</w:t>
      </w:r>
    </w:p>
    <w:p w:rsidR="001A07A9" w:rsidRDefault="001A07A9" w:rsidP="001A07A9">
      <w:pPr>
        <w:pStyle w:val="Zkladntext"/>
        <w:numPr>
          <w:ilvl w:val="0"/>
          <w:numId w:val="11"/>
        </w:numPr>
        <w:shd w:val="clear" w:color="auto" w:fill="auto"/>
        <w:tabs>
          <w:tab w:val="left" w:pos="721"/>
        </w:tabs>
        <w:spacing w:after="100"/>
        <w:ind w:left="720" w:hanging="720"/>
        <w:jc w:val="both"/>
        <w:sectPr w:rsidR="001A07A9" w:rsidSect="001A07A9">
          <w:headerReference w:type="default" r:id="rId16"/>
          <w:footerReference w:type="default" r:id="rId17"/>
          <w:pgSz w:w="11900" w:h="16840"/>
          <w:pgMar w:top="1030" w:right="1272" w:bottom="2419" w:left="1296" w:header="0" w:footer="3" w:gutter="0"/>
          <w:pgNumType w:start="1"/>
          <w:cols w:space="720"/>
          <w:noEndnote/>
          <w:docGrid w:linePitch="360"/>
        </w:sectPr>
      </w:pPr>
      <w:bookmarkStart w:id="35" w:name="bookmark32"/>
      <w:r>
        <w:t>Příjemce je povinen účtovat o majetku, příjmech (pokud jsou příjmy uvedeny v rozpočtu v tomto Rozhodnutí) a výdajích souvisejících s Projektem na zvláštních analytických účtech. Účtování příjemce provádí se stejným analytickým znakem u všech aktuálních účtů Projektu, na zvláštních analytických účtech, střediscích, činnostech, zakázkách apod. Případně provádí příjemce účtování jiným vhodným způsobem tak, aby bylo průkazné, zda konkrétní výdaj je či není vykazován na Projekt. Pokud příjemce vede daňovou evidenci, je povinen zajistit podřízenou evidenci, ve které budou rozlišeny výdaje s konkrétní vazbou na Projekt. Příjemce není povinen vést oddělené účetnictví dle tohoto bodu pro paušální náklady, na které byla tímto Rozhodnutím (čl.</w:t>
      </w:r>
      <w:hyperlink w:anchor="bookmark39" w:tooltip="Current Document">
        <w:r>
          <w:t xml:space="preserve"> 6.11)</w:t>
        </w:r>
      </w:hyperlink>
      <w:r>
        <w:t xml:space="preserve"> poskytnuta dotace v souladu s ust. § 14 odst. 6 rozpočtových pravidel.</w:t>
      </w:r>
      <w:bookmarkEnd w:id="35"/>
    </w:p>
    <w:p w:rsidR="001A07A9" w:rsidRDefault="001A07A9" w:rsidP="001A07A9">
      <w:pPr>
        <w:pStyle w:val="Zkladntext"/>
        <w:numPr>
          <w:ilvl w:val="0"/>
          <w:numId w:val="11"/>
        </w:numPr>
        <w:shd w:val="clear" w:color="auto" w:fill="auto"/>
        <w:tabs>
          <w:tab w:val="left" w:pos="720"/>
        </w:tabs>
        <w:spacing w:after="100"/>
        <w:ind w:left="820" w:hanging="820"/>
        <w:jc w:val="both"/>
      </w:pPr>
      <w:r>
        <w:lastRenderedPageBreak/>
        <w:t>Porušení povinnosti dle čl.</w:t>
      </w:r>
      <w:hyperlink w:anchor="bookmark32" w:tooltip="Current Document">
        <w:r>
          <w:t xml:space="preserve"> 6.8.5 </w:t>
        </w:r>
      </w:hyperlink>
      <w:r>
        <w:t xml:space="preserve">bude mít za následek stanovení odvodu za porušení rozpočtové kázně ve výši 100 % poskytnuté dotace na výdaje, u nichž nebyly povinnosti dle čl. </w:t>
      </w:r>
      <w:hyperlink w:anchor="bookmark32" w:tooltip="Current Document">
        <w:r>
          <w:t xml:space="preserve">6.8.5 </w:t>
        </w:r>
      </w:hyperlink>
      <w:r>
        <w:t>splněny.</w:t>
      </w:r>
    </w:p>
    <w:p w:rsidR="001A07A9" w:rsidRDefault="001A07A9" w:rsidP="001A07A9">
      <w:pPr>
        <w:pStyle w:val="Zkladntext"/>
        <w:numPr>
          <w:ilvl w:val="0"/>
          <w:numId w:val="11"/>
        </w:numPr>
        <w:shd w:val="clear" w:color="auto" w:fill="auto"/>
        <w:tabs>
          <w:tab w:val="left" w:pos="720"/>
        </w:tabs>
        <w:spacing w:after="100"/>
        <w:ind w:left="820" w:hanging="820"/>
        <w:jc w:val="both"/>
      </w:pPr>
      <w:bookmarkStart w:id="36" w:name="bookmark33"/>
      <w:r>
        <w:t>Příjemce musí být schopen na vyzvání po dobu realizace a udržitelnosti a dále po dobu uvedenou v čl.</w:t>
      </w:r>
      <w:hyperlink w:anchor="bookmark28" w:tooltip="Current Document">
        <w:r>
          <w:t xml:space="preserve"> 6.8.1 </w:t>
        </w:r>
      </w:hyperlink>
      <w:r>
        <w:t>předložit poskytovateli dotace, kontrolním a auditním orgánům daňovou evidenci či účetnictví Projektu. Příjemce musí poskytovateli dotace, kontrolním a auditním orgánům rovněž poskytnout úplné a pravdivé informace a doklady související s realizací Projektu, musí jim umožnit přístup k nemovitým věcem a vstup do nemovitých věcí, v nichž probíhá/probíhala realizace Projektu, k podpořené infrastruktuře a majetku a musí jim poskytnout potřebnou součinnost.</w:t>
      </w:r>
      <w:bookmarkEnd w:id="36"/>
    </w:p>
    <w:p w:rsidR="001A07A9" w:rsidRDefault="001A07A9" w:rsidP="001A07A9">
      <w:pPr>
        <w:pStyle w:val="Zkladntext"/>
        <w:numPr>
          <w:ilvl w:val="0"/>
          <w:numId w:val="11"/>
        </w:numPr>
        <w:shd w:val="clear" w:color="auto" w:fill="auto"/>
        <w:tabs>
          <w:tab w:val="left" w:pos="720"/>
        </w:tabs>
        <w:spacing w:after="100"/>
        <w:ind w:left="820" w:hanging="820"/>
        <w:jc w:val="both"/>
      </w:pPr>
      <w:r>
        <w:t>Porušení povinnosti dle čl.</w:t>
      </w:r>
      <w:hyperlink w:anchor="bookmark33" w:tooltip="Current Document">
        <w:r>
          <w:t xml:space="preserve"> 6.8.7 </w:t>
        </w:r>
      </w:hyperlink>
      <w:r>
        <w:t xml:space="preserve">bude mít za následek stanovení odvodu za porušení rozpočtové kázně ve výši 100 % poskytnuté dotace na výdaje, u nichž nebyly povinnosti dle čl. </w:t>
      </w:r>
      <w:hyperlink w:anchor="bookmark33" w:tooltip="Current Document">
        <w:r>
          <w:t xml:space="preserve">6.8.7 </w:t>
        </w:r>
      </w:hyperlink>
      <w:r>
        <w:t>splněny.</w:t>
      </w:r>
    </w:p>
    <w:p w:rsidR="001A07A9" w:rsidRDefault="001A07A9" w:rsidP="001A07A9">
      <w:pPr>
        <w:pStyle w:val="Zkladntext"/>
        <w:numPr>
          <w:ilvl w:val="0"/>
          <w:numId w:val="11"/>
        </w:numPr>
        <w:shd w:val="clear" w:color="auto" w:fill="auto"/>
        <w:tabs>
          <w:tab w:val="left" w:pos="720"/>
        </w:tabs>
        <w:spacing w:after="100"/>
        <w:ind w:left="820" w:hanging="820"/>
        <w:jc w:val="both"/>
      </w:pPr>
      <w:r>
        <w:t>Příjemce je povinen prokazatelně své dodavatele informovat o skutečnosti, že jsou osobou povinnou spolupůsobit při výkonu finanční kontroly v souladu se zákonem č. 320/2001 Sb., o finanční kontrole ve veřejné správě a o změně některých zákonů, ve znění pozdějších předpisů, která musí umožnit kontrolu plnění podmínek poskytnutí dotace všem relevantním orgánům, zejména poskytovateli dotace, zprostředkujícímu subjektu, Ministerstvu financí, Nejvyššímu kontrolnímu úřadu, a dále i orgánům Evropské unie - zejména Evropské komisi, Evropskému účetnímu dvoru a OLAF. Jedná se o povinnost dle ust. § 14 odst. 4 písm. i) rozpočtových pravidel.</w:t>
      </w:r>
    </w:p>
    <w:p w:rsidR="001A07A9" w:rsidRDefault="001A07A9" w:rsidP="001A07A9">
      <w:pPr>
        <w:pStyle w:val="Heading30"/>
        <w:keepNext/>
        <w:keepLines/>
        <w:numPr>
          <w:ilvl w:val="0"/>
          <w:numId w:val="10"/>
        </w:numPr>
        <w:shd w:val="clear" w:color="auto" w:fill="auto"/>
        <w:tabs>
          <w:tab w:val="left" w:pos="625"/>
        </w:tabs>
        <w:spacing w:after="100"/>
      </w:pPr>
      <w:bookmarkStart w:id="37" w:name="bookmark34"/>
      <w:bookmarkStart w:id="38" w:name="bookmark35"/>
      <w:r>
        <w:t>Čerpání dotace</w:t>
      </w:r>
      <w:bookmarkEnd w:id="37"/>
      <w:bookmarkEnd w:id="38"/>
    </w:p>
    <w:p w:rsidR="001A07A9" w:rsidRDefault="001A07A9" w:rsidP="001A07A9">
      <w:pPr>
        <w:pStyle w:val="Zkladntext"/>
        <w:numPr>
          <w:ilvl w:val="0"/>
          <w:numId w:val="12"/>
        </w:numPr>
        <w:shd w:val="clear" w:color="auto" w:fill="auto"/>
        <w:tabs>
          <w:tab w:val="left" w:pos="720"/>
        </w:tabs>
        <w:spacing w:after="100"/>
        <w:ind w:left="820" w:hanging="820"/>
        <w:jc w:val="both"/>
      </w:pPr>
      <w:r>
        <w:t>Dotace bude příjemci vyplácena na základě poskytovatelem dotace schválených a příjemcem řádně prokázaných uskutečněných způsobilých výdajů Projektu, které jsou v souladu se schváleným rozpočtem Projektu a doloženy v žádosti o platbu.</w:t>
      </w:r>
    </w:p>
    <w:p w:rsidR="001A07A9" w:rsidRDefault="001A07A9" w:rsidP="001A07A9">
      <w:pPr>
        <w:pStyle w:val="Zkladntext"/>
        <w:numPr>
          <w:ilvl w:val="0"/>
          <w:numId w:val="12"/>
        </w:numPr>
        <w:shd w:val="clear" w:color="auto" w:fill="auto"/>
        <w:tabs>
          <w:tab w:val="left" w:pos="720"/>
        </w:tabs>
        <w:spacing w:after="100"/>
        <w:ind w:left="820" w:hanging="820"/>
        <w:jc w:val="both"/>
      </w:pPr>
      <w:bookmarkStart w:id="39" w:name="bookmark36"/>
      <w:r>
        <w:t>Na stejné způsobilé výdaje Projektu podpořeného z OP TAK nesmí příjemce čerpat jinou veřejnou podporu podle čl. 107 odst. 1 Smlouvy o fungování Evropské unie, podporu z prostředků Unie, které centrálně spravují orgány, agentury, společné podniky a jiné subjekty Unie a která není přímo ani nepřímo pod kontrolou členských států, a ani podporu v režimu de minimis. Příjemce rovněž nesmí na způsobilé výdaje Projektu čerpat podporu z jiného fondu nebo nástroje Evropské unie, případně téhož fondu, ani jiného programu ve smyslu čl. 63 odst. 9 Obecného nařízení.</w:t>
      </w:r>
      <w:bookmarkEnd w:id="39"/>
    </w:p>
    <w:p w:rsidR="001A07A9" w:rsidRDefault="001A07A9" w:rsidP="001A07A9">
      <w:pPr>
        <w:pStyle w:val="Zkladntext"/>
        <w:numPr>
          <w:ilvl w:val="0"/>
          <w:numId w:val="12"/>
        </w:numPr>
        <w:shd w:val="clear" w:color="auto" w:fill="auto"/>
        <w:tabs>
          <w:tab w:val="left" w:pos="720"/>
        </w:tabs>
        <w:spacing w:after="100"/>
      </w:pPr>
      <w:r>
        <w:t>Výdaj, u kterého bude zjištěn souběh podpor dle čl.</w:t>
      </w:r>
      <w:hyperlink w:anchor="bookmark36" w:tooltip="Current Document">
        <w:r>
          <w:t xml:space="preserve"> 6.9.2,</w:t>
        </w:r>
      </w:hyperlink>
      <w:r>
        <w:t xml:space="preserve"> je považován za nezpůsobilý výdaj.</w:t>
      </w:r>
    </w:p>
    <w:p w:rsidR="001A07A9" w:rsidRDefault="001A07A9" w:rsidP="001A07A9">
      <w:pPr>
        <w:pStyle w:val="Zkladntext"/>
        <w:numPr>
          <w:ilvl w:val="0"/>
          <w:numId w:val="12"/>
        </w:numPr>
        <w:shd w:val="clear" w:color="auto" w:fill="auto"/>
        <w:tabs>
          <w:tab w:val="left" w:pos="720"/>
        </w:tabs>
        <w:spacing w:after="100"/>
        <w:ind w:left="820" w:hanging="820"/>
        <w:jc w:val="both"/>
      </w:pPr>
      <w:r>
        <w:t>Příjemce je povinen předkládat žádost/i o platbu elektronicky prostřednictvím MS2021+ a postupovat dle pokynů uvedených v tomto informačním systému.</w:t>
      </w:r>
    </w:p>
    <w:p w:rsidR="001A07A9" w:rsidRDefault="001A07A9" w:rsidP="001A07A9">
      <w:pPr>
        <w:pStyle w:val="Zkladntext"/>
        <w:numPr>
          <w:ilvl w:val="0"/>
          <w:numId w:val="12"/>
        </w:numPr>
        <w:shd w:val="clear" w:color="auto" w:fill="auto"/>
        <w:tabs>
          <w:tab w:val="left" w:pos="720"/>
        </w:tabs>
        <w:spacing w:after="100"/>
        <w:ind w:left="820" w:hanging="820"/>
        <w:jc w:val="both"/>
      </w:pPr>
      <w:bookmarkStart w:id="40" w:name="bookmark37"/>
      <w:r>
        <w:t>Příjemce musí podat závěrečnou žádost o platbu do 2 měsíců ode dne předpokládaného ukončení Projektu uvedeného v čl.</w:t>
      </w:r>
      <w:hyperlink w:anchor="bookmark4" w:tooltip="Current Document">
        <w:r>
          <w:t xml:space="preserve"> 3.4.</w:t>
        </w:r>
      </w:hyperlink>
      <w:r>
        <w:t xml:space="preserve"> V případě, že toto Rozhodnutí bylo vydáno po datu předpokládaného ukončení Projektu, počíná lhůta 2 měsíců dle předchozí věty běžet dnem právní moci tohoto Rozhodnutí.</w:t>
      </w:r>
      <w:bookmarkEnd w:id="40"/>
    </w:p>
    <w:p w:rsidR="001A07A9" w:rsidRDefault="001A07A9" w:rsidP="001A07A9">
      <w:pPr>
        <w:pStyle w:val="Zkladntext"/>
        <w:numPr>
          <w:ilvl w:val="0"/>
          <w:numId w:val="12"/>
        </w:numPr>
        <w:shd w:val="clear" w:color="auto" w:fill="auto"/>
        <w:tabs>
          <w:tab w:val="left" w:pos="720"/>
        </w:tabs>
        <w:spacing w:after="660"/>
        <w:ind w:left="820" w:hanging="820"/>
        <w:jc w:val="both"/>
      </w:pPr>
      <w:r>
        <w:t>Porušení povinnosti uvedené v čl.</w:t>
      </w:r>
      <w:hyperlink w:anchor="bookmark37" w:tooltip="Current Document">
        <w:r>
          <w:t xml:space="preserve"> 6.9.5 </w:t>
        </w:r>
      </w:hyperlink>
      <w:r>
        <w:t>vzniklé z důvodů na straně příjemce bude mít za následek stanovení odvodu za porušení rozpočtové kázně ve výši 1 % z poskytnuté dotace za každý započatý měsíc prodlení. Od započetí šestého měsíce prodlení příjemce s podáním závěrečné žádosti o platbu činí odvod za porušení rozpočtové kázně 100 % poskytnuté dotace.</w:t>
      </w:r>
    </w:p>
    <w:p w:rsidR="001A07A9" w:rsidRDefault="001A07A9" w:rsidP="001A07A9">
      <w:pPr>
        <w:pStyle w:val="Zkladntext"/>
        <w:shd w:val="clear" w:color="auto" w:fill="auto"/>
        <w:jc w:val="center"/>
        <w:sectPr w:rsidR="001A07A9" w:rsidSect="001A07A9">
          <w:pgSz w:w="11900" w:h="16840"/>
          <w:pgMar w:top="1494" w:right="982" w:bottom="1628" w:left="1266" w:header="0" w:footer="3" w:gutter="0"/>
          <w:cols w:space="720"/>
          <w:noEndnote/>
          <w:docGrid w:linePitch="360"/>
        </w:sectPr>
      </w:pPr>
      <w:r>
        <w:t>10</w:t>
      </w:r>
    </w:p>
    <w:p w:rsidR="001A07A9" w:rsidRDefault="001A07A9" w:rsidP="001A07A9">
      <w:pPr>
        <w:pStyle w:val="Zkladntext"/>
        <w:numPr>
          <w:ilvl w:val="0"/>
          <w:numId w:val="12"/>
        </w:numPr>
        <w:shd w:val="clear" w:color="auto" w:fill="auto"/>
        <w:tabs>
          <w:tab w:val="left" w:pos="865"/>
        </w:tabs>
        <w:spacing w:after="100"/>
        <w:ind w:left="820" w:hanging="680"/>
        <w:jc w:val="both"/>
      </w:pPr>
      <w:r>
        <w:lastRenderedPageBreak/>
        <w:t>Příjemce je povinen postupovat při podání žádosti o platbu a jejích příloh rovněž dle pokynů zprostředkujícího subjektu a poskytovatele dotace a dle jejich pokynů a v souladu s tímto Rozhodnutím a jeho přílohami případně žádost o platbu upravit. Příjemce je zejména povinen odstranit z žádosti o platbu všechny nezpůsobilé výdaje, řádně doložit všechny způsobilé výdaje a upravit ostatní nedostatky, na které ho upozorní projektový manažer zprostředkujícího subjektu, a to ve lhůtě stanovené zprostředkujícím subjektem. Lhůta k opravě žádosti o platbu může být prodloužena.</w:t>
      </w:r>
    </w:p>
    <w:p w:rsidR="001A07A9" w:rsidRDefault="001A07A9" w:rsidP="001A07A9">
      <w:pPr>
        <w:pStyle w:val="Zkladntext"/>
        <w:shd w:val="clear" w:color="auto" w:fill="auto"/>
      </w:pPr>
      <w:bookmarkStart w:id="41" w:name="bookmark38"/>
      <w:r>
        <w:t xml:space="preserve">6.10. </w:t>
      </w:r>
      <w:r>
        <w:rPr>
          <w:b/>
          <w:bCs/>
        </w:rPr>
        <w:t>Indikátory</w:t>
      </w:r>
      <w:bookmarkEnd w:id="41"/>
    </w:p>
    <w:p w:rsidR="001A07A9" w:rsidRDefault="001A07A9" w:rsidP="001A07A9">
      <w:pPr>
        <w:pStyle w:val="Zkladntext"/>
        <w:numPr>
          <w:ilvl w:val="0"/>
          <w:numId w:val="13"/>
        </w:numPr>
        <w:shd w:val="clear" w:color="auto" w:fill="auto"/>
        <w:tabs>
          <w:tab w:val="left" w:pos="875"/>
        </w:tabs>
        <w:spacing w:after="100"/>
        <w:ind w:left="820" w:hanging="680"/>
      </w:pPr>
      <w:r>
        <w:t>Příjemce je povinen splnit indikátor/y povinný/é k naplnění (dále jen „indikátor“), a to k datu dle čl.</w:t>
      </w:r>
      <w:hyperlink w:anchor="bookmark4" w:tooltip="Current Document">
        <w:r>
          <w:t xml:space="preserve"> 3.4,</w:t>
        </w:r>
      </w:hyperlink>
      <w:r>
        <w:t xml:space="preserve"> nestanoví-li tabulka níže jinou lhůtu pro jejich splnění. Dosažení splnění cílové hodnoty indikátoru je příjemce povinen doložit.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24"/>
        <w:gridCol w:w="3178"/>
        <w:gridCol w:w="1651"/>
        <w:gridCol w:w="1224"/>
      </w:tblGrid>
      <w:tr w:rsidR="001A07A9" w:rsidTr="00FC03C9">
        <w:trPr>
          <w:trHeight w:hRule="exact" w:val="1723"/>
          <w:jc w:val="center"/>
        </w:trPr>
        <w:tc>
          <w:tcPr>
            <w:tcW w:w="3024" w:type="dxa"/>
            <w:tcBorders>
              <w:top w:val="single" w:sz="4" w:space="0" w:color="auto"/>
              <w:left w:val="single" w:sz="4" w:space="0" w:color="auto"/>
            </w:tcBorders>
            <w:shd w:val="clear" w:color="auto" w:fill="FFFFFF"/>
          </w:tcPr>
          <w:p w:rsidR="001A07A9" w:rsidRDefault="001A07A9" w:rsidP="00FC03C9">
            <w:pPr>
              <w:pStyle w:val="Other0"/>
              <w:shd w:val="clear" w:color="auto" w:fill="auto"/>
              <w:rPr>
                <w:sz w:val="20"/>
                <w:szCs w:val="20"/>
              </w:rPr>
            </w:pPr>
            <w:r>
              <w:rPr>
                <w:sz w:val="20"/>
                <w:szCs w:val="20"/>
              </w:rPr>
              <w:t>Číslo a název indikátoru</w:t>
            </w:r>
          </w:p>
        </w:tc>
        <w:tc>
          <w:tcPr>
            <w:tcW w:w="3178" w:type="dxa"/>
            <w:tcBorders>
              <w:top w:val="single" w:sz="4" w:space="0" w:color="auto"/>
              <w:left w:val="single" w:sz="4" w:space="0" w:color="auto"/>
            </w:tcBorders>
            <w:shd w:val="clear" w:color="auto" w:fill="FFFFFF"/>
          </w:tcPr>
          <w:p w:rsidR="001A07A9" w:rsidRDefault="001A07A9" w:rsidP="00FC03C9">
            <w:pPr>
              <w:pStyle w:val="Other0"/>
              <w:shd w:val="clear" w:color="auto" w:fill="auto"/>
              <w:rPr>
                <w:sz w:val="20"/>
                <w:szCs w:val="20"/>
              </w:rPr>
            </w:pPr>
            <w:r>
              <w:rPr>
                <w:sz w:val="20"/>
                <w:szCs w:val="20"/>
              </w:rPr>
              <w:t>Jednotky</w:t>
            </w:r>
          </w:p>
        </w:tc>
        <w:tc>
          <w:tcPr>
            <w:tcW w:w="1651" w:type="dxa"/>
            <w:tcBorders>
              <w:top w:val="single" w:sz="4" w:space="0" w:color="auto"/>
              <w:left w:val="single" w:sz="4" w:space="0" w:color="auto"/>
            </w:tcBorders>
            <w:shd w:val="clear" w:color="auto" w:fill="FFFFFF"/>
            <w:vAlign w:val="bottom"/>
          </w:tcPr>
          <w:p w:rsidR="001A07A9" w:rsidRDefault="001A07A9" w:rsidP="00FC03C9">
            <w:pPr>
              <w:pStyle w:val="Other0"/>
              <w:shd w:val="clear" w:color="auto" w:fill="auto"/>
              <w:rPr>
                <w:sz w:val="20"/>
                <w:szCs w:val="20"/>
              </w:rPr>
            </w:pPr>
            <w:r>
              <w:rPr>
                <w:sz w:val="20"/>
                <w:szCs w:val="20"/>
              </w:rPr>
              <w:t>Datum cílové hodnoty (pokud je jiné než datum předpokládaného ukončení</w:t>
            </w:r>
          </w:p>
          <w:p w:rsidR="001A07A9" w:rsidRDefault="001A07A9" w:rsidP="00FC03C9">
            <w:pPr>
              <w:pStyle w:val="Other0"/>
              <w:shd w:val="clear" w:color="auto" w:fill="auto"/>
              <w:rPr>
                <w:sz w:val="20"/>
                <w:szCs w:val="20"/>
              </w:rPr>
            </w:pPr>
            <w:r>
              <w:rPr>
                <w:sz w:val="20"/>
                <w:szCs w:val="20"/>
              </w:rPr>
              <w:t>Projektu uvedené</w:t>
            </w:r>
          </w:p>
          <w:p w:rsidR="001A07A9" w:rsidRDefault="001A07A9" w:rsidP="00FC03C9">
            <w:pPr>
              <w:pStyle w:val="Other0"/>
              <w:shd w:val="clear" w:color="auto" w:fill="auto"/>
              <w:rPr>
                <w:sz w:val="20"/>
                <w:szCs w:val="20"/>
              </w:rPr>
            </w:pPr>
            <w:r>
              <w:rPr>
                <w:sz w:val="20"/>
                <w:szCs w:val="20"/>
              </w:rPr>
              <w:t>v čl.</w:t>
            </w:r>
            <w:hyperlink w:anchor="bookmark4" w:tooltip="Current Document">
              <w:r>
                <w:rPr>
                  <w:sz w:val="20"/>
                  <w:szCs w:val="20"/>
                </w:rPr>
                <w:t xml:space="preserve"> 3.4)</w:t>
              </w:r>
            </w:hyperlink>
          </w:p>
        </w:tc>
        <w:tc>
          <w:tcPr>
            <w:tcW w:w="1224" w:type="dxa"/>
            <w:tcBorders>
              <w:top w:val="single" w:sz="4" w:space="0" w:color="auto"/>
              <w:left w:val="single" w:sz="4" w:space="0" w:color="auto"/>
              <w:right w:val="single" w:sz="4" w:space="0" w:color="auto"/>
            </w:tcBorders>
            <w:shd w:val="clear" w:color="auto" w:fill="FFFFFF"/>
          </w:tcPr>
          <w:p w:rsidR="001A07A9" w:rsidRDefault="001A07A9" w:rsidP="00FC03C9">
            <w:pPr>
              <w:pStyle w:val="Other0"/>
              <w:shd w:val="clear" w:color="auto" w:fill="auto"/>
              <w:rPr>
                <w:sz w:val="20"/>
                <w:szCs w:val="20"/>
              </w:rPr>
            </w:pPr>
            <w:r>
              <w:rPr>
                <w:sz w:val="20"/>
                <w:szCs w:val="20"/>
              </w:rPr>
              <w:t>Cílová hodnota</w:t>
            </w:r>
          </w:p>
        </w:tc>
      </w:tr>
      <w:tr w:rsidR="001A07A9" w:rsidTr="00FC03C9">
        <w:trPr>
          <w:trHeight w:hRule="exact" w:val="994"/>
          <w:jc w:val="center"/>
        </w:trPr>
        <w:tc>
          <w:tcPr>
            <w:tcW w:w="3024" w:type="dxa"/>
            <w:tcBorders>
              <w:top w:val="single" w:sz="4" w:space="0" w:color="auto"/>
              <w:left w:val="single" w:sz="4" w:space="0" w:color="auto"/>
              <w:bottom w:val="single" w:sz="4" w:space="0" w:color="auto"/>
            </w:tcBorders>
            <w:shd w:val="clear" w:color="auto" w:fill="FFFFFF"/>
          </w:tcPr>
          <w:p w:rsidR="001A07A9" w:rsidRDefault="001A07A9" w:rsidP="00FC03C9">
            <w:pPr>
              <w:rPr>
                <w:sz w:val="10"/>
                <w:szCs w:val="10"/>
              </w:rPr>
            </w:pPr>
          </w:p>
        </w:tc>
        <w:tc>
          <w:tcPr>
            <w:tcW w:w="3178" w:type="dxa"/>
            <w:tcBorders>
              <w:top w:val="single" w:sz="4" w:space="0" w:color="auto"/>
              <w:left w:val="single" w:sz="4" w:space="0" w:color="auto"/>
              <w:bottom w:val="single" w:sz="4" w:space="0" w:color="auto"/>
            </w:tcBorders>
            <w:shd w:val="clear" w:color="auto" w:fill="FFFFFF"/>
          </w:tcPr>
          <w:p w:rsidR="001A07A9" w:rsidRDefault="001A07A9" w:rsidP="00FC03C9">
            <w:pPr>
              <w:pStyle w:val="Other0"/>
              <w:shd w:val="clear" w:color="auto" w:fill="auto"/>
              <w:rPr>
                <w:sz w:val="11"/>
                <w:szCs w:val="11"/>
              </w:rPr>
            </w:pPr>
            <w:r>
              <w:rPr>
                <w:i/>
                <w:iCs/>
                <w:sz w:val="11"/>
                <w:szCs w:val="11"/>
              </w:rPr>
              <w:t>3</w:t>
            </w:r>
          </w:p>
        </w:tc>
        <w:tc>
          <w:tcPr>
            <w:tcW w:w="1651" w:type="dxa"/>
            <w:tcBorders>
              <w:top w:val="single" w:sz="4" w:space="0" w:color="auto"/>
              <w:left w:val="single" w:sz="4" w:space="0" w:color="auto"/>
              <w:bottom w:val="single" w:sz="4" w:space="0" w:color="auto"/>
            </w:tcBorders>
            <w:shd w:val="clear" w:color="auto" w:fill="FFFFFF"/>
          </w:tcPr>
          <w:p w:rsidR="001A07A9" w:rsidRDefault="001A07A9" w:rsidP="00FC03C9">
            <w:pPr>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1A07A9" w:rsidRDefault="001A07A9" w:rsidP="00FC03C9">
            <w:pPr>
              <w:pStyle w:val="Other0"/>
              <w:shd w:val="clear" w:color="auto" w:fill="auto"/>
              <w:rPr>
                <w:sz w:val="20"/>
                <w:szCs w:val="20"/>
              </w:rPr>
            </w:pPr>
            <w:r>
              <w:rPr>
                <w:b/>
                <w:bCs/>
                <w:sz w:val="20"/>
                <w:szCs w:val="20"/>
              </w:rPr>
              <w:t>Chyba!</w:t>
            </w:r>
          </w:p>
          <w:p w:rsidR="001A07A9" w:rsidRDefault="001A07A9" w:rsidP="00FC03C9">
            <w:pPr>
              <w:pStyle w:val="Other0"/>
              <w:shd w:val="clear" w:color="auto" w:fill="auto"/>
              <w:rPr>
                <w:sz w:val="20"/>
                <w:szCs w:val="20"/>
              </w:rPr>
            </w:pPr>
            <w:r>
              <w:rPr>
                <w:b/>
                <w:bCs/>
                <w:sz w:val="20"/>
                <w:szCs w:val="20"/>
              </w:rPr>
              <w:t>Záložka není definována.</w:t>
            </w:r>
          </w:p>
        </w:tc>
      </w:tr>
    </w:tbl>
    <w:p w:rsidR="001A07A9" w:rsidRDefault="001A07A9" w:rsidP="001A07A9">
      <w:pPr>
        <w:spacing w:after="99" w:line="1" w:lineRule="exact"/>
      </w:pPr>
    </w:p>
    <w:p w:rsidR="001A07A9" w:rsidRDefault="001A07A9" w:rsidP="001A07A9">
      <w:pPr>
        <w:pStyle w:val="Zkladntext"/>
        <w:numPr>
          <w:ilvl w:val="0"/>
          <w:numId w:val="13"/>
        </w:numPr>
        <w:shd w:val="clear" w:color="auto" w:fill="auto"/>
        <w:tabs>
          <w:tab w:val="left" w:pos="875"/>
        </w:tabs>
        <w:spacing w:after="100"/>
        <w:ind w:left="820" w:hanging="680"/>
      </w:pPr>
      <w:r>
        <w:t>Nedodržení povinnosti dle čl.</w:t>
      </w:r>
      <w:hyperlink w:anchor="bookmark38" w:tooltip="Current Document">
        <w:r>
          <w:t xml:space="preserve"> 6.10.1 </w:t>
        </w:r>
      </w:hyperlink>
      <w:r>
        <w:t>(tj. nesplnění indikátoru) bude mít za následek stanovení odvodu za porušení rozpočtové kázně ve výši poskytnuté dotace nebo její části odpovídající procentuální míře naplnění indikátoru tvořeného výstupy dle této tabulky níže:</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36"/>
        <w:gridCol w:w="4541"/>
      </w:tblGrid>
      <w:tr w:rsidR="001A07A9" w:rsidTr="00FC03C9">
        <w:trPr>
          <w:trHeight w:hRule="exact" w:val="504"/>
          <w:jc w:val="center"/>
        </w:trPr>
        <w:tc>
          <w:tcPr>
            <w:tcW w:w="4536" w:type="dxa"/>
            <w:tcBorders>
              <w:top w:val="single" w:sz="4" w:space="0" w:color="auto"/>
              <w:left w:val="single" w:sz="4" w:space="0" w:color="auto"/>
            </w:tcBorders>
            <w:shd w:val="clear" w:color="auto" w:fill="FFFFFF"/>
            <w:vAlign w:val="bottom"/>
          </w:tcPr>
          <w:p w:rsidR="001A07A9" w:rsidRDefault="001A07A9" w:rsidP="00FC03C9">
            <w:pPr>
              <w:pStyle w:val="Other0"/>
              <w:shd w:val="clear" w:color="auto" w:fill="auto"/>
              <w:spacing w:line="233" w:lineRule="auto"/>
              <w:rPr>
                <w:sz w:val="20"/>
                <w:szCs w:val="20"/>
              </w:rPr>
            </w:pPr>
            <w:r>
              <w:rPr>
                <w:sz w:val="20"/>
                <w:szCs w:val="20"/>
              </w:rPr>
              <w:t>Míra naplnění výstupu (zaokrouhluje se matematicky na celá čísla)</w:t>
            </w:r>
          </w:p>
        </w:tc>
        <w:tc>
          <w:tcPr>
            <w:tcW w:w="4541" w:type="dxa"/>
            <w:tcBorders>
              <w:top w:val="single" w:sz="4" w:space="0" w:color="auto"/>
              <w:left w:val="single" w:sz="4" w:space="0" w:color="auto"/>
              <w:right w:val="single" w:sz="4" w:space="0" w:color="auto"/>
            </w:tcBorders>
            <w:shd w:val="clear" w:color="auto" w:fill="FFFFFF"/>
            <w:vAlign w:val="bottom"/>
          </w:tcPr>
          <w:p w:rsidR="001A07A9" w:rsidRDefault="001A07A9" w:rsidP="00FC03C9">
            <w:pPr>
              <w:pStyle w:val="Other0"/>
              <w:shd w:val="clear" w:color="auto" w:fill="auto"/>
              <w:spacing w:line="233" w:lineRule="auto"/>
              <w:rPr>
                <w:sz w:val="20"/>
                <w:szCs w:val="20"/>
              </w:rPr>
            </w:pPr>
            <w:r>
              <w:rPr>
                <w:sz w:val="20"/>
                <w:szCs w:val="20"/>
              </w:rPr>
              <w:t>Výše odvodu za porušení rozpočtové kázně z poskytnuté dotace</w:t>
            </w:r>
          </w:p>
        </w:tc>
      </w:tr>
      <w:tr w:rsidR="001A07A9" w:rsidTr="00FC03C9">
        <w:trPr>
          <w:trHeight w:hRule="exact" w:val="254"/>
          <w:jc w:val="center"/>
        </w:trPr>
        <w:tc>
          <w:tcPr>
            <w:tcW w:w="4536" w:type="dxa"/>
            <w:tcBorders>
              <w:top w:val="single" w:sz="4" w:space="0" w:color="auto"/>
              <w:left w:val="single" w:sz="4" w:space="0" w:color="auto"/>
            </w:tcBorders>
            <w:shd w:val="clear" w:color="auto" w:fill="FFFFFF"/>
            <w:vAlign w:val="bottom"/>
          </w:tcPr>
          <w:p w:rsidR="001A07A9" w:rsidRDefault="001A07A9" w:rsidP="00FC03C9">
            <w:pPr>
              <w:pStyle w:val="Other0"/>
              <w:shd w:val="clear" w:color="auto" w:fill="auto"/>
              <w:rPr>
                <w:sz w:val="20"/>
                <w:szCs w:val="20"/>
              </w:rPr>
            </w:pPr>
            <w:r>
              <w:rPr>
                <w:sz w:val="20"/>
                <w:szCs w:val="20"/>
              </w:rPr>
              <w:t>96 - 100 %</w:t>
            </w:r>
          </w:p>
        </w:tc>
        <w:tc>
          <w:tcPr>
            <w:tcW w:w="4541" w:type="dxa"/>
            <w:tcBorders>
              <w:top w:val="single" w:sz="4" w:space="0" w:color="auto"/>
              <w:left w:val="single" w:sz="4" w:space="0" w:color="auto"/>
              <w:right w:val="single" w:sz="4" w:space="0" w:color="auto"/>
            </w:tcBorders>
            <w:shd w:val="clear" w:color="auto" w:fill="FFFFFF"/>
            <w:vAlign w:val="bottom"/>
          </w:tcPr>
          <w:p w:rsidR="001A07A9" w:rsidRDefault="001A07A9" w:rsidP="00FC03C9">
            <w:pPr>
              <w:pStyle w:val="Other0"/>
              <w:shd w:val="clear" w:color="auto" w:fill="auto"/>
              <w:rPr>
                <w:sz w:val="20"/>
                <w:szCs w:val="20"/>
              </w:rPr>
            </w:pPr>
            <w:r>
              <w:rPr>
                <w:sz w:val="20"/>
                <w:szCs w:val="20"/>
              </w:rPr>
              <w:t>0 %, výstup se považuje za splněný</w:t>
            </w:r>
          </w:p>
        </w:tc>
      </w:tr>
      <w:tr w:rsidR="001A07A9" w:rsidTr="00FC03C9">
        <w:trPr>
          <w:trHeight w:hRule="exact" w:val="254"/>
          <w:jc w:val="center"/>
        </w:trPr>
        <w:tc>
          <w:tcPr>
            <w:tcW w:w="4536" w:type="dxa"/>
            <w:tcBorders>
              <w:top w:val="single" w:sz="4" w:space="0" w:color="auto"/>
              <w:left w:val="single" w:sz="4" w:space="0" w:color="auto"/>
            </w:tcBorders>
            <w:shd w:val="clear" w:color="auto" w:fill="FFFFFF"/>
            <w:vAlign w:val="center"/>
          </w:tcPr>
          <w:p w:rsidR="001A07A9" w:rsidRDefault="001A07A9" w:rsidP="00FC03C9">
            <w:pPr>
              <w:pStyle w:val="Other0"/>
              <w:shd w:val="clear" w:color="auto" w:fill="auto"/>
              <w:rPr>
                <w:sz w:val="20"/>
                <w:szCs w:val="20"/>
              </w:rPr>
            </w:pPr>
            <w:r>
              <w:rPr>
                <w:sz w:val="20"/>
                <w:szCs w:val="20"/>
              </w:rPr>
              <w:t>85 - 95 %</w:t>
            </w:r>
          </w:p>
        </w:tc>
        <w:tc>
          <w:tcPr>
            <w:tcW w:w="4541" w:type="dxa"/>
            <w:tcBorders>
              <w:top w:val="single" w:sz="4" w:space="0" w:color="auto"/>
              <w:left w:val="single" w:sz="4" w:space="0" w:color="auto"/>
              <w:right w:val="single" w:sz="4" w:space="0" w:color="auto"/>
            </w:tcBorders>
            <w:shd w:val="clear" w:color="auto" w:fill="FFFFFF"/>
            <w:vAlign w:val="center"/>
          </w:tcPr>
          <w:p w:rsidR="001A07A9" w:rsidRDefault="001A07A9" w:rsidP="00FC03C9">
            <w:pPr>
              <w:pStyle w:val="Other0"/>
              <w:shd w:val="clear" w:color="auto" w:fill="auto"/>
              <w:rPr>
                <w:sz w:val="20"/>
                <w:szCs w:val="20"/>
              </w:rPr>
            </w:pPr>
            <w:r>
              <w:rPr>
                <w:sz w:val="20"/>
                <w:szCs w:val="20"/>
              </w:rPr>
              <w:t>10 %</w:t>
            </w:r>
          </w:p>
        </w:tc>
      </w:tr>
      <w:tr w:rsidR="001A07A9" w:rsidTr="00FC03C9">
        <w:trPr>
          <w:trHeight w:hRule="exact" w:val="254"/>
          <w:jc w:val="center"/>
        </w:trPr>
        <w:tc>
          <w:tcPr>
            <w:tcW w:w="4536" w:type="dxa"/>
            <w:tcBorders>
              <w:top w:val="single" w:sz="4" w:space="0" w:color="auto"/>
              <w:left w:val="single" w:sz="4" w:space="0" w:color="auto"/>
            </w:tcBorders>
            <w:shd w:val="clear" w:color="auto" w:fill="FFFFFF"/>
            <w:vAlign w:val="bottom"/>
          </w:tcPr>
          <w:p w:rsidR="001A07A9" w:rsidRDefault="001A07A9" w:rsidP="00FC03C9">
            <w:pPr>
              <w:pStyle w:val="Other0"/>
              <w:shd w:val="clear" w:color="auto" w:fill="auto"/>
              <w:rPr>
                <w:sz w:val="20"/>
                <w:szCs w:val="20"/>
              </w:rPr>
            </w:pPr>
            <w:r>
              <w:rPr>
                <w:sz w:val="20"/>
                <w:szCs w:val="20"/>
              </w:rPr>
              <w:t>75 - 84 %</w:t>
            </w:r>
          </w:p>
        </w:tc>
        <w:tc>
          <w:tcPr>
            <w:tcW w:w="4541" w:type="dxa"/>
            <w:tcBorders>
              <w:top w:val="single" w:sz="4" w:space="0" w:color="auto"/>
              <w:left w:val="single" w:sz="4" w:space="0" w:color="auto"/>
              <w:right w:val="single" w:sz="4" w:space="0" w:color="auto"/>
            </w:tcBorders>
            <w:shd w:val="clear" w:color="auto" w:fill="FFFFFF"/>
            <w:vAlign w:val="bottom"/>
          </w:tcPr>
          <w:p w:rsidR="001A07A9" w:rsidRDefault="001A07A9" w:rsidP="00FC03C9">
            <w:pPr>
              <w:pStyle w:val="Other0"/>
              <w:shd w:val="clear" w:color="auto" w:fill="auto"/>
              <w:rPr>
                <w:sz w:val="20"/>
                <w:szCs w:val="20"/>
              </w:rPr>
            </w:pPr>
            <w:r>
              <w:rPr>
                <w:sz w:val="20"/>
                <w:szCs w:val="20"/>
              </w:rPr>
              <w:t>25 %</w:t>
            </w:r>
          </w:p>
        </w:tc>
      </w:tr>
      <w:tr w:rsidR="001A07A9" w:rsidTr="00FC03C9">
        <w:trPr>
          <w:trHeight w:hRule="exact" w:val="254"/>
          <w:jc w:val="center"/>
        </w:trPr>
        <w:tc>
          <w:tcPr>
            <w:tcW w:w="4536" w:type="dxa"/>
            <w:tcBorders>
              <w:top w:val="single" w:sz="4" w:space="0" w:color="auto"/>
              <w:left w:val="single" w:sz="4" w:space="0" w:color="auto"/>
            </w:tcBorders>
            <w:shd w:val="clear" w:color="auto" w:fill="FFFFFF"/>
            <w:vAlign w:val="bottom"/>
          </w:tcPr>
          <w:p w:rsidR="001A07A9" w:rsidRDefault="001A07A9" w:rsidP="00FC03C9">
            <w:pPr>
              <w:pStyle w:val="Other0"/>
              <w:shd w:val="clear" w:color="auto" w:fill="auto"/>
              <w:rPr>
                <w:sz w:val="20"/>
                <w:szCs w:val="20"/>
              </w:rPr>
            </w:pPr>
            <w:r>
              <w:rPr>
                <w:sz w:val="20"/>
                <w:szCs w:val="20"/>
              </w:rPr>
              <w:t>50 - 74 %</w:t>
            </w:r>
          </w:p>
        </w:tc>
        <w:tc>
          <w:tcPr>
            <w:tcW w:w="4541" w:type="dxa"/>
            <w:tcBorders>
              <w:top w:val="single" w:sz="4" w:space="0" w:color="auto"/>
              <w:left w:val="single" w:sz="4" w:space="0" w:color="auto"/>
              <w:right w:val="single" w:sz="4" w:space="0" w:color="auto"/>
            </w:tcBorders>
            <w:shd w:val="clear" w:color="auto" w:fill="FFFFFF"/>
            <w:vAlign w:val="bottom"/>
          </w:tcPr>
          <w:p w:rsidR="001A07A9" w:rsidRDefault="001A07A9" w:rsidP="00FC03C9">
            <w:pPr>
              <w:pStyle w:val="Other0"/>
              <w:shd w:val="clear" w:color="auto" w:fill="auto"/>
              <w:rPr>
                <w:sz w:val="20"/>
                <w:szCs w:val="20"/>
              </w:rPr>
            </w:pPr>
            <w:r>
              <w:rPr>
                <w:sz w:val="20"/>
                <w:szCs w:val="20"/>
              </w:rPr>
              <w:t>40 %</w:t>
            </w:r>
          </w:p>
        </w:tc>
      </w:tr>
      <w:tr w:rsidR="001A07A9" w:rsidTr="00FC03C9">
        <w:trPr>
          <w:trHeight w:hRule="exact" w:val="254"/>
          <w:jc w:val="center"/>
        </w:trPr>
        <w:tc>
          <w:tcPr>
            <w:tcW w:w="4536" w:type="dxa"/>
            <w:tcBorders>
              <w:top w:val="single" w:sz="4" w:space="0" w:color="auto"/>
              <w:left w:val="single" w:sz="4" w:space="0" w:color="auto"/>
            </w:tcBorders>
            <w:shd w:val="clear" w:color="auto" w:fill="FFFFFF"/>
            <w:vAlign w:val="center"/>
          </w:tcPr>
          <w:p w:rsidR="001A07A9" w:rsidRDefault="001A07A9" w:rsidP="00FC03C9">
            <w:pPr>
              <w:pStyle w:val="Other0"/>
              <w:shd w:val="clear" w:color="auto" w:fill="auto"/>
              <w:rPr>
                <w:sz w:val="20"/>
                <w:szCs w:val="20"/>
              </w:rPr>
            </w:pPr>
            <w:r>
              <w:rPr>
                <w:sz w:val="20"/>
                <w:szCs w:val="20"/>
              </w:rPr>
              <w:t>40 - 49 %</w:t>
            </w:r>
          </w:p>
        </w:tc>
        <w:tc>
          <w:tcPr>
            <w:tcW w:w="4541" w:type="dxa"/>
            <w:tcBorders>
              <w:top w:val="single" w:sz="4" w:space="0" w:color="auto"/>
              <w:left w:val="single" w:sz="4" w:space="0" w:color="auto"/>
              <w:right w:val="single" w:sz="4" w:space="0" w:color="auto"/>
            </w:tcBorders>
            <w:shd w:val="clear" w:color="auto" w:fill="FFFFFF"/>
            <w:vAlign w:val="center"/>
          </w:tcPr>
          <w:p w:rsidR="001A07A9" w:rsidRDefault="001A07A9" w:rsidP="00FC03C9">
            <w:pPr>
              <w:pStyle w:val="Other0"/>
              <w:shd w:val="clear" w:color="auto" w:fill="auto"/>
              <w:rPr>
                <w:sz w:val="20"/>
                <w:szCs w:val="20"/>
              </w:rPr>
            </w:pPr>
            <w:r>
              <w:rPr>
                <w:sz w:val="20"/>
                <w:szCs w:val="20"/>
              </w:rPr>
              <w:t>60 %</w:t>
            </w:r>
          </w:p>
        </w:tc>
      </w:tr>
      <w:tr w:rsidR="001A07A9" w:rsidTr="00FC03C9">
        <w:trPr>
          <w:trHeight w:hRule="exact" w:val="264"/>
          <w:jc w:val="center"/>
        </w:trPr>
        <w:tc>
          <w:tcPr>
            <w:tcW w:w="4536" w:type="dxa"/>
            <w:tcBorders>
              <w:top w:val="single" w:sz="4" w:space="0" w:color="auto"/>
              <w:left w:val="single" w:sz="4" w:space="0" w:color="auto"/>
              <w:bottom w:val="single" w:sz="4" w:space="0" w:color="auto"/>
            </w:tcBorders>
            <w:shd w:val="clear" w:color="auto" w:fill="FFFFFF"/>
            <w:vAlign w:val="center"/>
          </w:tcPr>
          <w:p w:rsidR="001A07A9" w:rsidRDefault="001A07A9" w:rsidP="00FC03C9">
            <w:pPr>
              <w:pStyle w:val="Other0"/>
              <w:shd w:val="clear" w:color="auto" w:fill="auto"/>
              <w:rPr>
                <w:sz w:val="20"/>
                <w:szCs w:val="20"/>
              </w:rPr>
            </w:pPr>
            <w:r>
              <w:rPr>
                <w:sz w:val="20"/>
                <w:szCs w:val="20"/>
              </w:rPr>
              <w:t>méně než 40 %</w:t>
            </w:r>
          </w:p>
        </w:tc>
        <w:tc>
          <w:tcPr>
            <w:tcW w:w="4541" w:type="dxa"/>
            <w:tcBorders>
              <w:top w:val="single" w:sz="4" w:space="0" w:color="auto"/>
              <w:left w:val="single" w:sz="4" w:space="0" w:color="auto"/>
              <w:bottom w:val="single" w:sz="4" w:space="0" w:color="auto"/>
              <w:right w:val="single" w:sz="4" w:space="0" w:color="auto"/>
            </w:tcBorders>
            <w:shd w:val="clear" w:color="auto" w:fill="FFFFFF"/>
            <w:vAlign w:val="center"/>
          </w:tcPr>
          <w:p w:rsidR="001A07A9" w:rsidRDefault="001A07A9" w:rsidP="00FC03C9">
            <w:pPr>
              <w:pStyle w:val="Other0"/>
              <w:shd w:val="clear" w:color="auto" w:fill="auto"/>
              <w:rPr>
                <w:sz w:val="20"/>
                <w:szCs w:val="20"/>
              </w:rPr>
            </w:pPr>
            <w:r>
              <w:rPr>
                <w:sz w:val="20"/>
                <w:szCs w:val="20"/>
              </w:rPr>
              <w:t>100 %</w:t>
            </w:r>
          </w:p>
        </w:tc>
      </w:tr>
    </w:tbl>
    <w:p w:rsidR="001A07A9" w:rsidRDefault="001A07A9" w:rsidP="001A07A9">
      <w:pPr>
        <w:spacing w:after="99" w:line="1" w:lineRule="exact"/>
      </w:pPr>
    </w:p>
    <w:p w:rsidR="001A07A9" w:rsidRDefault="001A07A9" w:rsidP="001A07A9">
      <w:pPr>
        <w:pStyle w:val="Zkladntext"/>
        <w:shd w:val="clear" w:color="auto" w:fill="auto"/>
        <w:ind w:firstLine="140"/>
        <w:jc w:val="both"/>
      </w:pPr>
      <w:r>
        <w:t>Pro účely stanovení sníženého odvodu za porušení rozpočtové kázně dle tabulky výše platí následující postup. Poskytnutá dotace je rozdělena na rovné díly podle počtu výstupů dle tabulky v čl.</w:t>
      </w:r>
      <w:hyperlink w:anchor="bookmark38" w:tooltip="Current Document">
        <w:r>
          <w:t xml:space="preserve"> 6.10.1 </w:t>
        </w:r>
      </w:hyperlink>
      <w:r>
        <w:t>Při (částečném) nesplnění konkrétního výstupu je dílčí odvod za porušení rozpočtové kázně spočítán z odpovídajícího dílu poskytnuté dotace. Celkový odvod za porušení rozpočtové kázně je tvořen součtem těchto dílčích odvodů. Pokud u výstupů typu užitný vzor nebo průmyslový vzor pochybení nebude mít vliv na reálné splnění výstupu do stanoveného data (např. pochybení administrativní povahy), bude dílčí odvod za porušení rozpočtové kázně stanoven ve výši 1 % z poskytnuté dotace, resp. odpovídajícího dílu poskytnuté dotace.</w:t>
      </w:r>
    </w:p>
    <w:p w:rsidR="001A07A9" w:rsidRDefault="001A07A9" w:rsidP="001A07A9">
      <w:pPr>
        <w:pStyle w:val="Tablecaption0"/>
        <w:shd w:val="clear" w:color="auto" w:fill="auto"/>
        <w:ind w:left="120"/>
        <w:rPr>
          <w:sz w:val="22"/>
          <w:szCs w:val="22"/>
        </w:rPr>
      </w:pPr>
      <w:bookmarkStart w:id="42" w:name="bookmark39"/>
      <w:r>
        <w:rPr>
          <w:sz w:val="22"/>
          <w:szCs w:val="22"/>
        </w:rPr>
        <w:t xml:space="preserve">6.11. </w:t>
      </w:r>
      <w:r>
        <w:rPr>
          <w:b/>
          <w:bCs/>
          <w:sz w:val="22"/>
          <w:szCs w:val="22"/>
        </w:rPr>
        <w:t>Rozpočet</w:t>
      </w:r>
      <w:bookmarkEnd w:id="42"/>
    </w:p>
    <w:tbl>
      <w:tblPr>
        <w:tblOverlap w:val="never"/>
        <w:tblW w:w="0" w:type="auto"/>
        <w:jc w:val="center"/>
        <w:tblLayout w:type="fixed"/>
        <w:tblCellMar>
          <w:left w:w="10" w:type="dxa"/>
          <w:right w:w="10" w:type="dxa"/>
        </w:tblCellMar>
        <w:tblLook w:val="04A0" w:firstRow="1" w:lastRow="0" w:firstColumn="1" w:lastColumn="0" w:noHBand="0" w:noVBand="1"/>
      </w:tblPr>
      <w:tblGrid>
        <w:gridCol w:w="1790"/>
        <w:gridCol w:w="3883"/>
        <w:gridCol w:w="2126"/>
        <w:gridCol w:w="1853"/>
      </w:tblGrid>
      <w:tr w:rsidR="001A07A9" w:rsidTr="00FC03C9">
        <w:trPr>
          <w:trHeight w:hRule="exact" w:val="307"/>
          <w:jc w:val="center"/>
        </w:trPr>
        <w:tc>
          <w:tcPr>
            <w:tcW w:w="1790" w:type="dxa"/>
            <w:tcBorders>
              <w:top w:val="single" w:sz="4" w:space="0" w:color="auto"/>
              <w:left w:val="single" w:sz="4" w:space="0" w:color="auto"/>
            </w:tcBorders>
            <w:shd w:val="clear" w:color="auto" w:fill="FFFFFF"/>
          </w:tcPr>
          <w:p w:rsidR="001A07A9" w:rsidRDefault="001A07A9" w:rsidP="00FC03C9">
            <w:pPr>
              <w:rPr>
                <w:sz w:val="10"/>
                <w:szCs w:val="10"/>
              </w:rPr>
            </w:pPr>
          </w:p>
        </w:tc>
        <w:tc>
          <w:tcPr>
            <w:tcW w:w="3883" w:type="dxa"/>
            <w:tcBorders>
              <w:top w:val="single" w:sz="4" w:space="0" w:color="auto"/>
              <w:left w:val="single" w:sz="4" w:space="0" w:color="auto"/>
            </w:tcBorders>
            <w:shd w:val="clear" w:color="auto" w:fill="FFFFFF"/>
          </w:tcPr>
          <w:p w:rsidR="001A07A9" w:rsidRDefault="001A07A9" w:rsidP="00FC03C9">
            <w:pPr>
              <w:rPr>
                <w:sz w:val="10"/>
                <w:szCs w:val="10"/>
              </w:rPr>
            </w:pPr>
          </w:p>
        </w:tc>
        <w:tc>
          <w:tcPr>
            <w:tcW w:w="2126" w:type="dxa"/>
            <w:tcBorders>
              <w:top w:val="single" w:sz="4" w:space="0" w:color="auto"/>
              <w:left w:val="single" w:sz="4" w:space="0" w:color="auto"/>
            </w:tcBorders>
            <w:shd w:val="clear" w:color="auto" w:fill="FFFFFF"/>
          </w:tcPr>
          <w:p w:rsidR="001A07A9" w:rsidRDefault="001A07A9" w:rsidP="00FC03C9">
            <w:pPr>
              <w:rPr>
                <w:sz w:val="10"/>
                <w:szCs w:val="10"/>
              </w:rPr>
            </w:pPr>
          </w:p>
        </w:tc>
        <w:tc>
          <w:tcPr>
            <w:tcW w:w="1853" w:type="dxa"/>
            <w:tcBorders>
              <w:top w:val="single" w:sz="4" w:space="0" w:color="auto"/>
              <w:left w:val="single" w:sz="4" w:space="0" w:color="auto"/>
              <w:right w:val="single" w:sz="4" w:space="0" w:color="auto"/>
            </w:tcBorders>
            <w:shd w:val="clear" w:color="auto" w:fill="FFFFFF"/>
          </w:tcPr>
          <w:p w:rsidR="001A07A9" w:rsidRDefault="001A07A9" w:rsidP="00FC03C9">
            <w:pPr>
              <w:rPr>
                <w:sz w:val="10"/>
                <w:szCs w:val="10"/>
              </w:rPr>
            </w:pPr>
          </w:p>
        </w:tc>
      </w:tr>
      <w:tr w:rsidR="001A07A9" w:rsidTr="00FC03C9">
        <w:trPr>
          <w:trHeight w:hRule="exact" w:val="293"/>
          <w:jc w:val="center"/>
        </w:trPr>
        <w:tc>
          <w:tcPr>
            <w:tcW w:w="1790" w:type="dxa"/>
            <w:tcBorders>
              <w:top w:val="single" w:sz="4" w:space="0" w:color="auto"/>
              <w:left w:val="single" w:sz="4" w:space="0" w:color="auto"/>
              <w:bottom w:val="single" w:sz="4" w:space="0" w:color="auto"/>
            </w:tcBorders>
            <w:shd w:val="clear" w:color="auto" w:fill="FFFFFF"/>
          </w:tcPr>
          <w:p w:rsidR="001A07A9" w:rsidRDefault="001A07A9" w:rsidP="00FC03C9">
            <w:pPr>
              <w:pStyle w:val="Other0"/>
              <w:shd w:val="clear" w:color="auto" w:fill="auto"/>
              <w:ind w:firstLine="140"/>
              <w:rPr>
                <w:sz w:val="20"/>
                <w:szCs w:val="20"/>
              </w:rPr>
            </w:pPr>
            <w:r>
              <w:rPr>
                <w:sz w:val="20"/>
                <w:szCs w:val="20"/>
              </w:rPr>
              <w:t>«Kod »</w:t>
            </w:r>
          </w:p>
        </w:tc>
        <w:tc>
          <w:tcPr>
            <w:tcW w:w="3883" w:type="dxa"/>
            <w:tcBorders>
              <w:top w:val="single" w:sz="4" w:space="0" w:color="auto"/>
              <w:left w:val="single" w:sz="4" w:space="0" w:color="auto"/>
              <w:bottom w:val="single" w:sz="4" w:space="0" w:color="auto"/>
            </w:tcBorders>
            <w:shd w:val="clear" w:color="auto" w:fill="FFFFFF"/>
          </w:tcPr>
          <w:p w:rsidR="001A07A9" w:rsidRDefault="001A07A9" w:rsidP="00FC03C9">
            <w:pPr>
              <w:pStyle w:val="Other0"/>
              <w:shd w:val="clear" w:color="auto" w:fill="auto"/>
              <w:rPr>
                <w:sz w:val="20"/>
                <w:szCs w:val="20"/>
              </w:rPr>
            </w:pPr>
            <w:r>
              <w:rPr>
                <w:sz w:val="20"/>
                <w:szCs w:val="20"/>
              </w:rPr>
              <w:t>«Kod »</w:t>
            </w:r>
          </w:p>
        </w:tc>
        <w:tc>
          <w:tcPr>
            <w:tcW w:w="2126" w:type="dxa"/>
            <w:tcBorders>
              <w:top w:val="single" w:sz="4" w:space="0" w:color="auto"/>
              <w:left w:val="single" w:sz="4" w:space="0" w:color="auto"/>
              <w:bottom w:val="single" w:sz="4" w:space="0" w:color="auto"/>
            </w:tcBorders>
            <w:shd w:val="clear" w:color="auto" w:fill="FFFFFF"/>
          </w:tcPr>
          <w:p w:rsidR="001A07A9" w:rsidRDefault="001A07A9" w:rsidP="00FC03C9">
            <w:pPr>
              <w:pStyle w:val="Other0"/>
              <w:shd w:val="clear" w:color="auto" w:fill="auto"/>
              <w:jc w:val="right"/>
              <w:rPr>
                <w:sz w:val="20"/>
                <w:szCs w:val="20"/>
              </w:rPr>
            </w:pPr>
            <w:r>
              <w:rPr>
                <w:sz w:val="20"/>
                <w:szCs w:val="20"/>
              </w:rPr>
              <w:t>«Kod »</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1A07A9" w:rsidRDefault="001A07A9" w:rsidP="00FC03C9">
            <w:pPr>
              <w:pStyle w:val="Other0"/>
              <w:shd w:val="clear" w:color="auto" w:fill="auto"/>
              <w:jc w:val="right"/>
              <w:rPr>
                <w:sz w:val="20"/>
                <w:szCs w:val="20"/>
              </w:rPr>
            </w:pPr>
            <w:r>
              <w:rPr>
                <w:sz w:val="20"/>
                <w:szCs w:val="20"/>
              </w:rPr>
              <w:t>«Kod »</w:t>
            </w:r>
          </w:p>
        </w:tc>
      </w:tr>
    </w:tbl>
    <w:p w:rsidR="001A07A9" w:rsidRDefault="001A07A9" w:rsidP="001A07A9">
      <w:pPr>
        <w:pStyle w:val="Tablecaption0"/>
        <w:shd w:val="clear" w:color="auto" w:fill="auto"/>
        <w:ind w:left="110"/>
      </w:pPr>
      <w:r>
        <w:rPr>
          <w:vertAlign w:val="superscript"/>
        </w:rPr>
        <w:t>3</w:t>
      </w:r>
      <w:r>
        <w:t xml:space="preserve"> Pro účely tohoto rozhodnutí se výsledkem rozumí rovněž výstup, jde o zaměnitelné pojmy.</w:t>
      </w:r>
    </w:p>
    <w:p w:rsidR="001A07A9" w:rsidRDefault="001A07A9" w:rsidP="001A07A9">
      <w:pPr>
        <w:spacing w:after="219" w:line="1" w:lineRule="exact"/>
      </w:pPr>
    </w:p>
    <w:p w:rsidR="001A07A9" w:rsidRDefault="001A07A9" w:rsidP="001A07A9">
      <w:pPr>
        <w:pStyle w:val="Zkladntext"/>
        <w:shd w:val="clear" w:color="auto" w:fill="auto"/>
        <w:jc w:val="center"/>
        <w:sectPr w:rsidR="001A07A9" w:rsidSect="001A07A9">
          <w:pgSz w:w="11900" w:h="16840"/>
          <w:pgMar w:top="1494" w:right="982" w:bottom="1628" w:left="1266" w:header="0" w:footer="3" w:gutter="0"/>
          <w:cols w:space="720"/>
          <w:noEndnote/>
          <w:docGrid w:linePitch="360"/>
        </w:sectPr>
      </w:pPr>
      <w:r>
        <w:t>11</w:t>
      </w:r>
    </w:p>
    <w:p w:rsidR="001A07A9" w:rsidRDefault="001A07A9" w:rsidP="001A07A9">
      <w:pPr>
        <w:pStyle w:val="Heading30"/>
        <w:keepNext/>
        <w:keepLines/>
        <w:shd w:val="clear" w:color="auto" w:fill="auto"/>
        <w:spacing w:after="120"/>
      </w:pPr>
      <w:bookmarkStart w:id="43" w:name="bookmark40"/>
      <w:bookmarkStart w:id="44" w:name="bookmark41"/>
      <w:r>
        <w:rPr>
          <w:b w:val="0"/>
          <w:bCs w:val="0"/>
        </w:rPr>
        <w:lastRenderedPageBreak/>
        <w:t xml:space="preserve">6.12. </w:t>
      </w:r>
      <w:r>
        <w:t>Další povinnosti příjemce a podmínky realizace Projektu</w:t>
      </w:r>
      <w:bookmarkEnd w:id="43"/>
      <w:bookmarkEnd w:id="44"/>
    </w:p>
    <w:p w:rsidR="001A07A9" w:rsidRDefault="001A07A9" w:rsidP="001A07A9">
      <w:pPr>
        <w:pStyle w:val="Zkladntext"/>
        <w:numPr>
          <w:ilvl w:val="0"/>
          <w:numId w:val="14"/>
        </w:numPr>
        <w:shd w:val="clear" w:color="auto" w:fill="auto"/>
        <w:tabs>
          <w:tab w:val="left" w:pos="754"/>
        </w:tabs>
        <w:spacing w:after="120"/>
        <w:ind w:left="820" w:hanging="820"/>
        <w:jc w:val="both"/>
      </w:pPr>
      <w:r>
        <w:t>Příjemce nesmí po dobu realizace a udržitelnosti zaniknout s likvidací a nesmí být rozhodnuto o prohlášení konkurzu na jeho majetek či povoleno oddlužení.</w:t>
      </w:r>
    </w:p>
    <w:p w:rsidR="001A07A9" w:rsidRDefault="001A07A9" w:rsidP="001A07A9">
      <w:pPr>
        <w:pStyle w:val="Zkladntext"/>
        <w:numPr>
          <w:ilvl w:val="0"/>
          <w:numId w:val="14"/>
        </w:numPr>
        <w:shd w:val="clear" w:color="auto" w:fill="auto"/>
        <w:tabs>
          <w:tab w:val="left" w:pos="754"/>
        </w:tabs>
        <w:spacing w:after="120"/>
        <w:ind w:left="820" w:hanging="820"/>
        <w:jc w:val="both"/>
      </w:pPr>
      <w:r>
        <w:t>Příjemce je povinen zavázat své dodavatele předkládat k proplacení pouze faktury, které obsahují číslo Projektu. Jedná se o povinnost dle ust. § 14 odst. 4 písm. i) rozpočtových pravidel. V odůvodněných případech je příjemci umožněno, aby doklady označil číslem Projektu sám před jejich uplatněním v žádosti o platbu.</w:t>
      </w:r>
    </w:p>
    <w:p w:rsidR="001A07A9" w:rsidRDefault="001A07A9" w:rsidP="001A07A9">
      <w:pPr>
        <w:pStyle w:val="Zkladntext"/>
        <w:numPr>
          <w:ilvl w:val="0"/>
          <w:numId w:val="14"/>
        </w:numPr>
        <w:shd w:val="clear" w:color="auto" w:fill="auto"/>
        <w:tabs>
          <w:tab w:val="left" w:pos="754"/>
        </w:tabs>
        <w:spacing w:after="120"/>
        <w:ind w:left="820" w:hanging="820"/>
        <w:jc w:val="both"/>
      </w:pPr>
      <w:r>
        <w:t>Příjemce je povinen po dobu realizace a udržitelnosti informovat poskytovatele dotace o jakýchkoliv kontrolách a auditech prováděných v souvislosti s Projektem. Příjemce je dále povinen poskytnout na vyžádání poskytovateli dotace, platebnímu orgánu a kontrolním a auditním orgánům veškeré informace a výsledky těchto kontrol a auditů včetně protokolů z kontrol a zpráv o auditech. Jedná se o povinnosti dle ust. § 14 odst. 4 písm. i) rozpočtových pravidel.</w:t>
      </w:r>
    </w:p>
    <w:p w:rsidR="001A07A9" w:rsidRDefault="001A07A9" w:rsidP="001A07A9">
      <w:pPr>
        <w:pStyle w:val="Zkladntext"/>
        <w:numPr>
          <w:ilvl w:val="0"/>
          <w:numId w:val="14"/>
        </w:numPr>
        <w:shd w:val="clear" w:color="auto" w:fill="auto"/>
        <w:tabs>
          <w:tab w:val="left" w:pos="754"/>
        </w:tabs>
        <w:spacing w:after="120"/>
        <w:ind w:left="820" w:hanging="820"/>
        <w:jc w:val="both"/>
      </w:pPr>
      <w:r>
        <w:t>Příjemce je povinen poskytnout na vyžádání poskytovateli dotace součinnost (tj. zejména poskytnout příslušné informace) za účelem splnění povinností řídícího orgánu uvedených v čl. 72 odst. 1 písm. e) Obecného nařízení, a to kdykoliv ve lhůtě dle čl.</w:t>
      </w:r>
      <w:hyperlink w:anchor="bookmark28" w:tooltip="Current Document">
        <w:r>
          <w:t xml:space="preserve"> 6.8.1 </w:t>
        </w:r>
      </w:hyperlink>
      <w:r>
        <w:t>tohoto Rozhodnutí.</w:t>
      </w:r>
    </w:p>
    <w:p w:rsidR="001A07A9" w:rsidRDefault="001A07A9" w:rsidP="001A07A9">
      <w:pPr>
        <w:pStyle w:val="Zkladntext"/>
        <w:numPr>
          <w:ilvl w:val="0"/>
          <w:numId w:val="14"/>
        </w:numPr>
        <w:shd w:val="clear" w:color="auto" w:fill="auto"/>
        <w:tabs>
          <w:tab w:val="left" w:pos="754"/>
        </w:tabs>
        <w:spacing w:after="120"/>
        <w:ind w:left="820" w:hanging="820"/>
        <w:jc w:val="both"/>
      </w:pPr>
      <w:bookmarkStart w:id="45" w:name="bookmark42"/>
      <w:r>
        <w:t>Příjemce je povinen umožnit kontrolu plnění podmínek poskytnutí dotace všem relevantním orgánům, zejména poskytovateli, zprostředkujícímu subjektu, Ministerstvu financí, Nejvyššímu kontrolnímu úřadu, a dále i orgánům Evropské unie - zejména Evropské komisi, Evropskému účetnímu dvoru a OLAF.</w:t>
      </w:r>
      <w:bookmarkEnd w:id="45"/>
    </w:p>
    <w:p w:rsidR="001A07A9" w:rsidRDefault="001A07A9" w:rsidP="001A07A9">
      <w:pPr>
        <w:pStyle w:val="Zkladntext"/>
        <w:numPr>
          <w:ilvl w:val="0"/>
          <w:numId w:val="14"/>
        </w:numPr>
        <w:shd w:val="clear" w:color="auto" w:fill="auto"/>
        <w:tabs>
          <w:tab w:val="left" w:pos="754"/>
        </w:tabs>
        <w:spacing w:after="120"/>
        <w:ind w:left="820" w:hanging="820"/>
        <w:jc w:val="both"/>
      </w:pPr>
      <w:r>
        <w:t>Příjemce je povinen po dobu realizace a udržitelnosti informovat poskytovatele dotace bez zbytečného odkladu o skutečnostech, které by dodatečně mohly mít vliv na způsobilost již proplacených výdajů (např. z důvodu vzniku nároku na odpočet DPH při registraci k dani v souladu s ust. § 79 zákona č. 235/2004 Sb., o dani z přidané hodnoty, ve znění pozdějších předpisů). Pokud poskytovatel dotace shledá, že výdaj se stal nezpůsobilým, je příjemce povinen dotčenou část dotace poskytovateli dotace na základě výzvy vrátit.</w:t>
      </w:r>
    </w:p>
    <w:p w:rsidR="001A07A9" w:rsidRDefault="001A07A9" w:rsidP="001A07A9">
      <w:pPr>
        <w:pStyle w:val="Zkladntext"/>
        <w:numPr>
          <w:ilvl w:val="0"/>
          <w:numId w:val="14"/>
        </w:numPr>
        <w:shd w:val="clear" w:color="auto" w:fill="auto"/>
        <w:tabs>
          <w:tab w:val="left" w:pos="754"/>
        </w:tabs>
        <w:spacing w:after="120"/>
        <w:ind w:left="820" w:hanging="820"/>
        <w:jc w:val="both"/>
      </w:pPr>
      <w:r>
        <w:t>Ve všech případech, kdy je příjemce povinen k jakékoliv etapové žádosti o platbu doložit dokumenty stanovené tímto Rozhodnutím, platí následující. Příjemce je povinen předkládat tyto dokumenty spolu s prvním podáním dané žádosti o platbu. Doložení dokumentů spolu s prvním podáním dané žádosti o platbu je povinnost dle § 14 odst. 4 písm. i) rozpočtových pravidel. Nebudou-li dokumenty doloženy spolu s prvním podáním dané žádosti o platbu, je příjemce povinen je doložit v rámci následných oprav dané žádosti o platbu. V případě nedoložení uvedených dokumentů ani v rámci oprav dané žádosti o platbu se jedná o porušení povinnosti dle ust. § 14 odst. 4 písm. g) rozpočtových pravidel mající za následek stanovení odvodu za porušení rozpočtové kázně ve výši 100 % poskytnuté dotace na způsobilé výdaje, u nichž nebyly povinnosti dle tohoto odstavce splněny (je-li možné identifikovat způsobilé výdaje, u nichž nebyly povinnost splněny, pokud to možné není, není možné snížený odvod za porušení rozpočtové kázně uplatnit).</w:t>
      </w:r>
    </w:p>
    <w:p w:rsidR="001A07A9" w:rsidRDefault="001A07A9" w:rsidP="001A07A9">
      <w:pPr>
        <w:pStyle w:val="Zkladntext"/>
        <w:numPr>
          <w:ilvl w:val="0"/>
          <w:numId w:val="14"/>
        </w:numPr>
        <w:shd w:val="clear" w:color="auto" w:fill="auto"/>
        <w:tabs>
          <w:tab w:val="left" w:pos="754"/>
        </w:tabs>
        <w:spacing w:after="240"/>
        <w:ind w:left="820" w:hanging="820"/>
        <w:jc w:val="both"/>
      </w:pPr>
      <w:r>
        <w:t>Ve všech případech, kdy je příjemce povinen k poslední žádosti o platbu doložit dokumenty stanovené tímto Rozhodnutím, platí následující. Příjemce je povinen předkládat tyto dokumenty spolu s prvním podáním poslední žádosti o platbu. Doložení dokumentů spolu s prvním podáním poslední žádosti o platbu je povinnost dle ust. § 14 odst. 4 písm. i) rozpočtových pravidel. V případě doložení těchto dokumentů v rámci oprav dané žádosti o platbu za předpokladu, že tyto mohly fakticky být předloženy již k jejímu prvnímu podání (s</w:t>
      </w:r>
    </w:p>
    <w:p w:rsidR="001A07A9" w:rsidRDefault="001A07A9" w:rsidP="001A07A9">
      <w:pPr>
        <w:pStyle w:val="Zkladntext"/>
        <w:shd w:val="clear" w:color="auto" w:fill="auto"/>
        <w:spacing w:after="120"/>
        <w:jc w:val="center"/>
        <w:sectPr w:rsidR="001A07A9" w:rsidSect="001A07A9">
          <w:pgSz w:w="11900" w:h="16840"/>
          <w:pgMar w:top="1882" w:right="982" w:bottom="1628" w:left="1266" w:header="0" w:footer="3" w:gutter="0"/>
          <w:cols w:space="720"/>
          <w:noEndnote/>
          <w:docGrid w:linePitch="360"/>
        </w:sectPr>
      </w:pPr>
      <w:r>
        <w:t>12</w:t>
      </w:r>
    </w:p>
    <w:p w:rsidR="001A07A9" w:rsidRDefault="001A07A9" w:rsidP="001A07A9">
      <w:pPr>
        <w:pStyle w:val="Zkladntext"/>
        <w:shd w:val="clear" w:color="auto" w:fill="auto"/>
        <w:ind w:left="820" w:firstLine="20"/>
        <w:jc w:val="both"/>
      </w:pPr>
      <w:r>
        <w:lastRenderedPageBreak/>
        <w:t>ohledem na datum jejich vzniku) a splňovaly případné podmínky v tomto Rozhodnutí uvedené (datum vydání, právní moci apod.), platí, že byla porušena podmínka dle ust. § 14 odst. 4 písm. i) rozpočtových pravidel. V případě doložení uvedených dokumentů v rámci oprav dané žádosti o platbu za předpokladu, že nemohly fakticky být předloženy již k jejímu prvnímu podání (s ohledem na datum jejich vzniku) nebo nesplňovaly případné podmínky v tomto Rozhodnutí uvedené (datum vydání, právní moci apod.), platí, že byla porušena podmínka dle § 14 odst. 4 písm. g) rozpočtových pravidel mající za následek stanovení odvodu za porušení rozpočtové kázně ve výši 0,1 % poskytnuté dotace. V případě nedoložení uvedených dokumentů ani v rámci oprav dané žádosti o platbu činí odvod za porušení rozpočtové kázně 100 % poskytnuté dotace.</w:t>
      </w:r>
    </w:p>
    <w:p w:rsidR="001A07A9" w:rsidRDefault="001A07A9" w:rsidP="001A07A9">
      <w:pPr>
        <w:pStyle w:val="Zkladntext"/>
        <w:shd w:val="clear" w:color="auto" w:fill="auto"/>
      </w:pPr>
      <w:r>
        <w:t xml:space="preserve">6.13. </w:t>
      </w:r>
      <w:r>
        <w:rPr>
          <w:b/>
          <w:bCs/>
        </w:rPr>
        <w:t>Aplikace</w:t>
      </w:r>
    </w:p>
    <w:p w:rsidR="001A07A9" w:rsidRDefault="001A07A9" w:rsidP="001A07A9">
      <w:pPr>
        <w:pStyle w:val="Zkladntext"/>
        <w:numPr>
          <w:ilvl w:val="0"/>
          <w:numId w:val="15"/>
        </w:numPr>
        <w:shd w:val="clear" w:color="auto" w:fill="auto"/>
        <w:tabs>
          <w:tab w:val="left" w:pos="735"/>
        </w:tabs>
        <w:spacing w:after="100"/>
        <w:ind w:left="820" w:hanging="820"/>
        <w:jc w:val="both"/>
      </w:pPr>
      <w:r>
        <w:t>Příjemce je povinen zajistit, aby vztahy mezi příjemcem a jeho partnery s finančním příspěvkem, jejichž seznam byl poskytnut poskytovateli dotace (dále jen „partner Projektu“), po celou dobu realizace a udržitelnosti Projektu odpovídaly podmínkám Výzvy a tohoto Rozhodnutí a povinnostem příjemce stanoveným poskytovatelem dotace. Odpovědnost za realizaci a udržitelnost Projektu a za splnění podmínek, za nichž byla dotace poskytnuta, nese vůči poskytovateli dotace výhradně příjemce.</w:t>
      </w:r>
    </w:p>
    <w:p w:rsidR="001A07A9" w:rsidRDefault="001A07A9" w:rsidP="001A07A9">
      <w:pPr>
        <w:pStyle w:val="Zkladntext"/>
        <w:numPr>
          <w:ilvl w:val="0"/>
          <w:numId w:val="15"/>
        </w:numPr>
        <w:shd w:val="clear" w:color="auto" w:fill="auto"/>
        <w:tabs>
          <w:tab w:val="left" w:pos="735"/>
        </w:tabs>
        <w:spacing w:after="100"/>
        <w:ind w:left="820" w:hanging="820"/>
        <w:jc w:val="both"/>
      </w:pPr>
      <w:r>
        <w:t>Příjemce je povinen informovat poskytovatele bez zbytečného odkladu o všech změnách týkajících se obsahu smlouvy o spolupráci, kterou uzavřel s partnery Projektu, k nimž dojde během doby realizace a udržitelnosti Projektu. Jedná se o povinnost dle ust. § 14 odst. 4 písm. i) rozpočtových pravidel.</w:t>
      </w:r>
    </w:p>
    <w:p w:rsidR="001A07A9" w:rsidRDefault="001A07A9" w:rsidP="001A07A9">
      <w:pPr>
        <w:pStyle w:val="Zkladntext"/>
        <w:numPr>
          <w:ilvl w:val="0"/>
          <w:numId w:val="15"/>
        </w:numPr>
        <w:shd w:val="clear" w:color="auto" w:fill="auto"/>
        <w:tabs>
          <w:tab w:val="left" w:pos="735"/>
        </w:tabs>
        <w:spacing w:after="100"/>
        <w:ind w:left="820" w:hanging="820"/>
        <w:jc w:val="both"/>
      </w:pPr>
      <w:r>
        <w:t>Není-li v souvislosti s určitou povinností příjemce uvedeno jinak, nebo neplyne-li zjevně z jejího obsahu jinak, pak povinnosti stanovené poskytovatelem dotace, které platí pro příjemce, platí také pro partnera Projektu, který je v souladu s Výzvou zapojen do projektu. Partner Projektu je především povinen poskytnout příjemci veškerou nezbytnou součinnost ke splnění povinností stanovených poskytovatelem dotace. Odpovědnost za splnění povinnosti partnerem Projektu nese příjemce a za její porušení odpovídá tak, jako by povinnost porušil sám.</w:t>
      </w:r>
    </w:p>
    <w:p w:rsidR="001A07A9" w:rsidRDefault="001A07A9" w:rsidP="001A07A9">
      <w:pPr>
        <w:pStyle w:val="Zkladntext"/>
        <w:numPr>
          <w:ilvl w:val="0"/>
          <w:numId w:val="15"/>
        </w:numPr>
        <w:shd w:val="clear" w:color="auto" w:fill="auto"/>
        <w:tabs>
          <w:tab w:val="left" w:pos="735"/>
        </w:tabs>
        <w:spacing w:after="100"/>
        <w:ind w:left="820" w:hanging="820"/>
        <w:jc w:val="both"/>
      </w:pPr>
      <w:r>
        <w:t>V případě porušení povinnosti partnerem Projektu, v jehož důsledku rozhodne poskytovatel o nevyplacení dotace nebo její části, uloží povinnost vrátit dotaci nebo její část, nebo dojde ke stanovení odvodu za porušení rozpočtové kázně, je účastníkem příslušného řízení a osobou povinnou k vrácení dotace nebo její části, případně k uhrazení odvodu za porušení rozpočtové kázně pouze příjemce.</w:t>
      </w:r>
    </w:p>
    <w:p w:rsidR="001A07A9" w:rsidRDefault="001A07A9" w:rsidP="001A07A9">
      <w:pPr>
        <w:pStyle w:val="Zkladntext"/>
        <w:numPr>
          <w:ilvl w:val="0"/>
          <w:numId w:val="15"/>
        </w:numPr>
        <w:shd w:val="clear" w:color="auto" w:fill="auto"/>
        <w:tabs>
          <w:tab w:val="left" w:pos="735"/>
        </w:tabs>
        <w:spacing w:after="100"/>
        <w:ind w:left="820" w:hanging="820"/>
        <w:jc w:val="both"/>
      </w:pPr>
      <w:r>
        <w:t>Příjemce není oprávněn s partnery Projektu uzavírat v souvislosti s realizací a udržitelností Projektu takové smluvní vztahy, jejichž prostřednictvím by docházelo k obcházení pravidel zadávání veřejných zakázek, včetně zakázek malého rozsahu. Výdaje vzniklé z takových smluvních vztahů budou považovány za nezpůsobilé. Výdaje vzniklé ze smluvních vztahů mezi partnerem Projektu a příjemcem, jejichž předmětem je úplatná dodávka zboží nebo služeb v souvislosti s realizací Projektu, jsou nezpůsobilými výdaji.</w:t>
      </w:r>
    </w:p>
    <w:p w:rsidR="001A07A9" w:rsidRDefault="001A07A9" w:rsidP="001A07A9">
      <w:pPr>
        <w:pStyle w:val="Zkladntext"/>
        <w:numPr>
          <w:ilvl w:val="0"/>
          <w:numId w:val="15"/>
        </w:numPr>
        <w:shd w:val="clear" w:color="auto" w:fill="auto"/>
        <w:tabs>
          <w:tab w:val="left" w:pos="735"/>
        </w:tabs>
        <w:spacing w:after="760"/>
        <w:ind w:left="820" w:hanging="820"/>
        <w:jc w:val="both"/>
      </w:pPr>
      <w:r>
        <w:t>Příjemce zajistí, aby veškerou dokumentaci uvedenou v čl.</w:t>
      </w:r>
      <w:hyperlink w:anchor="bookmark28" w:tooltip="Current Document">
        <w:r>
          <w:t xml:space="preserve"> 6.8.1 </w:t>
        </w:r>
      </w:hyperlink>
      <w:r>
        <w:t>uchovávali po dobu zde uvedenou rovněž partneři Projektu a je povinen tuto dokumentaci předložit na vyžádání poskytovateli nebo jinému příslušnému orgánu dle čl.</w:t>
      </w:r>
      <w:hyperlink w:anchor="bookmark33" w:tooltip="Current Document">
        <w:r>
          <w:t xml:space="preserve"> 6.8.7.</w:t>
        </w:r>
      </w:hyperlink>
      <w:r>
        <w:t xml:space="preserve"> Porušení této povinnosti bude postihováno stejně jako porušení povinnosti týkající se dokumentace, kterou je povinen uchovávat příjemce.</w:t>
      </w:r>
    </w:p>
    <w:p w:rsidR="001A07A9" w:rsidRDefault="001A07A9" w:rsidP="001A07A9">
      <w:pPr>
        <w:pStyle w:val="Zkladntext"/>
        <w:shd w:val="clear" w:color="auto" w:fill="auto"/>
        <w:jc w:val="center"/>
        <w:sectPr w:rsidR="001A07A9" w:rsidSect="001A07A9">
          <w:pgSz w:w="11900" w:h="16840"/>
          <w:pgMar w:top="1494" w:right="982" w:bottom="1628" w:left="1266" w:header="0" w:footer="3" w:gutter="0"/>
          <w:cols w:space="720"/>
          <w:noEndnote/>
          <w:docGrid w:linePitch="360"/>
        </w:sectPr>
      </w:pPr>
      <w:r>
        <w:t>13</w:t>
      </w:r>
    </w:p>
    <w:p w:rsidR="001A07A9" w:rsidRDefault="001A07A9" w:rsidP="001A07A9">
      <w:pPr>
        <w:pStyle w:val="Zkladntext"/>
        <w:numPr>
          <w:ilvl w:val="0"/>
          <w:numId w:val="15"/>
        </w:numPr>
        <w:shd w:val="clear" w:color="auto" w:fill="auto"/>
        <w:tabs>
          <w:tab w:val="left" w:pos="986"/>
        </w:tabs>
        <w:spacing w:after="100"/>
        <w:ind w:left="960" w:hanging="700"/>
        <w:jc w:val="both"/>
      </w:pPr>
      <w:r>
        <w:lastRenderedPageBreak/>
        <w:t>Na materiál a komponenty, které příjemce pořídil s využitím prostředků dotace, se nevztahují povinnosti příjemce uvedené v čl.</w:t>
      </w:r>
      <w:hyperlink w:anchor="bookmark18" w:tooltip="Current Document">
        <w:r>
          <w:t xml:space="preserve"> 6.4.4.</w:t>
        </w:r>
      </w:hyperlink>
      <w:r>
        <w:t xml:space="preserve"> Na výstupy Projektu v podobě prototypu, poloprovozu, ověřené technologie, digitálního řešení, funkčního vzorku, průmyslového vzoru a užitného vzoru se vztahují povinnosti příjemce uvedené v čl.</w:t>
      </w:r>
      <w:hyperlink w:anchor="bookmark18" w:tooltip="Current Document">
        <w:r>
          <w:t xml:space="preserve"> 6.4.4 </w:t>
        </w:r>
      </w:hyperlink>
      <w:r>
        <w:t>pouze do dne, kdy je Projekt převeden do stavu „Projekt finančně ukončen ze strany ŘO“. Povinnosti stanovené v čl.</w:t>
      </w:r>
      <w:hyperlink w:anchor="bookmark19" w:tooltip="Current Document">
        <w:r>
          <w:t xml:space="preserve"> 6.4.6,</w:t>
        </w:r>
      </w:hyperlink>
      <w:hyperlink w:anchor="bookmark20" w:tooltip="Current Document">
        <w:r>
          <w:t xml:space="preserve"> 6.4.8,</w:t>
        </w:r>
      </w:hyperlink>
      <w:hyperlink w:anchor="bookmark21" w:tooltip="Current Document">
        <w:r>
          <w:t xml:space="preserve"> 6.4.10 </w:t>
        </w:r>
      </w:hyperlink>
      <w:r>
        <w:t>a</w:t>
      </w:r>
      <w:hyperlink w:anchor="bookmark22" w:tooltip="Current Document">
        <w:r>
          <w:t xml:space="preserve"> 6.4.12 </w:t>
        </w:r>
      </w:hyperlink>
      <w:r>
        <w:t>je příjemce povinen ve vztahu k výstupům projektu v podobě prototypu, ověřené technologie, digitálního řešení, funkčního vzorku, užitného vzoru a průmyslového vzoru plnit pouze do dne, kdy je Projekt převeden do stavu „Projekt finančně ukončen ze strany ŘO“. Příjemce je oprávněn s digitálním řešením, které je výstupem projektu, nakládat po dobu realizace a udržitelnosti projektu za podmínek stanovených právními předpisy upravujícími autorská práva.</w:t>
      </w:r>
    </w:p>
    <w:p w:rsidR="001A07A9" w:rsidRDefault="001A07A9" w:rsidP="001A07A9">
      <w:pPr>
        <w:pStyle w:val="Zkladntext"/>
        <w:numPr>
          <w:ilvl w:val="0"/>
          <w:numId w:val="15"/>
        </w:numPr>
        <w:shd w:val="clear" w:color="auto" w:fill="auto"/>
        <w:tabs>
          <w:tab w:val="left" w:pos="986"/>
        </w:tabs>
        <w:spacing w:after="100"/>
        <w:ind w:left="960" w:hanging="700"/>
        <w:jc w:val="both"/>
      </w:pPr>
      <w:bookmarkStart w:id="46" w:name="bookmark43"/>
      <w:r>
        <w:t>Pokud je příjemce dle tohoto Rozhodnutí oprávněn vlastnické nebo užívací právo k výstupům projektu v podobě prototypu, poloprovoz, ověřené technologie, funkčního vzorku, užitného vzoru, průmyslového vzoru a oprávnění k výkonu práv duševního vlastnictví (licenci) k výstupu projektu typu digitální řešení převést na jiného (poskytnout jinému), nesmí tak učinit za cenu nižší, než je cena stanovená dle právních předpisů upravujících oceňování majetku znalcem zapsaným v seznamu znalců.</w:t>
      </w:r>
      <w:bookmarkEnd w:id="46"/>
    </w:p>
    <w:p w:rsidR="001A07A9" w:rsidRDefault="001A07A9" w:rsidP="001A07A9">
      <w:pPr>
        <w:pStyle w:val="Zkladntext"/>
        <w:numPr>
          <w:ilvl w:val="0"/>
          <w:numId w:val="15"/>
        </w:numPr>
        <w:shd w:val="clear" w:color="auto" w:fill="auto"/>
        <w:tabs>
          <w:tab w:val="left" w:pos="986"/>
        </w:tabs>
        <w:spacing w:after="100"/>
        <w:ind w:left="960" w:hanging="700"/>
        <w:jc w:val="both"/>
      </w:pPr>
      <w:r>
        <w:t>Porušení povinnosti dle čl.</w:t>
      </w:r>
      <w:hyperlink w:anchor="bookmark43" w:tooltip="Current Document">
        <w:r>
          <w:t xml:space="preserve"> 6.13.8 </w:t>
        </w:r>
      </w:hyperlink>
      <w:r>
        <w:t>bude mít za následek vyměření odvodu za porušení rozpočtové kázně ve výši 100 % poskytnuté dotace na výstup Projektu, u kterého nebyla povinnost splněna.</w:t>
      </w:r>
    </w:p>
    <w:p w:rsidR="001A07A9" w:rsidRDefault="001A07A9" w:rsidP="001A07A9">
      <w:pPr>
        <w:pStyle w:val="Zkladntext"/>
        <w:numPr>
          <w:ilvl w:val="0"/>
          <w:numId w:val="15"/>
        </w:numPr>
        <w:shd w:val="clear" w:color="auto" w:fill="auto"/>
        <w:tabs>
          <w:tab w:val="left" w:pos="890"/>
        </w:tabs>
        <w:spacing w:after="100"/>
        <w:ind w:left="960" w:hanging="960"/>
        <w:jc w:val="both"/>
      </w:pPr>
      <w:r>
        <w:t>Příjemce je povinen dodržet v rámci realizace Projektu podmínky účinné spolupráce, maximální schválený podíl způsobilých výdajů kategorie průmyslového výzkumu na celkových způsobilých výdajích a ostatní limity schváleného rozpočtu Projektu. Výdaje, které budou překračovat uvedené limity (podíly), budou považovány za nezpůsobilé.</w:t>
      </w:r>
    </w:p>
    <w:p w:rsidR="001A07A9" w:rsidRDefault="001A07A9" w:rsidP="001A07A9">
      <w:pPr>
        <w:pStyle w:val="Zkladntext"/>
        <w:numPr>
          <w:ilvl w:val="0"/>
          <w:numId w:val="15"/>
        </w:numPr>
        <w:shd w:val="clear" w:color="auto" w:fill="auto"/>
        <w:tabs>
          <w:tab w:val="left" w:pos="890"/>
        </w:tabs>
        <w:spacing w:after="100"/>
        <w:ind w:left="960" w:hanging="960"/>
        <w:jc w:val="both"/>
      </w:pPr>
      <w:r>
        <w:t>Informační povinnost příjemce stanovená tímto Rozhodnutím se vztahuje i na informace týkající se partnerů Projektu. Nesplnění této informační povinnosti bude postihováno stejně jako nesplnění informační povinnosti týkající se informací o příjemci.</w:t>
      </w:r>
    </w:p>
    <w:p w:rsidR="001A07A9" w:rsidRDefault="001A07A9" w:rsidP="001A07A9">
      <w:pPr>
        <w:pStyle w:val="Zkladntext"/>
        <w:numPr>
          <w:ilvl w:val="0"/>
          <w:numId w:val="15"/>
        </w:numPr>
        <w:shd w:val="clear" w:color="auto" w:fill="auto"/>
        <w:tabs>
          <w:tab w:val="left" w:pos="890"/>
        </w:tabs>
        <w:spacing w:after="100"/>
        <w:ind w:left="960" w:hanging="960"/>
        <w:jc w:val="both"/>
      </w:pPr>
      <w:r>
        <w:t>Příjemce je povinen k prvnímu podání poslední žádosti o platbu předložit Závěrečnou oponentní zprávu k OŘ, a podklady prokazující naplnění indikátoru v rozsahu požadovaném poskytovatelem dotace k danému konkrétnímu druhu výstupu. Definice výstupů a způsoby jejich prokázání jsou uvedeny v Pravidlech pro žadatele a příjemce z OP TAK - zvláštní část. Vzor Závěrečné oponentní zprávy k OŘ je přílohou Pravidel pro žadatele a příjemce dotace z OP TAK - zvláštní část.</w:t>
      </w:r>
    </w:p>
    <w:p w:rsidR="001A07A9" w:rsidRDefault="001A07A9" w:rsidP="001A07A9">
      <w:pPr>
        <w:pStyle w:val="Zkladntext"/>
        <w:numPr>
          <w:ilvl w:val="0"/>
          <w:numId w:val="15"/>
        </w:numPr>
        <w:shd w:val="clear" w:color="auto" w:fill="auto"/>
        <w:tabs>
          <w:tab w:val="left" w:pos="890"/>
        </w:tabs>
        <w:spacing w:after="100"/>
        <w:ind w:left="960" w:hanging="960"/>
        <w:jc w:val="both"/>
      </w:pPr>
      <w:r>
        <w:t>Příjemce je povinen zajistit, aby činnosti Projektu plně spadaly do kategorie průmyslového výzkumu a/nebo experimentálního vývoje dle čl. 25 Nařízení GBER.</w:t>
      </w:r>
    </w:p>
    <w:p w:rsidR="001A07A9" w:rsidRDefault="001A07A9" w:rsidP="001A07A9">
      <w:pPr>
        <w:pStyle w:val="Zkladntext"/>
        <w:numPr>
          <w:ilvl w:val="0"/>
          <w:numId w:val="15"/>
        </w:numPr>
        <w:shd w:val="clear" w:color="auto" w:fill="auto"/>
        <w:tabs>
          <w:tab w:val="left" w:pos="890"/>
        </w:tabs>
        <w:spacing w:after="100"/>
        <w:ind w:left="960" w:hanging="960"/>
        <w:jc w:val="both"/>
      </w:pPr>
      <w:bookmarkStart w:id="47" w:name="bookmark44"/>
      <w:r>
        <w:t>Je-li partnerem Projektu organizace pro výzkum a šíření znalostí (výzkumná organizace) ve smyslu čl. 3.1 Pravidel pro žadatele a příjemce z OP TAK - zvláštní část, je povinen účetně oddělovat hospodářské a nehospodářské činnosti na úrovni každého výdaje Projektu, a na vyzvání poskytovatele dotace a ostatních orgánů dle čl.</w:t>
      </w:r>
      <w:hyperlink w:anchor="bookmark42" w:tooltip="Current Document">
        <w:r>
          <w:t xml:space="preserve"> 6.12.5 </w:t>
        </w:r>
      </w:hyperlink>
      <w:r>
        <w:t>příslušnou dokumentaci doložit.</w:t>
      </w:r>
      <w:bookmarkEnd w:id="47"/>
    </w:p>
    <w:p w:rsidR="001A07A9" w:rsidRDefault="001A07A9" w:rsidP="001A07A9">
      <w:pPr>
        <w:pStyle w:val="Zkladntext"/>
        <w:numPr>
          <w:ilvl w:val="0"/>
          <w:numId w:val="15"/>
        </w:numPr>
        <w:shd w:val="clear" w:color="auto" w:fill="auto"/>
        <w:tabs>
          <w:tab w:val="left" w:pos="890"/>
        </w:tabs>
        <w:spacing w:after="100"/>
        <w:ind w:left="960" w:hanging="960"/>
        <w:jc w:val="both"/>
      </w:pPr>
      <w:r>
        <w:t>Porušení povinnosti dle čl.</w:t>
      </w:r>
      <w:hyperlink w:anchor="bookmark44" w:tooltip="Current Document">
        <w:r>
          <w:t xml:space="preserve"> 6.13.14 </w:t>
        </w:r>
      </w:hyperlink>
      <w:r>
        <w:t xml:space="preserve">bude mít za následek vyměření odvodu za porušení rozpočtové kázně ve výši 100 % poskytnuté dotace na výdaje, u nichž nebyly povinnosti dle čl. </w:t>
      </w:r>
      <w:hyperlink w:anchor="bookmark44" w:tooltip="Current Document">
        <w:r>
          <w:t xml:space="preserve">6.13.14 </w:t>
        </w:r>
      </w:hyperlink>
      <w:r>
        <w:t>splněny.</w:t>
      </w:r>
    </w:p>
    <w:p w:rsidR="001A07A9" w:rsidRDefault="001A07A9" w:rsidP="001A07A9">
      <w:pPr>
        <w:pStyle w:val="Zkladntext"/>
        <w:numPr>
          <w:ilvl w:val="0"/>
          <w:numId w:val="15"/>
        </w:numPr>
        <w:shd w:val="clear" w:color="auto" w:fill="auto"/>
        <w:tabs>
          <w:tab w:val="left" w:pos="890"/>
        </w:tabs>
        <w:spacing w:after="520"/>
        <w:ind w:left="960" w:hanging="960"/>
        <w:jc w:val="both"/>
      </w:pPr>
      <w:r>
        <w:t>Příjemce je povinen převést příslušnou část obdržené dotace na bankovní účet (účty) partnera(ů) Projektu, a to do 14 dnů od přijetí příslušné platby od poskytovatele dotace.</w:t>
      </w:r>
    </w:p>
    <w:p w:rsidR="001A07A9" w:rsidRDefault="001A07A9" w:rsidP="001A07A9">
      <w:pPr>
        <w:pStyle w:val="Zkladntext"/>
        <w:shd w:val="clear" w:color="auto" w:fill="auto"/>
        <w:jc w:val="center"/>
        <w:sectPr w:rsidR="001A07A9" w:rsidSect="001A07A9">
          <w:pgSz w:w="11900" w:h="16840"/>
          <w:pgMar w:top="1494" w:right="1375" w:bottom="1628" w:left="1132" w:header="0" w:footer="3" w:gutter="0"/>
          <w:cols w:space="720"/>
          <w:noEndnote/>
          <w:docGrid w:linePitch="360"/>
        </w:sectPr>
      </w:pPr>
      <w:r>
        <w:t>14</w:t>
      </w:r>
    </w:p>
    <w:p w:rsidR="001A07A9" w:rsidRDefault="001A07A9" w:rsidP="001A07A9">
      <w:pPr>
        <w:pStyle w:val="Zkladntext"/>
        <w:numPr>
          <w:ilvl w:val="0"/>
          <w:numId w:val="15"/>
        </w:numPr>
        <w:shd w:val="clear" w:color="auto" w:fill="auto"/>
        <w:tabs>
          <w:tab w:val="left" w:pos="878"/>
        </w:tabs>
        <w:spacing w:after="100"/>
        <w:ind w:left="860" w:hanging="860"/>
        <w:jc w:val="both"/>
      </w:pPr>
      <w:r>
        <w:lastRenderedPageBreak/>
        <w:t>Porušení povinnosti dle čl. 6.13.16. bude mít za následek vyměření odvodu za porušení rozpočtové kázně ve výši odpovídající částce dotace, která nebyla v souladu s čl. 6.13.16 převedena.</w:t>
      </w:r>
    </w:p>
    <w:p w:rsidR="001A07A9" w:rsidRDefault="001A07A9" w:rsidP="001A07A9">
      <w:pPr>
        <w:pStyle w:val="Zkladntext"/>
        <w:shd w:val="clear" w:color="auto" w:fill="auto"/>
        <w:jc w:val="center"/>
        <w:rPr>
          <w:sz w:val="24"/>
          <w:szCs w:val="24"/>
        </w:rPr>
      </w:pPr>
      <w:r>
        <w:rPr>
          <w:b/>
          <w:bCs/>
          <w:sz w:val="24"/>
          <w:szCs w:val="24"/>
        </w:rPr>
        <w:t>HLAVA III. - OSTATNÍ USTANOVENÍ</w:t>
      </w:r>
    </w:p>
    <w:p w:rsidR="001A07A9" w:rsidRDefault="001A07A9" w:rsidP="001A07A9">
      <w:pPr>
        <w:pStyle w:val="Zkladntext"/>
        <w:numPr>
          <w:ilvl w:val="0"/>
          <w:numId w:val="7"/>
        </w:numPr>
        <w:shd w:val="clear" w:color="auto" w:fill="auto"/>
        <w:tabs>
          <w:tab w:val="left" w:pos="492"/>
        </w:tabs>
        <w:spacing w:after="100"/>
        <w:jc w:val="center"/>
        <w:rPr>
          <w:sz w:val="24"/>
          <w:szCs w:val="24"/>
        </w:rPr>
      </w:pPr>
      <w:r>
        <w:rPr>
          <w:b/>
          <w:bCs/>
          <w:sz w:val="24"/>
          <w:szCs w:val="24"/>
        </w:rPr>
        <w:t>Článek</w:t>
      </w:r>
      <w:r>
        <w:rPr>
          <w:b/>
          <w:bCs/>
          <w:sz w:val="24"/>
          <w:szCs w:val="24"/>
        </w:rPr>
        <w:br/>
        <w:t>Veřejná podpora</w:t>
      </w:r>
    </w:p>
    <w:p w:rsidR="001A07A9" w:rsidRDefault="001A07A9" w:rsidP="001A07A9">
      <w:pPr>
        <w:pStyle w:val="Zkladntext"/>
        <w:numPr>
          <w:ilvl w:val="1"/>
          <w:numId w:val="7"/>
        </w:numPr>
        <w:shd w:val="clear" w:color="auto" w:fill="auto"/>
        <w:tabs>
          <w:tab w:val="left" w:pos="878"/>
        </w:tabs>
        <w:spacing w:after="100"/>
        <w:ind w:left="860" w:hanging="700"/>
        <w:jc w:val="both"/>
      </w:pPr>
      <w:bookmarkStart w:id="48" w:name="bookmark45"/>
      <w:r>
        <w:t>Dotace je poskytnuta podle Nařízení GBER a dále podle Rámce pro státní podporu výzkumu, vývoje a inovací 2022/C 414/01.</w:t>
      </w:r>
      <w:bookmarkEnd w:id="48"/>
    </w:p>
    <w:p w:rsidR="001A07A9" w:rsidRDefault="001A07A9" w:rsidP="001A07A9">
      <w:pPr>
        <w:pStyle w:val="Zkladntext"/>
        <w:numPr>
          <w:ilvl w:val="1"/>
          <w:numId w:val="7"/>
        </w:numPr>
        <w:shd w:val="clear" w:color="auto" w:fill="auto"/>
        <w:tabs>
          <w:tab w:val="left" w:pos="878"/>
        </w:tabs>
        <w:spacing w:after="100"/>
        <w:ind w:left="860" w:hanging="700"/>
        <w:jc w:val="both"/>
      </w:pPr>
      <w:r>
        <w:t>Příjemce je povinen na vyžádání doložit poskytovateli dotace údaje relevantní pro účely zápisu do registru podpor de minimis, příp. změnu tohoto zápisu, dojde-li ke změně vlastnické struktury příjemce.</w:t>
      </w:r>
    </w:p>
    <w:p w:rsidR="001A07A9" w:rsidRDefault="001A07A9" w:rsidP="001A07A9">
      <w:pPr>
        <w:pStyle w:val="Zkladntext"/>
        <w:numPr>
          <w:ilvl w:val="1"/>
          <w:numId w:val="7"/>
        </w:numPr>
        <w:shd w:val="clear" w:color="auto" w:fill="auto"/>
        <w:tabs>
          <w:tab w:val="left" w:pos="878"/>
        </w:tabs>
        <w:spacing w:after="100"/>
        <w:ind w:left="860" w:hanging="700"/>
        <w:jc w:val="both"/>
      </w:pPr>
      <w:r>
        <w:t>Příjemce je vždy povinen poskytovateli dotace uvést všechny relevantní pravdivé údaje ke zjištění, zda v případě veřejné podpory poskytnuté Projektu jsou splněny podmínky dle ustanovení právního předpisu či rozhodnutí orgánu Evropské unie uvedeného v čl.</w:t>
      </w:r>
      <w:hyperlink w:anchor="bookmark45" w:tooltip="Current Document">
        <w:r>
          <w:t xml:space="preserve"> 7.1 </w:t>
        </w:r>
      </w:hyperlink>
      <w:r>
        <w:t>tohoto Rozhodnutí.</w:t>
      </w:r>
    </w:p>
    <w:p w:rsidR="001A07A9" w:rsidRDefault="001A07A9" w:rsidP="001A07A9">
      <w:pPr>
        <w:pStyle w:val="Zkladntext"/>
        <w:numPr>
          <w:ilvl w:val="1"/>
          <w:numId w:val="7"/>
        </w:numPr>
        <w:shd w:val="clear" w:color="auto" w:fill="auto"/>
        <w:tabs>
          <w:tab w:val="left" w:pos="878"/>
        </w:tabs>
        <w:spacing w:after="100"/>
        <w:ind w:firstLine="160"/>
        <w:jc w:val="both"/>
      </w:pPr>
      <w:r>
        <w:t>Způsobilým výdajem může být pouze výdaj, který nezakládá zakázanou veřejnou podporu.</w:t>
      </w:r>
    </w:p>
    <w:p w:rsidR="001A07A9" w:rsidRDefault="001A07A9" w:rsidP="001A07A9">
      <w:pPr>
        <w:pStyle w:val="Zkladntext"/>
        <w:numPr>
          <w:ilvl w:val="1"/>
          <w:numId w:val="7"/>
        </w:numPr>
        <w:shd w:val="clear" w:color="auto" w:fill="auto"/>
        <w:tabs>
          <w:tab w:val="left" w:pos="878"/>
        </w:tabs>
        <w:spacing w:after="100"/>
        <w:ind w:left="860" w:hanging="700"/>
        <w:jc w:val="both"/>
      </w:pPr>
      <w:r>
        <w:t>Povinnosti související s podporou v režimu de minimis pro příjemce platí pouze, pokud podpora byla poskytnuta v tomto režimu.</w:t>
      </w:r>
    </w:p>
    <w:p w:rsidR="001A07A9" w:rsidRDefault="001A07A9" w:rsidP="001A07A9">
      <w:pPr>
        <w:pStyle w:val="Zkladntext"/>
        <w:numPr>
          <w:ilvl w:val="0"/>
          <w:numId w:val="7"/>
        </w:numPr>
        <w:shd w:val="clear" w:color="auto" w:fill="auto"/>
        <w:tabs>
          <w:tab w:val="left" w:pos="492"/>
        </w:tabs>
        <w:spacing w:line="233" w:lineRule="auto"/>
        <w:jc w:val="center"/>
        <w:rPr>
          <w:sz w:val="24"/>
          <w:szCs w:val="24"/>
        </w:rPr>
      </w:pPr>
      <w:r>
        <w:rPr>
          <w:b/>
          <w:bCs/>
          <w:sz w:val="24"/>
          <w:szCs w:val="24"/>
        </w:rPr>
        <w:t>Článek</w:t>
      </w:r>
      <w:r>
        <w:rPr>
          <w:b/>
          <w:bCs/>
          <w:sz w:val="24"/>
          <w:szCs w:val="24"/>
        </w:rPr>
        <w:br/>
        <w:t>Další ustanovení</w:t>
      </w:r>
    </w:p>
    <w:p w:rsidR="001A07A9" w:rsidRDefault="001A07A9" w:rsidP="001A07A9">
      <w:pPr>
        <w:pStyle w:val="Heading30"/>
        <w:keepNext/>
        <w:keepLines/>
        <w:numPr>
          <w:ilvl w:val="1"/>
          <w:numId w:val="7"/>
        </w:numPr>
        <w:shd w:val="clear" w:color="auto" w:fill="auto"/>
        <w:tabs>
          <w:tab w:val="left" w:pos="726"/>
        </w:tabs>
        <w:spacing w:after="100" w:line="254" w:lineRule="auto"/>
        <w:ind w:firstLine="160"/>
        <w:jc w:val="both"/>
      </w:pPr>
      <w:bookmarkStart w:id="49" w:name="bookmark46"/>
      <w:bookmarkStart w:id="50" w:name="bookmark47"/>
      <w:r>
        <w:t>Pozastavení proplácení dotace</w:t>
      </w:r>
      <w:bookmarkEnd w:id="49"/>
      <w:bookmarkEnd w:id="50"/>
    </w:p>
    <w:p w:rsidR="001A07A9" w:rsidRDefault="001A07A9" w:rsidP="001A07A9">
      <w:pPr>
        <w:pStyle w:val="Zkladntext"/>
        <w:numPr>
          <w:ilvl w:val="2"/>
          <w:numId w:val="7"/>
        </w:numPr>
        <w:shd w:val="clear" w:color="auto" w:fill="auto"/>
        <w:tabs>
          <w:tab w:val="left" w:pos="878"/>
        </w:tabs>
        <w:spacing w:after="100"/>
        <w:ind w:left="860" w:hanging="700"/>
        <w:jc w:val="both"/>
      </w:pPr>
      <w:r>
        <w:t>Poskytovatel dotace je oprávněn pozastavit proplácení dotace, pokud bude u příjemce zjištěno zahájení insolvenčního řízení, a to až do doby, kdy bude toto insolvenční řízení pravomocně skončeno.</w:t>
      </w:r>
    </w:p>
    <w:p w:rsidR="001A07A9" w:rsidRDefault="001A07A9" w:rsidP="001A07A9">
      <w:pPr>
        <w:pStyle w:val="Zkladntext"/>
        <w:numPr>
          <w:ilvl w:val="2"/>
          <w:numId w:val="7"/>
        </w:numPr>
        <w:shd w:val="clear" w:color="auto" w:fill="auto"/>
        <w:tabs>
          <w:tab w:val="left" w:pos="878"/>
        </w:tabs>
        <w:spacing w:after="100"/>
        <w:ind w:left="860" w:hanging="700"/>
        <w:jc w:val="both"/>
      </w:pPr>
      <w:r>
        <w:t>Poskytovatel dotace pozastaví proplácení dotace, pokud příjemce neumožnil v plném rozsahu poskytovateli dotace nebo jiným kontrolním orgánům provedení kontroly realizace Projektu v souladu se zákonem č. 320/2001 Sb., o finanční kontrole ve veřejné správě a zákonem č. 255/2012 Sb., o kontrole (kontrolní řád) a v souladu s čl. 129 Nařízení Evropského parlamentu a Rady (EU, Euratom) 2024/2509 ze dne 23. září 2024, kterým se stanoví finanční pravidla pro souhrnný rozpočet Unie (dále jen „Finanční nařízení“), a to až do doby zjednání nápravy. Poskytovatel dotace rovněž pozastaví proplácení dotace, pokud příjemce poskytovateli dotace nebo jiným kontrolním orgánům neposkytl potřebné informace a doklady související s realizací Projektu, neumožnil jim vstup do objektů a na pozemky související s realizací Projektu, a to až doby zjednání nápravy.</w:t>
      </w:r>
    </w:p>
    <w:p w:rsidR="001A07A9" w:rsidRDefault="001A07A9" w:rsidP="001A07A9">
      <w:pPr>
        <w:pStyle w:val="Zkladntext"/>
        <w:numPr>
          <w:ilvl w:val="2"/>
          <w:numId w:val="7"/>
        </w:numPr>
        <w:shd w:val="clear" w:color="auto" w:fill="auto"/>
        <w:tabs>
          <w:tab w:val="left" w:pos="878"/>
        </w:tabs>
        <w:spacing w:after="100"/>
        <w:ind w:left="860" w:hanging="700"/>
        <w:jc w:val="both"/>
      </w:pPr>
      <w:r>
        <w:t>Poskytovatel dotace pozastaví proplácení dotace, pokud u příjemce nebo osob, které příjemce zastupují či za něj jednají, dojde k zahájení trestního stíhání souvisejícího s poskytnutou dotací, a to až do doby pravomocného ukončení trestního řízení.</w:t>
      </w:r>
    </w:p>
    <w:p w:rsidR="001A07A9" w:rsidRDefault="001A07A9" w:rsidP="001A07A9">
      <w:pPr>
        <w:pStyle w:val="Zkladntext"/>
        <w:numPr>
          <w:ilvl w:val="2"/>
          <w:numId w:val="7"/>
        </w:numPr>
        <w:shd w:val="clear" w:color="auto" w:fill="auto"/>
        <w:tabs>
          <w:tab w:val="left" w:pos="878"/>
        </w:tabs>
        <w:spacing w:after="700"/>
        <w:ind w:left="860" w:hanging="700"/>
        <w:jc w:val="both"/>
      </w:pPr>
      <w:r>
        <w:t>Poskytovatel dotace je oprávněn pozastavit proplácení dotace v návaznosti na rozhodnutí Evropské komise či Rady Evropské unie o pozastavení plateb v souladu s čl. 19 a 97 Obecného nařízení. Příjemce dotace je v takovém případě povinen akceptovat prodloužení lhůt pro proplacení příslušných žádostí o platbu až do data opětovného obnovení čerpání České republiky z rozpočtu Evropské unie.</w:t>
      </w:r>
    </w:p>
    <w:p w:rsidR="001A07A9" w:rsidRDefault="001A07A9" w:rsidP="001A07A9">
      <w:pPr>
        <w:pStyle w:val="Zkladntext"/>
        <w:shd w:val="clear" w:color="auto" w:fill="auto"/>
        <w:jc w:val="center"/>
        <w:sectPr w:rsidR="001A07A9" w:rsidSect="001A07A9">
          <w:pgSz w:w="11900" w:h="16840"/>
          <w:pgMar w:top="1494" w:right="1375" w:bottom="1628" w:left="1232" w:header="0" w:footer="3" w:gutter="0"/>
          <w:cols w:space="720"/>
          <w:noEndnote/>
          <w:docGrid w:linePitch="360"/>
        </w:sectPr>
      </w:pPr>
      <w:r>
        <w:t>15</w:t>
      </w:r>
    </w:p>
    <w:p w:rsidR="001A07A9" w:rsidRDefault="001A07A9" w:rsidP="001A07A9">
      <w:pPr>
        <w:pStyle w:val="Zkladntext"/>
        <w:shd w:val="clear" w:color="auto" w:fill="auto"/>
        <w:jc w:val="center"/>
        <w:rPr>
          <w:sz w:val="24"/>
          <w:szCs w:val="24"/>
        </w:rPr>
      </w:pPr>
      <w:r>
        <w:rPr>
          <w:b/>
          <w:bCs/>
          <w:sz w:val="24"/>
          <w:szCs w:val="24"/>
        </w:rPr>
        <w:lastRenderedPageBreak/>
        <w:t>HLAVA IV. - ZÁVĚREČNÁ ČÁST</w:t>
      </w:r>
    </w:p>
    <w:p w:rsidR="001A07A9" w:rsidRDefault="001A07A9" w:rsidP="001A07A9">
      <w:pPr>
        <w:pStyle w:val="Zkladntext"/>
        <w:numPr>
          <w:ilvl w:val="0"/>
          <w:numId w:val="7"/>
        </w:numPr>
        <w:shd w:val="clear" w:color="auto" w:fill="auto"/>
        <w:tabs>
          <w:tab w:val="left" w:pos="370"/>
        </w:tabs>
        <w:spacing w:after="120"/>
        <w:jc w:val="center"/>
        <w:rPr>
          <w:sz w:val="24"/>
          <w:szCs w:val="24"/>
        </w:rPr>
      </w:pPr>
      <w:r>
        <w:rPr>
          <w:b/>
          <w:bCs/>
          <w:sz w:val="24"/>
          <w:szCs w:val="24"/>
        </w:rPr>
        <w:t>Článek</w:t>
      </w:r>
    </w:p>
    <w:p w:rsidR="001A07A9" w:rsidRDefault="001A07A9" w:rsidP="001A07A9">
      <w:pPr>
        <w:pStyle w:val="Zkladntext"/>
        <w:numPr>
          <w:ilvl w:val="1"/>
          <w:numId w:val="7"/>
        </w:numPr>
        <w:shd w:val="clear" w:color="auto" w:fill="auto"/>
        <w:tabs>
          <w:tab w:val="left" w:pos="562"/>
        </w:tabs>
        <w:spacing w:after="120"/>
        <w:ind w:left="580" w:hanging="580"/>
        <w:jc w:val="both"/>
      </w:pPr>
      <w:r>
        <w:t>Příjemce odpovídá za správnost a úplnost údajů, které poskytovateli dotace poskytne. Příjemce odpovídá za pravdivost skutečností uvedených v čestném prohlášení doloženém před vydáním tohoto Rozhodnutí.</w:t>
      </w:r>
    </w:p>
    <w:p w:rsidR="001A07A9" w:rsidRDefault="001A07A9" w:rsidP="001A07A9">
      <w:pPr>
        <w:pStyle w:val="Zkladntext"/>
        <w:numPr>
          <w:ilvl w:val="1"/>
          <w:numId w:val="7"/>
        </w:numPr>
        <w:shd w:val="clear" w:color="auto" w:fill="auto"/>
        <w:tabs>
          <w:tab w:val="left" w:pos="562"/>
        </w:tabs>
        <w:spacing w:after="120"/>
        <w:ind w:left="580" w:hanging="580"/>
        <w:jc w:val="both"/>
      </w:pPr>
      <w:r>
        <w:t>V případě rozporu ustanovení tohoto Rozhodnutí a jeho příloh, mají přednost ustanovení tohoto Rozhodnutí. Ustanovení právních předpisů ČR a EU mají přednost v případě rozporu jejich ustanovení a ustanovení tohoto Rozhodnutí a/nebo jeho příloh.</w:t>
      </w:r>
    </w:p>
    <w:p w:rsidR="001A07A9" w:rsidRDefault="001A07A9" w:rsidP="001A07A9">
      <w:pPr>
        <w:pStyle w:val="Zkladntext"/>
        <w:numPr>
          <w:ilvl w:val="1"/>
          <w:numId w:val="7"/>
        </w:numPr>
        <w:shd w:val="clear" w:color="auto" w:fill="auto"/>
        <w:tabs>
          <w:tab w:val="left" w:pos="562"/>
        </w:tabs>
        <w:spacing w:after="120"/>
        <w:ind w:left="580" w:hanging="580"/>
        <w:jc w:val="both"/>
      </w:pPr>
      <w:r>
        <w:t>Je-li v tomto Rozhodnutí či jeho přílohách uveden souhlas poskytovatele dotace, musí mít vždy písemnou formu. Tato forma je zachována i v případě elektronického vyjádření formou depeše v MS 2021+ či vyjádření zaslaného datovou schránkou s elektronickým podpisem.</w:t>
      </w:r>
    </w:p>
    <w:p w:rsidR="001A07A9" w:rsidRDefault="001A07A9" w:rsidP="001A07A9">
      <w:pPr>
        <w:pStyle w:val="Zkladntext"/>
        <w:numPr>
          <w:ilvl w:val="1"/>
          <w:numId w:val="7"/>
        </w:numPr>
        <w:shd w:val="clear" w:color="auto" w:fill="auto"/>
        <w:tabs>
          <w:tab w:val="left" w:pos="562"/>
        </w:tabs>
        <w:spacing w:after="120"/>
        <w:ind w:left="580" w:hanging="580"/>
        <w:jc w:val="both"/>
      </w:pPr>
      <w:r>
        <w:t>Nárok příjemce na příslušnou část dotace ze závěrečné žádosti o platbu s ohledem na ukončení Operačního programu Technologie a aplikace pro konkurenceschopnost zaniká, nebude-li tato žádost o platbu podána do 30.6.2029. Příjemce je povinen učinit veškeré kroky, aby závěrečnou žádost o platbu splňující všechny požadavky do uvedeného data podal.</w:t>
      </w:r>
    </w:p>
    <w:p w:rsidR="001A07A9" w:rsidRDefault="001A07A9" w:rsidP="001A07A9">
      <w:pPr>
        <w:pStyle w:val="Zkladntext"/>
        <w:numPr>
          <w:ilvl w:val="1"/>
          <w:numId w:val="7"/>
        </w:numPr>
        <w:shd w:val="clear" w:color="auto" w:fill="auto"/>
        <w:tabs>
          <w:tab w:val="left" w:pos="562"/>
        </w:tabs>
        <w:spacing w:after="120"/>
      </w:pPr>
      <w:r>
        <w:t>Přílohy tohoto Rozhodnutí jsou jeho nedílnou součástí.</w:t>
      </w:r>
    </w:p>
    <w:p w:rsidR="001A07A9" w:rsidRDefault="001A07A9" w:rsidP="001A07A9">
      <w:pPr>
        <w:pStyle w:val="Zkladntext"/>
        <w:numPr>
          <w:ilvl w:val="0"/>
          <w:numId w:val="7"/>
        </w:numPr>
        <w:shd w:val="clear" w:color="auto" w:fill="auto"/>
        <w:tabs>
          <w:tab w:val="left" w:pos="467"/>
        </w:tabs>
        <w:spacing w:line="216" w:lineRule="auto"/>
        <w:jc w:val="center"/>
        <w:rPr>
          <w:sz w:val="24"/>
          <w:szCs w:val="24"/>
        </w:rPr>
      </w:pPr>
      <w:r>
        <w:rPr>
          <w:b/>
          <w:bCs/>
          <w:sz w:val="24"/>
          <w:szCs w:val="24"/>
        </w:rPr>
        <w:t>Článek</w:t>
      </w:r>
    </w:p>
    <w:p w:rsidR="001A07A9" w:rsidRDefault="001A07A9" w:rsidP="001A07A9">
      <w:pPr>
        <w:pStyle w:val="Zkladntext"/>
        <w:shd w:val="clear" w:color="auto" w:fill="auto"/>
        <w:spacing w:after="120" w:line="216" w:lineRule="auto"/>
        <w:jc w:val="center"/>
        <w:rPr>
          <w:sz w:val="24"/>
          <w:szCs w:val="24"/>
        </w:rPr>
      </w:pPr>
      <w:r>
        <w:rPr>
          <w:b/>
          <w:bCs/>
          <w:sz w:val="24"/>
          <w:szCs w:val="24"/>
        </w:rPr>
        <w:t>Seznam příloh k Rozhodnutí</w:t>
      </w:r>
    </w:p>
    <w:p w:rsidR="001A07A9" w:rsidRDefault="001A07A9" w:rsidP="001A07A9">
      <w:pPr>
        <w:pStyle w:val="Zkladntext"/>
        <w:numPr>
          <w:ilvl w:val="1"/>
          <w:numId w:val="7"/>
        </w:numPr>
        <w:shd w:val="clear" w:color="auto" w:fill="auto"/>
        <w:tabs>
          <w:tab w:val="left" w:pos="620"/>
        </w:tabs>
        <w:spacing w:after="120"/>
        <w:ind w:left="580" w:hanging="580"/>
        <w:jc w:val="both"/>
      </w:pPr>
      <w:r>
        <w:t xml:space="preserve">Pravidla pro výběr dodavatelů (účinná v den zahájení výběrového řízení či objednávky zboží, služeb nebo stavebních prací, pokud výběrové řízení nebylo zahájeno) uveřejněná na stránkách XXXX </w:t>
      </w:r>
    </w:p>
    <w:p w:rsidR="001A07A9" w:rsidRDefault="001A07A9" w:rsidP="001A07A9">
      <w:pPr>
        <w:pStyle w:val="Zkladntext"/>
        <w:numPr>
          <w:ilvl w:val="1"/>
          <w:numId w:val="7"/>
        </w:numPr>
        <w:shd w:val="clear" w:color="auto" w:fill="auto"/>
        <w:tabs>
          <w:tab w:val="left" w:pos="620"/>
        </w:tabs>
        <w:spacing w:after="120"/>
        <w:ind w:left="580" w:hanging="580"/>
        <w:jc w:val="both"/>
      </w:pPr>
      <w:r>
        <w:t>Kategorizace sankcí za porušení postupu zadavatele zakázek (účinná v den zahájení výběrového řízení či objednávky zboží, služeb nebo stavebních prací, pokud výběrové řízení nebylo zahájeno) uveřejněná na XXXX</w:t>
      </w:r>
    </w:p>
    <w:p w:rsidR="001A07A9" w:rsidRDefault="001A07A9" w:rsidP="001A07A9">
      <w:pPr>
        <w:pStyle w:val="Zkladntext"/>
        <w:numPr>
          <w:ilvl w:val="1"/>
          <w:numId w:val="7"/>
        </w:numPr>
        <w:shd w:val="clear" w:color="auto" w:fill="auto"/>
        <w:tabs>
          <w:tab w:val="left" w:pos="582"/>
        </w:tabs>
        <w:spacing w:after="120"/>
        <w:ind w:left="580" w:hanging="580"/>
        <w:jc w:val="both"/>
      </w:pPr>
      <w:r>
        <w:t>Pravidla pro žadatele a příjemce dotace z OP TAK - obecná část (verze účinná ke dni vydání RoPD) uveřejněná na stránkách</w:t>
      </w:r>
      <w:hyperlink r:id="rId18" w:history="1"/>
      <w:r>
        <w:t xml:space="preserve"> XXXX</w:t>
      </w:r>
    </w:p>
    <w:p w:rsidR="001A07A9" w:rsidRDefault="001A07A9" w:rsidP="001A07A9">
      <w:pPr>
        <w:pStyle w:val="Zkladntext"/>
        <w:numPr>
          <w:ilvl w:val="1"/>
          <w:numId w:val="7"/>
        </w:numPr>
        <w:shd w:val="clear" w:color="auto" w:fill="auto"/>
        <w:tabs>
          <w:tab w:val="left" w:pos="582"/>
        </w:tabs>
        <w:spacing w:after="120"/>
        <w:ind w:left="580" w:hanging="580"/>
        <w:jc w:val="both"/>
      </w:pPr>
      <w:r>
        <w:t>Pravidla pro žadatele a příjemce dotace z OP TAK - zvláštní část (verze účinná ke dni vydání RoPD) uveřejněná na stránkách XXXX</w:t>
      </w:r>
    </w:p>
    <w:p w:rsidR="001A07A9" w:rsidRDefault="001A07A9" w:rsidP="001A07A9">
      <w:pPr>
        <w:pStyle w:val="Zkladntext"/>
        <w:numPr>
          <w:ilvl w:val="1"/>
          <w:numId w:val="7"/>
        </w:numPr>
        <w:shd w:val="clear" w:color="auto" w:fill="auto"/>
        <w:tabs>
          <w:tab w:val="left" w:pos="582"/>
        </w:tabs>
        <w:spacing w:after="120"/>
        <w:ind w:left="580" w:hanging="580"/>
        <w:jc w:val="both"/>
      </w:pPr>
      <w:r>
        <w:t>Výzva uveřejněná dne 29.11.2024 na stránkách XXXX</w:t>
      </w:r>
    </w:p>
    <w:p w:rsidR="001A07A9" w:rsidRDefault="001A07A9" w:rsidP="001A07A9">
      <w:pPr>
        <w:pStyle w:val="Zkladntext"/>
        <w:numPr>
          <w:ilvl w:val="1"/>
          <w:numId w:val="7"/>
        </w:numPr>
        <w:shd w:val="clear" w:color="auto" w:fill="auto"/>
        <w:tabs>
          <w:tab w:val="left" w:pos="582"/>
        </w:tabs>
        <w:spacing w:after="120"/>
        <w:ind w:left="580" w:hanging="580"/>
        <w:jc w:val="both"/>
      </w:pPr>
      <w:r>
        <w:t>Vymezení způsobilých výdajů (verze účinná ke dni vydání RoPD) uveřejněné na stránkách XXXX</w:t>
      </w:r>
    </w:p>
    <w:p w:rsidR="001A07A9" w:rsidRDefault="001A07A9" w:rsidP="001A07A9">
      <w:pPr>
        <w:pStyle w:val="Zkladntext"/>
        <w:numPr>
          <w:ilvl w:val="1"/>
          <w:numId w:val="7"/>
        </w:numPr>
        <w:shd w:val="clear" w:color="auto" w:fill="auto"/>
        <w:tabs>
          <w:tab w:val="left" w:pos="582"/>
        </w:tabs>
        <w:spacing w:after="120"/>
        <w:jc w:val="both"/>
      </w:pPr>
      <w:r>
        <w:t>Smlouva o spolupráci konsorcia.</w:t>
      </w:r>
    </w:p>
    <w:p w:rsidR="001A07A9" w:rsidRDefault="001A07A9" w:rsidP="001A07A9">
      <w:pPr>
        <w:pStyle w:val="Zkladntext"/>
        <w:shd w:val="clear" w:color="auto" w:fill="auto"/>
        <w:spacing w:after="260" w:line="216" w:lineRule="auto"/>
        <w:jc w:val="center"/>
        <w:rPr>
          <w:sz w:val="24"/>
          <w:szCs w:val="24"/>
        </w:rPr>
      </w:pPr>
      <w:r>
        <w:rPr>
          <w:b/>
          <w:bCs/>
          <w:sz w:val="24"/>
          <w:szCs w:val="24"/>
        </w:rPr>
        <w:t>Poučení</w:t>
      </w:r>
    </w:p>
    <w:p w:rsidR="001A07A9" w:rsidRDefault="001A07A9" w:rsidP="001A07A9">
      <w:pPr>
        <w:pStyle w:val="Zkladntext"/>
        <w:shd w:val="clear" w:color="auto" w:fill="auto"/>
        <w:spacing w:after="260"/>
        <w:jc w:val="both"/>
      </w:pPr>
      <w:r>
        <w:t>Proti Rozhodnutí poskytovatele dotace není přípustné odvolání ani rozklad. Obnova řízení se nepřipouští. Přezkumné řízení se nepřipouští, s výjimkou postupu podle ust. § 153 odst. 1 písm. a) zákona č. 500/2004 Sb., správní řád, ve znění pozdějších předpisů.</w:t>
      </w:r>
    </w:p>
    <w:p w:rsidR="001A07A9" w:rsidRDefault="001A07A9" w:rsidP="001A07A9">
      <w:pPr>
        <w:pStyle w:val="Zkladntext"/>
        <w:shd w:val="clear" w:color="auto" w:fill="auto"/>
        <w:spacing w:after="860"/>
      </w:pPr>
      <w:r>
        <w:t>Toto Rozhodnutí nabývá právní moci dnem doručení příjemci.</w:t>
      </w:r>
    </w:p>
    <w:p w:rsidR="001A07A9" w:rsidRDefault="001A07A9" w:rsidP="001A07A9">
      <w:pPr>
        <w:pStyle w:val="Zkladntext"/>
        <w:shd w:val="clear" w:color="auto" w:fill="auto"/>
        <w:spacing w:after="120"/>
        <w:jc w:val="center"/>
        <w:sectPr w:rsidR="001A07A9" w:rsidSect="001A07A9">
          <w:pgSz w:w="11900" w:h="16840"/>
          <w:pgMar w:top="1489" w:right="1375" w:bottom="1628" w:left="1376" w:header="0" w:footer="3" w:gutter="0"/>
          <w:cols w:space="720"/>
          <w:noEndnote/>
          <w:docGrid w:linePitch="360"/>
        </w:sectPr>
      </w:pPr>
      <w:r>
        <w:t>16</w:t>
      </w:r>
    </w:p>
    <w:p w:rsidR="001A07A9" w:rsidRDefault="001A07A9" w:rsidP="001A07A9">
      <w:pPr>
        <w:pStyle w:val="Zkladntext"/>
        <w:framePr w:w="2371" w:h="307" w:wrap="none" w:hAnchor="page" w:x="1387" w:y="16"/>
        <w:shd w:val="clear" w:color="auto" w:fill="auto"/>
        <w:tabs>
          <w:tab w:val="left" w:leader="dot" w:pos="2304"/>
        </w:tabs>
      </w:pPr>
      <w:r>
        <w:lastRenderedPageBreak/>
        <w:t>V Praze dne</w:t>
      </w:r>
      <w:r>
        <w:tab/>
      </w:r>
    </w:p>
    <w:p w:rsidR="001A07A9" w:rsidRDefault="001A07A9" w:rsidP="001A07A9">
      <w:pPr>
        <w:pStyle w:val="Zkladntext"/>
        <w:framePr w:w="3322" w:h="845" w:wrap="none" w:hAnchor="page" w:x="4281" w:y="1360"/>
        <w:shd w:val="clear" w:color="auto" w:fill="auto"/>
        <w:spacing w:after="260"/>
        <w:jc w:val="center"/>
      </w:pPr>
      <w:r>
        <w:t>Za Ministerstvo průmyslu a obchodu</w:t>
      </w:r>
    </w:p>
    <w:p w:rsidR="001A07A9" w:rsidRDefault="001A07A9" w:rsidP="001A07A9">
      <w:pPr>
        <w:pStyle w:val="Zkladntext"/>
        <w:framePr w:w="3322" w:h="845" w:wrap="none" w:hAnchor="page" w:x="4281" w:y="1360"/>
        <w:shd w:val="clear" w:color="auto" w:fill="auto"/>
        <w:jc w:val="center"/>
      </w:pPr>
      <w:r>
        <w:t>Ředitel odboru</w:t>
      </w:r>
    </w:p>
    <w:p w:rsidR="001A07A9" w:rsidRDefault="001A07A9" w:rsidP="001A07A9">
      <w:pPr>
        <w:spacing w:line="360" w:lineRule="exact"/>
      </w:pPr>
    </w:p>
    <w:p w:rsidR="001A07A9" w:rsidRDefault="001A07A9" w:rsidP="001A07A9">
      <w:pPr>
        <w:spacing w:line="360" w:lineRule="exact"/>
      </w:pPr>
    </w:p>
    <w:p w:rsidR="001A07A9" w:rsidRDefault="001A07A9" w:rsidP="001A07A9">
      <w:pPr>
        <w:spacing w:line="360" w:lineRule="exact"/>
      </w:pPr>
    </w:p>
    <w:p w:rsidR="001A07A9" w:rsidRDefault="001A07A9" w:rsidP="001A07A9">
      <w:pPr>
        <w:spacing w:line="360" w:lineRule="exact"/>
      </w:pPr>
    </w:p>
    <w:p w:rsidR="001A07A9" w:rsidRDefault="001A07A9" w:rsidP="001A07A9">
      <w:pPr>
        <w:spacing w:line="360" w:lineRule="exact"/>
      </w:pPr>
    </w:p>
    <w:p w:rsidR="001A07A9" w:rsidRDefault="001A07A9" w:rsidP="001A07A9">
      <w:pPr>
        <w:spacing w:after="388" w:line="1" w:lineRule="exact"/>
      </w:pPr>
    </w:p>
    <w:p w:rsidR="001A07A9" w:rsidRDefault="001A07A9" w:rsidP="001A07A9">
      <w:pPr>
        <w:spacing w:line="1" w:lineRule="exact"/>
      </w:pPr>
    </w:p>
    <w:p w:rsidR="00AD4F27" w:rsidRDefault="00827ACB" w:rsidP="001A07A9">
      <w:pPr>
        <w:rPr>
          <w:sz w:val="20"/>
          <w:szCs w:val="20"/>
        </w:rPr>
      </w:pPr>
      <w:r>
        <w:rPr>
          <w:sz w:val="20"/>
          <w:szCs w:val="20"/>
        </w:rPr>
        <w:br w:type="page"/>
      </w:r>
    </w:p>
    <w:sectPr w:rsidR="00AD4F27" w:rsidSect="001A07A9">
      <w:pgSz w:w="11900" w:h="16840"/>
      <w:pgMar w:top="1690" w:right="1699" w:bottom="1690" w:left="1104" w:header="0" w:footer="3" w:gutter="0"/>
      <w:cols w:num="2" w:space="1637"/>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D72" w:rsidRDefault="00160D72">
      <w:r>
        <w:separator/>
      </w:r>
    </w:p>
  </w:endnote>
  <w:endnote w:type="continuationSeparator" w:id="0">
    <w:p w:rsidR="00160D72" w:rsidRDefault="0016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ACB" w:rsidRDefault="00827ACB">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3238500</wp:posOffset>
              </wp:positionH>
              <wp:positionV relativeFrom="page">
                <wp:posOffset>9810750</wp:posOffset>
              </wp:positionV>
              <wp:extent cx="771525" cy="476250"/>
              <wp:effectExtent l="0" t="0" r="0" b="0"/>
              <wp:wrapNone/>
              <wp:docPr id="7" name="Shape 7"/>
              <wp:cNvGraphicFramePr/>
              <a:graphic xmlns:a="http://schemas.openxmlformats.org/drawingml/2006/main">
                <a:graphicData uri="http://schemas.microsoft.com/office/word/2010/wordprocessingShape">
                  <wps:wsp>
                    <wps:cNvSpPr txBox="1"/>
                    <wps:spPr>
                      <a:xfrm>
                        <a:off x="0" y="0"/>
                        <a:ext cx="771525" cy="476250"/>
                      </a:xfrm>
                      <a:prstGeom prst="rect">
                        <a:avLst/>
                      </a:prstGeom>
                      <a:noFill/>
                    </wps:spPr>
                    <wps:txbx>
                      <w:txbxContent>
                        <w:p w:rsidR="00827ACB" w:rsidRDefault="00827ACB">
                          <w:pPr>
                            <w:pStyle w:val="Headerorfooter20"/>
                            <w:shd w:val="clear" w:color="auto" w:fill="auto"/>
                            <w:rPr>
                              <w:sz w:val="18"/>
                              <w:szCs w:val="18"/>
                            </w:rPr>
                          </w:pPr>
                          <w:r>
                            <w:rPr>
                              <w:rFonts w:ascii="Arial" w:eastAsia="Arial" w:hAnsi="Arial" w:cs="Arial"/>
                              <w:b/>
                              <w:bCs/>
                              <w:sz w:val="18"/>
                              <w:szCs w:val="18"/>
                            </w:rPr>
                            <w:t>Stránka 4 z 4</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255pt;margin-top:772.5pt;width:60.75pt;height:37.5pt;z-index:-44040178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L3mQEAACMDAAAOAAAAZHJzL2Uyb0RvYy54bWysUlGP0zAMfkfiP0R5Z90mdkXVutOdToeQ&#10;ECAd/IAsTdZITRzsbO3+PU7W7RC8IV5cx3Y/f/7s7f3kB3EySA5CK1eLpRQmaOhcOLTyx/fndx+k&#10;oKRCpwYIppVnQ/J+9/bNdoyNWUMPQ2dQMEigZoyt7FOKTVWR7o1XtIBoAictoFeJn3ioOlQjo/uh&#10;Wi+Xd9UI2EUEbYg4+nRJyl3Bt9bo9NVaMkkMrWRuqVgsdp9ttduq5oAq9k7PNNQ/sPDKBW56g3pS&#10;SYkjur+gvNMIBDYtNPgKrHXalBl4mtXyj2leehVNmYXFoXiTif4frP5y+obCda2spQjK84pKV1Fn&#10;acZIDVe8RK5J0yNMvOJrnDiYJ54s+vzlWQTnWeTzTVgzJaE5WNerzXojhebU+/puvSnCV68/R6T0&#10;0YAX2Wkl8t6KnOr0mRIT4dJrSe4V4NkNQ45nhhcm2UvTfppp76E7M+uRV9tK+nlUaKQYPgXWLt/B&#10;1cGrs5+dC/zDMYF1pXPGvYDN7XgThdB8NXnVv79L1ett734BAAD//wMAUEsDBBQABgAIAAAAIQCC&#10;7Akz3wAAAA0BAAAPAAAAZHJzL2Rvd25yZXYueG1sTE/LTsMwELwj8Q/WInGjToBEEOJUFYITEiIN&#10;B45OvE2sxusQu234e5ZTue3sjOZRrhc3iiPOwXpSkK4SEEidN5Z6BZ/N680DiBA1GT16QgU/GGBd&#10;XV6UujD+RDUet7EXbEKh0AqGGKdCytAN6HRY+QmJuZ2fnY4M516aWZ/Y3I3yNkly6bQlThj0hM8D&#10;dvvtwSnYfFH9Yr/f2496V9umeUzoLd8rdX21bJ5ARFziWQx/9bk6VNyp9QcyQYwKsjThLZGJ7D7j&#10;iyX5XZqBaPmVczbIqpT/V1S/AAAA//8DAFBLAQItABQABgAIAAAAIQC2gziS/gAAAOEBAAATAAAA&#10;AAAAAAAAAAAAAAAAAABbQ29udGVudF9UeXBlc10ueG1sUEsBAi0AFAAGAAgAAAAhADj9If/WAAAA&#10;lAEAAAsAAAAAAAAAAAAAAAAALwEAAF9yZWxzLy5yZWxzUEsBAi0AFAAGAAgAAAAhAC4oUveZAQAA&#10;IwMAAA4AAAAAAAAAAAAAAAAALgIAAGRycy9lMm9Eb2MueG1sUEsBAi0AFAAGAAgAAAAhAILsCTPf&#10;AAAADQEAAA8AAAAAAAAAAAAAAAAA8wMAAGRycy9kb3ducmV2LnhtbFBLBQYAAAAABAAEAPMAAAD/&#10;BAAAAAA=&#10;" filled="f" stroked="f">
              <v:textbox inset="0,0,0,0">
                <w:txbxContent>
                  <w:p w:rsidR="00827ACB" w:rsidRDefault="00827ACB">
                    <w:pPr>
                      <w:pStyle w:val="Headerorfooter20"/>
                      <w:shd w:val="clear" w:color="auto" w:fill="auto"/>
                      <w:rPr>
                        <w:sz w:val="18"/>
                        <w:szCs w:val="18"/>
                      </w:rPr>
                    </w:pPr>
                    <w:r>
                      <w:rPr>
                        <w:rFonts w:ascii="Arial" w:eastAsia="Arial" w:hAnsi="Arial" w:cs="Arial"/>
                        <w:b/>
                        <w:bCs/>
                        <w:sz w:val="18"/>
                        <w:szCs w:val="18"/>
                      </w:rPr>
                      <w:t>Stránka 4 z 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ACB" w:rsidRDefault="00827ACB">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ACB" w:rsidRDefault="00827ACB">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3481070</wp:posOffset>
              </wp:positionH>
              <wp:positionV relativeFrom="page">
                <wp:posOffset>9776460</wp:posOffset>
              </wp:positionV>
              <wp:extent cx="692150" cy="94615"/>
              <wp:effectExtent l="0" t="0" r="0" b="0"/>
              <wp:wrapNone/>
              <wp:docPr id="11" name="Shape 11"/>
              <wp:cNvGraphicFramePr/>
              <a:graphic xmlns:a="http://schemas.openxmlformats.org/drawingml/2006/main">
                <a:graphicData uri="http://schemas.microsoft.com/office/word/2010/wordprocessingShape">
                  <wps:wsp>
                    <wps:cNvSpPr txBox="1"/>
                    <wps:spPr>
                      <a:xfrm>
                        <a:off x="0" y="0"/>
                        <a:ext cx="692150" cy="94615"/>
                      </a:xfrm>
                      <a:prstGeom prst="rect">
                        <a:avLst/>
                      </a:prstGeom>
                      <a:noFill/>
                    </wps:spPr>
                    <wps:txbx>
                      <w:txbxContent>
                        <w:p w:rsidR="00827ACB" w:rsidRDefault="00827ACB">
                          <w:pPr>
                            <w:pStyle w:val="Headerorfooter20"/>
                            <w:shd w:val="clear" w:color="auto" w:fill="auto"/>
                            <w:rPr>
                              <w:sz w:val="19"/>
                              <w:szCs w:val="19"/>
                            </w:rPr>
                          </w:pPr>
                          <w:r>
                            <w:rPr>
                              <w:rFonts w:ascii="Arial" w:eastAsia="Arial" w:hAnsi="Arial" w:cs="Arial"/>
                              <w:sz w:val="19"/>
                              <w:szCs w:val="19"/>
                            </w:rPr>
                            <w:t xml:space="preserve">Stránka </w:t>
                          </w: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z 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8" type="#_x0000_t202" style="position:absolute;margin-left:274.1pt;margin-top:769.8pt;width:54.5pt;height:7.4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YpmAEAACkDAAAOAAAAZHJzL2Uyb0RvYy54bWysUtuK2zAQfS/0H4TeG8ehCY2JE3YJKQul&#10;Lez2AxRZigWWRmiU2Pn7juQ4Wdq30hd5bj5zzsxsdoPt2EUFNOBqXs7mnCknoTHuVPNfb4dPXzjD&#10;KFwjOnCq5leFfLf9+GHT+0otoIWuUYERiMOq9zVvY/RVUaBslRU4A68cJTUEKyK54VQ0QfSEbrti&#10;MZ+vih5C4wNIhUjR/Zjk24yvtZLxh9aoIutqTtxifkN+j+ktthtRnYLwrZE3GuIfWFhhHDW9Q+1F&#10;FOwczF9Q1sgACDrOJNgCtDZSZQ2kppz/oea1FV5lLTQc9Pcx4f+Dld8vPwMzDe2u5MwJSzvKbRn5&#10;NJzeY0U1r56q4vAMAxVOcaRg0jzoYNOX1DDK05iv99GqITJJwdV6US4pIym1/rwqlwmkePzrA8av&#10;CixLRs0DLS7PU1y+YRxLp5LUysHBdF2KJ4IjkWTF4TiMaiaSR2iuxL2nFdfc0Q1y1r04mmC6hskI&#10;k3G8GakH+qdzpD65fQIfoW49aR9ZwO120sLf+7nqceHb3wAAAP//AwBQSwMEFAAGAAgAAAAhALyU&#10;VBrfAAAADQEAAA8AAABkcnMvZG93bnJldi54bWxMj81OwzAQhO9IvIO1SNyoQ6nTkMapUCUu3GgR&#10;Ejc33sZR/RPFbpq8PdsTHHfm0+xMtZ2cZSMOsQtewvMiA4a+CbrzrYSvw/tTASwm5bWywaOEGSNs&#10;6/u7SpU6XP0njvvUMgrxsVQSTEp9yXlsDDoVF6FHT94pDE4lOoeW60FdKdxZvsyynDvVefpgVI87&#10;g815f3ES1tN3wD7iDn9OYzOYbi7sxyzl48P0tgGWcEp/MNzqU3WoqdMxXLyOzEoQq2JJKBni5TUH&#10;Rkgu1iQdb5JYCeB1xf+vqH8BAAD//wMAUEsBAi0AFAAGAAgAAAAhALaDOJL+AAAA4QEAABMAAAAA&#10;AAAAAAAAAAAAAAAAAFtDb250ZW50X1R5cGVzXS54bWxQSwECLQAUAAYACAAAACEAOP0h/9YAAACU&#10;AQAACwAAAAAAAAAAAAAAAAAvAQAAX3JlbHMvLnJlbHNQSwECLQAUAAYACAAAACEAV08mKZgBAAAp&#10;AwAADgAAAAAAAAAAAAAAAAAuAgAAZHJzL2Uyb0RvYy54bWxQSwECLQAUAAYACAAAACEAvJRUGt8A&#10;AAANAQAADwAAAAAAAAAAAAAAAADyAwAAZHJzL2Rvd25yZXYueG1sUEsFBgAAAAAEAAQA8wAAAP4E&#10;AAAAAA==&#10;" filled="f" stroked="f">
              <v:textbox style="mso-fit-shape-to-text:t" inset="0,0,0,0">
                <w:txbxContent>
                  <w:p w:rsidR="00827ACB" w:rsidRDefault="00827ACB">
                    <w:pPr>
                      <w:pStyle w:val="Headerorfooter20"/>
                      <w:shd w:val="clear" w:color="auto" w:fill="auto"/>
                      <w:rPr>
                        <w:sz w:val="19"/>
                        <w:szCs w:val="19"/>
                      </w:rPr>
                    </w:pPr>
                    <w:r>
                      <w:rPr>
                        <w:rFonts w:ascii="Arial" w:eastAsia="Arial" w:hAnsi="Arial" w:cs="Arial"/>
                        <w:sz w:val="19"/>
                        <w:szCs w:val="19"/>
                      </w:rPr>
                      <w:t xml:space="preserve">Stránka </w:t>
                    </w: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z 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ACB" w:rsidRDefault="00827ACB">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7A9" w:rsidRDefault="001A07A9">
    <w:pPr>
      <w:spacing w:line="1" w:lineRule="exact"/>
    </w:pPr>
    <w:r>
      <w:rPr>
        <w:noProof/>
      </w:rPr>
      <mc:AlternateContent>
        <mc:Choice Requires="wps">
          <w:drawing>
            <wp:anchor distT="0" distB="0" distL="0" distR="0" simplePos="0" relativeHeight="251662336" behindDoc="1" locked="0" layoutInCell="1" allowOverlap="1" wp14:anchorId="0D20B64A" wp14:editId="3AFDE5BD">
              <wp:simplePos x="0" y="0"/>
              <wp:positionH relativeFrom="page">
                <wp:posOffset>847725</wp:posOffset>
              </wp:positionH>
              <wp:positionV relativeFrom="page">
                <wp:posOffset>9996170</wp:posOffset>
              </wp:positionV>
              <wp:extent cx="692150" cy="365760"/>
              <wp:effectExtent l="0" t="0" r="0" b="0"/>
              <wp:wrapNone/>
              <wp:docPr id="9" name="Shape 9"/>
              <wp:cNvGraphicFramePr/>
              <a:graphic xmlns:a="http://schemas.openxmlformats.org/drawingml/2006/main">
                <a:graphicData uri="http://schemas.microsoft.com/office/word/2010/wordprocessingShape">
                  <wps:wsp>
                    <wps:cNvSpPr txBox="1"/>
                    <wps:spPr>
                      <a:xfrm>
                        <a:off x="0" y="0"/>
                        <a:ext cx="692150" cy="365760"/>
                      </a:xfrm>
                      <a:prstGeom prst="rect">
                        <a:avLst/>
                      </a:prstGeom>
                      <a:noFill/>
                    </wps:spPr>
                    <wps:txbx>
                      <w:txbxContent>
                        <w:p w:rsidR="001A07A9" w:rsidRDefault="001A07A9">
                          <w:pPr>
                            <w:rPr>
                              <w:sz w:val="2"/>
                              <w:szCs w:val="2"/>
                            </w:rPr>
                          </w:pPr>
                          <w:r>
                            <w:rPr>
                              <w:noProof/>
                            </w:rPr>
                            <w:drawing>
                              <wp:inline distT="0" distB="0" distL="0" distR="0" wp14:anchorId="6FAE53B7" wp14:editId="0DCE8706">
                                <wp:extent cx="694690" cy="36576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pic:blipFill>
                                      <pic:spPr>
                                        <a:xfrm>
                                          <a:off x="0" y="0"/>
                                          <a:ext cx="694690" cy="365760"/>
                                        </a:xfrm>
                                        <a:prstGeom prst="rect">
                                          <a:avLst/>
                                        </a:prstGeom>
                                      </pic:spPr>
                                    </pic:pic>
                                  </a:graphicData>
                                </a:graphic>
                              </wp:inline>
                            </w:drawing>
                          </w:r>
                        </w:p>
                      </w:txbxContent>
                    </wps:txbx>
                    <wps:bodyPr lIns="0" tIns="0" rIns="0" bIns="0"/>
                  </wps:wsp>
                </a:graphicData>
              </a:graphic>
            </wp:anchor>
          </w:drawing>
        </mc:Choice>
        <mc:Fallback>
          <w:pict>
            <v:shapetype w14:anchorId="0D20B64A" id="_x0000_t202" coordsize="21600,21600" o:spt="202" path="m,l,21600r21600,l21600,xe">
              <v:stroke joinstyle="miter"/>
              <v:path gradientshapeok="t" o:connecttype="rect"/>
            </v:shapetype>
            <v:shape id="Shape 9" o:spid="_x0000_s1032" type="#_x0000_t202" style="position:absolute;margin-left:66.75pt;margin-top:787.1pt;width:54.5pt;height:28.8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l2gwEAAAIDAAAOAAAAZHJzL2Uyb0RvYy54bWysUlFLwzAQfhf8DyHvrttk1ZW1AxkTQVSY&#10;/oAsTdZAkwtJXLt/7yVbN9E38SW93F2/+77vslj2uiV74bwCU9LJaEyJMBxqZXYl/Xhf39xT4gMz&#10;NWvBiJIehKfL6vpq0dlCTKGBthaOIIjxRWdL2oRgiyzzvBGa+RFYYbAowWkW8Op2We1Yh+i6zabj&#10;cZ514GrrgAvvMbs6FmmV8KUUPLxK6UUgbUmRW0inS+c2nlm1YMXOMdsofqLB/sBCM2Vw6BlqxQIj&#10;n079gtKKO/Agw4iDzkBKxUXSgGom4x9qNg2zImlBc7w92+T/D5a/7N8cUXVJ55QYpnFFaSqZR2s6&#10;6wvs2FjsCf0D9LjiIe8xGRX30un4RS0E62jy4Wys6APhmMzn08kMKxxLt/nsLk/GZ5efrfPhUYAm&#10;MSipw70lO9n+2Qckgq1DS5xlYK3aNuYjwyOTGIV+2ycxs4HlFuoDkm+fDJoWH8AQuCHYnoIBDY1O&#10;806PIm7y+z3NvDzd6gsAAP//AwBQSwMEFAAGAAgAAAAhAMt1ObXhAAAADQEAAA8AAABkcnMvZG93&#10;bnJldi54bWxMj0FPg0AQhe8m/ofNmHizS6HFiixNY/RkYqR48LiwUyBlZ5HdtvjvHU96m/fm5c03&#10;+Xa2gzjj5HtHCpaLCARS40xPrYKP6uVuA8IHTUYPjlDBN3rYFtdXuc6Mu1CJ531oBZeQz7SCLoQx&#10;k9I3HVrtF25E4t3BTVYHllMrzaQvXG4HGUdRKq3uiS90esSnDpvj/mQV7D6pfO6/3ur38lD2VfUQ&#10;0Wt6VOr2Zt49ggg4h78w/OIzOhTMVLsTGS8G1kmy5igP6/tVDIIj8Spmq2YrTZYbkEUu/39R/AAA&#10;AP//AwBQSwECLQAUAAYACAAAACEAtoM4kv4AAADhAQAAEwAAAAAAAAAAAAAAAAAAAAAAW0NvbnRl&#10;bnRfVHlwZXNdLnhtbFBLAQItABQABgAIAAAAIQA4/SH/1gAAAJQBAAALAAAAAAAAAAAAAAAAAC8B&#10;AABfcmVscy8ucmVsc1BLAQItABQABgAIAAAAIQCwB4l2gwEAAAIDAAAOAAAAAAAAAAAAAAAAAC4C&#10;AABkcnMvZTJvRG9jLnhtbFBLAQItABQABgAIAAAAIQDLdTm14QAAAA0BAAAPAAAAAAAAAAAAAAAA&#10;AN0DAABkcnMvZG93bnJldi54bWxQSwUGAAAAAAQABADzAAAA6wQAAAAA&#10;" filled="f" stroked="f">
              <v:textbox inset="0,0,0,0">
                <w:txbxContent>
                  <w:p w:rsidR="001A07A9" w:rsidRDefault="001A07A9">
                    <w:pPr>
                      <w:rPr>
                        <w:sz w:val="2"/>
                        <w:szCs w:val="2"/>
                      </w:rPr>
                    </w:pPr>
                    <w:r>
                      <w:rPr>
                        <w:noProof/>
                      </w:rPr>
                      <w:drawing>
                        <wp:inline distT="0" distB="0" distL="0" distR="0" wp14:anchorId="6FAE53B7" wp14:editId="0DCE8706">
                          <wp:extent cx="694690" cy="36576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pic:blipFill>
                                <pic:spPr>
                                  <a:xfrm>
                                    <a:off x="0" y="0"/>
                                    <a:ext cx="694690" cy="36576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3963479F" wp14:editId="30BF6EF0">
              <wp:simplePos x="0" y="0"/>
              <wp:positionH relativeFrom="page">
                <wp:posOffset>5135880</wp:posOffset>
              </wp:positionH>
              <wp:positionV relativeFrom="page">
                <wp:posOffset>10242550</wp:posOffset>
              </wp:positionV>
              <wp:extent cx="1471930" cy="393065"/>
              <wp:effectExtent l="0" t="0" r="0" b="0"/>
              <wp:wrapNone/>
              <wp:docPr id="13" name="Shape 13"/>
              <wp:cNvGraphicFramePr/>
              <a:graphic xmlns:a="http://schemas.openxmlformats.org/drawingml/2006/main">
                <a:graphicData uri="http://schemas.microsoft.com/office/word/2010/wordprocessingShape">
                  <wps:wsp>
                    <wps:cNvSpPr txBox="1"/>
                    <wps:spPr>
                      <a:xfrm>
                        <a:off x="0" y="0"/>
                        <a:ext cx="1471930" cy="393065"/>
                      </a:xfrm>
                      <a:prstGeom prst="rect">
                        <a:avLst/>
                      </a:prstGeom>
                      <a:noFill/>
                    </wps:spPr>
                    <wps:txbx>
                      <w:txbxContent>
                        <w:p w:rsidR="001A07A9" w:rsidRDefault="001A07A9">
                          <w:pPr>
                            <w:pStyle w:val="Headerorfooter20"/>
                            <w:shd w:val="clear" w:color="auto" w:fill="auto"/>
                            <w:rPr>
                              <w:sz w:val="18"/>
                              <w:szCs w:val="18"/>
                            </w:rPr>
                          </w:pPr>
                          <w:r>
                            <w:rPr>
                              <w:rFonts w:ascii="Calibri" w:eastAsia="Calibri" w:hAnsi="Calibri" w:cs="Calibri"/>
                              <w:sz w:val="18"/>
                              <w:szCs w:val="18"/>
                            </w:rPr>
                            <w:t>Na Františku 32, 110 15 Praha 1</w:t>
                          </w:r>
                        </w:p>
                        <w:p w:rsidR="001A07A9" w:rsidRDefault="001A07A9">
                          <w:pPr>
                            <w:pStyle w:val="Headerorfooter20"/>
                            <w:shd w:val="clear" w:color="auto" w:fill="auto"/>
                            <w:rPr>
                              <w:sz w:val="18"/>
                              <w:szCs w:val="18"/>
                            </w:rPr>
                          </w:pPr>
                          <w:r>
                            <w:rPr>
                              <w:rFonts w:ascii="Calibri" w:eastAsia="Calibri" w:hAnsi="Calibri" w:cs="Calibri"/>
                              <w:sz w:val="18"/>
                              <w:szCs w:val="18"/>
                            </w:rPr>
                            <w:t>XXXX</w:t>
                          </w:r>
                        </w:p>
                        <w:p w:rsidR="001A07A9" w:rsidRDefault="001A07A9">
                          <w:pPr>
                            <w:pStyle w:val="Headerorfooter20"/>
                            <w:shd w:val="clear" w:color="auto" w:fill="auto"/>
                            <w:rPr>
                              <w:sz w:val="18"/>
                              <w:szCs w:val="18"/>
                            </w:rPr>
                          </w:pPr>
                          <w:r>
                            <w:rPr>
                              <w:rFonts w:ascii="Calibri" w:eastAsia="Calibri" w:hAnsi="Calibri" w:cs="Calibri"/>
                              <w:sz w:val="18"/>
                              <w:szCs w:val="18"/>
                            </w:rPr>
                            <w:t>XXXX</w:t>
                          </w:r>
                        </w:p>
                      </w:txbxContent>
                    </wps:txbx>
                    <wps:bodyPr wrap="none" lIns="0" tIns="0" rIns="0" bIns="0">
                      <a:spAutoFit/>
                    </wps:bodyPr>
                  </wps:wsp>
                </a:graphicData>
              </a:graphic>
            </wp:anchor>
          </w:drawing>
        </mc:Choice>
        <mc:Fallback>
          <w:pict>
            <v:shape w14:anchorId="3963479F" id="Shape 13" o:spid="_x0000_s1033" type="#_x0000_t202" style="position:absolute;margin-left:404.4pt;margin-top:806.5pt;width:115.9pt;height:30.9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8klwEAACsDAAAOAAAAZHJzL2Uyb0RvYy54bWysUttOwzAMfUfiH6K8s+4CA6p1CIRASAiQ&#10;gA/I0mSN1MRRHNbu73GydSB4Q7wkju0cn2N7cdXblm1UQAOu4pPRmDPlJNTGrSv+/nZ3csEZRuFq&#10;0YJTFd8q5FfL46NF50s1hQbaWgVGIA7Lzle8idGXRYGyUVbgCLxyFNQQrIj0DOuiDqIjdNsW0/F4&#10;XnQQah9AKkTy3u6CfJnxtVYyPmuNKrK24sQt5jPkc5XOYrkQ5ToI3xi5pyH+wMIK46joAepWRME+&#10;gvkFZY0MgKDjSIItQGsjVdZAaibjH2peG+FV1kLNQX9oE/4frHzavARmaprdjDMnLM0ol2X0puZ0&#10;HkvKefWUFfsb6Clx8CM5k+ZeB5tuUsMoTm3eHlqr+shk+nR6PrmcUUhSbEbW/CzBFF+/fcB4r8Cy&#10;ZFQ80OhyR8XmEeMudUhJxRzcmbZN/kRxRyVZsV/1Wc98oLmCekvsOxpyxR1tIWftg6Mepn0YjDAY&#10;q72RaqC//ohUJ5dP4DuofU2aSBaw35408u/vnPW148tPAAAA//8DAFBLAwQUAAYACAAAACEALj5Y&#10;PN8AAAAOAQAADwAAAGRycy9kb3ducmV2LnhtbEyPwU7DMBBE70j8g7VI3KhdqNIQ4lSoEhdulAqJ&#10;mxtv4wh7Hdlumvw9zgmOOzOafVPvJmfZiCH2niSsVwIYUut1T52E4+fbQwksJkVaWU8oYcYIu+b2&#10;plaV9lf6wPGQOpZLKFZKgklpqDiPrUGn4soPSNk7++BUymfouA7qmsud5Y9CFNypnvIHowbcG2x/&#10;DhcnYTt9eRwi7vH7PLbB9HNp32cp7++m1xdgCaf0F4YFP6NDk5lO/kI6MiuhFGVGT9ko1k951RIR&#10;G1EAOy3advMMvKn5/xnNLwAAAP//AwBQSwECLQAUAAYACAAAACEAtoM4kv4AAADhAQAAEwAAAAAA&#10;AAAAAAAAAAAAAAAAW0NvbnRlbnRfVHlwZXNdLnhtbFBLAQItABQABgAIAAAAIQA4/SH/1gAAAJQB&#10;AAALAAAAAAAAAAAAAAAAAC8BAABfcmVscy8ucmVsc1BLAQItABQABgAIAAAAIQCt1R8klwEAACsD&#10;AAAOAAAAAAAAAAAAAAAAAC4CAABkcnMvZTJvRG9jLnhtbFBLAQItABQABgAIAAAAIQAuPlg83wAA&#10;AA4BAAAPAAAAAAAAAAAAAAAAAPEDAABkcnMvZG93bnJldi54bWxQSwUGAAAAAAQABADzAAAA/QQA&#10;AAAA&#10;" filled="f" stroked="f">
              <v:textbox style="mso-fit-shape-to-text:t" inset="0,0,0,0">
                <w:txbxContent>
                  <w:p w:rsidR="001A07A9" w:rsidRDefault="001A07A9">
                    <w:pPr>
                      <w:pStyle w:val="Headerorfooter20"/>
                      <w:shd w:val="clear" w:color="auto" w:fill="auto"/>
                      <w:rPr>
                        <w:sz w:val="18"/>
                        <w:szCs w:val="18"/>
                      </w:rPr>
                    </w:pPr>
                    <w:r>
                      <w:rPr>
                        <w:rFonts w:ascii="Calibri" w:eastAsia="Calibri" w:hAnsi="Calibri" w:cs="Calibri"/>
                        <w:sz w:val="18"/>
                        <w:szCs w:val="18"/>
                      </w:rPr>
                      <w:t>Na Františku 32, 110 15 Praha 1</w:t>
                    </w:r>
                  </w:p>
                  <w:p w:rsidR="001A07A9" w:rsidRDefault="001A07A9">
                    <w:pPr>
                      <w:pStyle w:val="Headerorfooter20"/>
                      <w:shd w:val="clear" w:color="auto" w:fill="auto"/>
                      <w:rPr>
                        <w:sz w:val="18"/>
                        <w:szCs w:val="18"/>
                      </w:rPr>
                    </w:pPr>
                    <w:r>
                      <w:rPr>
                        <w:rFonts w:ascii="Calibri" w:eastAsia="Calibri" w:hAnsi="Calibri" w:cs="Calibri"/>
                        <w:sz w:val="18"/>
                        <w:szCs w:val="18"/>
                      </w:rPr>
                      <w:t>XXXX</w:t>
                    </w:r>
                  </w:p>
                  <w:p w:rsidR="001A07A9" w:rsidRDefault="001A07A9">
                    <w:pPr>
                      <w:pStyle w:val="Headerorfooter20"/>
                      <w:shd w:val="clear" w:color="auto" w:fill="auto"/>
                      <w:rPr>
                        <w:sz w:val="18"/>
                        <w:szCs w:val="18"/>
                      </w:rPr>
                    </w:pPr>
                    <w:r>
                      <w:rPr>
                        <w:rFonts w:ascii="Calibri" w:eastAsia="Calibri" w:hAnsi="Calibri" w:cs="Calibri"/>
                        <w:sz w:val="18"/>
                        <w:szCs w:val="18"/>
                      </w:rPr>
                      <w:t>XXXX</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3B0FAE4D" wp14:editId="639E93E4">
              <wp:simplePos x="0" y="0"/>
              <wp:positionH relativeFrom="page">
                <wp:posOffset>853440</wp:posOffset>
              </wp:positionH>
              <wp:positionV relativeFrom="page">
                <wp:posOffset>10434955</wp:posOffset>
              </wp:positionV>
              <wp:extent cx="1435735" cy="243840"/>
              <wp:effectExtent l="0" t="0" r="0" b="0"/>
              <wp:wrapNone/>
              <wp:docPr id="15" name="Shape 15"/>
              <wp:cNvGraphicFramePr/>
              <a:graphic xmlns:a="http://schemas.openxmlformats.org/drawingml/2006/main">
                <a:graphicData uri="http://schemas.microsoft.com/office/word/2010/wordprocessingShape">
                  <wps:wsp>
                    <wps:cNvSpPr txBox="1"/>
                    <wps:spPr>
                      <a:xfrm>
                        <a:off x="0" y="0"/>
                        <a:ext cx="1435735" cy="243840"/>
                      </a:xfrm>
                      <a:prstGeom prst="rect">
                        <a:avLst/>
                      </a:prstGeom>
                      <a:noFill/>
                    </wps:spPr>
                    <wps:txbx>
                      <w:txbxContent>
                        <w:p w:rsidR="001A07A9" w:rsidRDefault="001A07A9">
                          <w:pPr>
                            <w:pStyle w:val="Headerorfooter20"/>
                            <w:shd w:val="clear" w:color="auto" w:fill="auto"/>
                            <w:rPr>
                              <w:sz w:val="18"/>
                              <w:szCs w:val="18"/>
                            </w:rPr>
                          </w:pPr>
                          <w:r>
                            <w:rPr>
                              <w:rFonts w:ascii="Arial" w:eastAsia="Arial" w:hAnsi="Arial" w:cs="Arial"/>
                              <w:sz w:val="18"/>
                              <w:szCs w:val="18"/>
                            </w:rPr>
                            <w:t>MINISTERSTVO</w:t>
                          </w:r>
                        </w:p>
                        <w:p w:rsidR="001A07A9" w:rsidRDefault="001A07A9">
                          <w:pPr>
                            <w:pStyle w:val="Headerorfooter20"/>
                            <w:shd w:val="clear" w:color="auto" w:fill="auto"/>
                            <w:rPr>
                              <w:sz w:val="18"/>
                              <w:szCs w:val="18"/>
                            </w:rPr>
                          </w:pPr>
                          <w:r>
                            <w:rPr>
                              <w:rFonts w:ascii="Arial" w:eastAsia="Arial" w:hAnsi="Arial" w:cs="Arial"/>
                              <w:sz w:val="18"/>
                              <w:szCs w:val="18"/>
                            </w:rPr>
                            <w:t>PRŮMYSLU A OBCHODU</w:t>
                          </w:r>
                        </w:p>
                      </w:txbxContent>
                    </wps:txbx>
                    <wps:bodyPr wrap="none" lIns="0" tIns="0" rIns="0" bIns="0">
                      <a:spAutoFit/>
                    </wps:bodyPr>
                  </wps:wsp>
                </a:graphicData>
              </a:graphic>
            </wp:anchor>
          </w:drawing>
        </mc:Choice>
        <mc:Fallback>
          <w:pict>
            <v:shape w14:anchorId="3B0FAE4D" id="Shape 15" o:spid="_x0000_s1034" type="#_x0000_t202" style="position:absolute;margin-left:67.2pt;margin-top:821.65pt;width:113.05pt;height:19.2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4A5mgEAACsDAAAOAAAAZHJzL2Uyb0RvYy54bWysUttOwzAMfUfiH6K8s45tXFStm0AIhIQA&#10;CfiALE3WSE0cxWHt/h4nWzcEb4iX1LHdc46PM1/2tmUbFdCAq/j5aMyZchJq49YV/3i/P7vmDKNw&#10;tWjBqYpvFfLl4vRk3vlSTaCBtlaBEYjDsvMVb2L0ZVGgbJQVOAKvHBU1BCsiXcO6qIPoCN22xWQ8&#10;viw6CLUPIBUiZe92Rb7I+ForGV+0RhVZW3HSFvMZ8rlKZ7GYi3IdhG+M3MsQf1BhhXFEeoC6E1Gw&#10;z2B+QVkjAyDoOJJgC9DaSJVnoGnOxz+meWuEV3kWMgf9wSb8P1j5vHkNzNS0uwvOnLC0o0zL6E7m&#10;dB5L6nnz1BX7W+ipccgjJdPMvQ42fWkaRnWyeXuwVvWRyfTTbHpxNSUKSbXJbHo9y94Xx799wPig&#10;wLIUVDzQ6rKjYvOEkZRQ69CSyBzcm7ZN+SRxJyVFsV/1eZ6rQeYK6i2p72jJFXf0CjlrHx15mN7D&#10;EIQhWO2DxIH+5jMST6ZP4DuoPSdtJKvav5608u/33HV844svAAAA//8DAFBLAwQUAAYACAAAACEA&#10;cNGmg98AAAANAQAADwAAAGRycy9kb3ducmV2LnhtbEyPzU7DMBCE70i8g7WVuFGnJKRRiFOhSly4&#10;URASNzfexlH9E9lumrw92xPcdnZHs980u9kaNmGIg3cCNusMGLrOq8H1Ar4+3x4rYDFJp6TxDgUs&#10;GGHX3t81slb+6j5wOqSeUYiLtRSgUxprzmOn0cq49iM6up18sDKRDD1XQV4p3Br+lGUlt3Jw9EHL&#10;Efcau/PhYgVs52+PY8Q9/pymLuhhqcz7IsTDan59AZZwTn9muOETOrTEdPQXpyIzpPOiICsNZZHn&#10;wMiSl9kzsONtVW22wNuG/2/R/gIAAP//AwBQSwECLQAUAAYACAAAACEAtoM4kv4AAADhAQAAEwAA&#10;AAAAAAAAAAAAAAAAAAAAW0NvbnRlbnRfVHlwZXNdLnhtbFBLAQItABQABgAIAAAAIQA4/SH/1gAA&#10;AJQBAAALAAAAAAAAAAAAAAAAAC8BAABfcmVscy8ucmVsc1BLAQItABQABgAIAAAAIQDVh4A5mgEA&#10;ACsDAAAOAAAAAAAAAAAAAAAAAC4CAABkcnMvZTJvRG9jLnhtbFBLAQItABQABgAIAAAAIQBw0aaD&#10;3wAAAA0BAAAPAAAAAAAAAAAAAAAAAPQDAABkcnMvZG93bnJldi54bWxQSwUGAAAAAAQABADzAAAA&#10;AAUAAAAA&#10;" filled="f" stroked="f">
              <v:textbox style="mso-fit-shape-to-text:t" inset="0,0,0,0">
                <w:txbxContent>
                  <w:p w:rsidR="001A07A9" w:rsidRDefault="001A07A9">
                    <w:pPr>
                      <w:pStyle w:val="Headerorfooter20"/>
                      <w:shd w:val="clear" w:color="auto" w:fill="auto"/>
                      <w:rPr>
                        <w:sz w:val="18"/>
                        <w:szCs w:val="18"/>
                      </w:rPr>
                    </w:pPr>
                    <w:r>
                      <w:rPr>
                        <w:rFonts w:ascii="Arial" w:eastAsia="Arial" w:hAnsi="Arial" w:cs="Arial"/>
                        <w:sz w:val="18"/>
                        <w:szCs w:val="18"/>
                      </w:rPr>
                      <w:t>MINISTERSTVO</w:t>
                    </w:r>
                  </w:p>
                  <w:p w:rsidR="001A07A9" w:rsidRDefault="001A07A9">
                    <w:pPr>
                      <w:pStyle w:val="Headerorfooter20"/>
                      <w:shd w:val="clear" w:color="auto" w:fill="auto"/>
                      <w:rPr>
                        <w:sz w:val="18"/>
                        <w:szCs w:val="18"/>
                      </w:rPr>
                    </w:pPr>
                    <w:r>
                      <w:rPr>
                        <w:rFonts w:ascii="Arial" w:eastAsia="Arial" w:hAnsi="Arial" w:cs="Arial"/>
                        <w:sz w:val="18"/>
                        <w:szCs w:val="18"/>
                      </w:rPr>
                      <w:t>PRŮMYSLU A OBCHODU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D72" w:rsidRDefault="00160D72"/>
  </w:footnote>
  <w:footnote w:type="continuationSeparator" w:id="0">
    <w:p w:rsidR="00160D72" w:rsidRDefault="00160D72"/>
  </w:footnote>
  <w:footnote w:id="1">
    <w:p w:rsidR="001A07A9" w:rsidRDefault="001A07A9" w:rsidP="001A07A9">
      <w:pPr>
        <w:pStyle w:val="Footnote0"/>
        <w:shd w:val="clear" w:color="auto" w:fill="auto"/>
        <w:jc w:val="both"/>
      </w:pPr>
      <w:r>
        <w:rPr>
          <w:vertAlign w:val="superscript"/>
        </w:rPr>
        <w:footnoteRef/>
      </w:r>
      <w:r>
        <w:t xml:space="preserve"> Podpora de minimis nesmí u jednoho podniku ve smyslu článku 3, odst. 2 Nařízení Komise č. 2023/2831 ze dne 13. prosince 2023 o použití článků 107 a 108 Smlouvy o fungování Evropské unie na podporu de minimis (dále jen „Nařízení de minimis“) přesáhnout částku v CZK, která odpovídá ekvivalentu 300 000 EUR poskytnutých jednomu podniku v rozhodném tříletém období všemi poskytovateli z ČR v režimu de minimis. Podpora de minimis se poskytuje v korunovém ekvivalentu ke kurzu EUR k datu poskytnutí podpory vyhlášeném Evropskou centrální bankou. Rozhodné tříleté období je průběžné a počítá se tři roky zpět od data poskytnutí podpory tímto Rozhodnutím dle nařízení de minimis.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7A9" w:rsidRDefault="001A07A9">
    <w:pPr>
      <w:spacing w:line="1" w:lineRule="exact"/>
    </w:pPr>
    <w:r>
      <w:rPr>
        <w:noProof/>
      </w:rPr>
      <mc:AlternateContent>
        <mc:Choice Requires="wps">
          <w:drawing>
            <wp:anchor distT="0" distB="0" distL="0" distR="0" simplePos="0" relativeHeight="251659264" behindDoc="1" locked="0" layoutInCell="1" allowOverlap="1" wp14:anchorId="483B6975" wp14:editId="2A497AAF">
              <wp:simplePos x="0" y="0"/>
              <wp:positionH relativeFrom="page">
                <wp:posOffset>5029200</wp:posOffset>
              </wp:positionH>
              <wp:positionV relativeFrom="page">
                <wp:posOffset>118745</wp:posOffset>
              </wp:positionV>
              <wp:extent cx="2157730" cy="445135"/>
              <wp:effectExtent l="0" t="0" r="0" b="0"/>
              <wp:wrapNone/>
              <wp:docPr id="26" name="Shape 1"/>
              <wp:cNvGraphicFramePr/>
              <a:graphic xmlns:a="http://schemas.openxmlformats.org/drawingml/2006/main">
                <a:graphicData uri="http://schemas.microsoft.com/office/word/2010/wordprocessingShape">
                  <wps:wsp>
                    <wps:cNvSpPr txBox="1"/>
                    <wps:spPr>
                      <a:xfrm>
                        <a:off x="0" y="0"/>
                        <a:ext cx="2157730" cy="445135"/>
                      </a:xfrm>
                      <a:prstGeom prst="rect">
                        <a:avLst/>
                      </a:prstGeom>
                      <a:noFill/>
                    </wps:spPr>
                    <wps:txbx>
                      <w:txbxContent>
                        <w:p w:rsidR="001A07A9" w:rsidRDefault="001A07A9">
                          <w:pPr>
                            <w:pStyle w:val="Headerorfooter20"/>
                            <w:shd w:val="clear" w:color="auto" w:fill="auto"/>
                            <w:rPr>
                              <w:sz w:val="22"/>
                              <w:szCs w:val="22"/>
                            </w:rPr>
                          </w:pPr>
                          <w:r>
                            <w:rPr>
                              <w:rFonts w:ascii="Corbel" w:eastAsia="Corbel" w:hAnsi="Corbel" w:cs="Corbel"/>
                              <w:smallCaps/>
                              <w:color w:val="222222"/>
                              <w:sz w:val="22"/>
                              <w:szCs w:val="22"/>
                            </w:rPr>
                            <w:t>operační program</w:t>
                          </w:r>
                        </w:p>
                        <w:p w:rsidR="001A07A9" w:rsidRDefault="001A07A9">
                          <w:pPr>
                            <w:pStyle w:val="Headerorfooter20"/>
                            <w:shd w:val="clear" w:color="auto" w:fill="auto"/>
                            <w:rPr>
                              <w:sz w:val="24"/>
                              <w:szCs w:val="24"/>
                            </w:rPr>
                          </w:pPr>
                          <w:r>
                            <w:rPr>
                              <w:rFonts w:ascii="Corbel" w:eastAsia="Corbel" w:hAnsi="Corbel" w:cs="Corbel"/>
                              <w:sz w:val="24"/>
                              <w:szCs w:val="24"/>
                            </w:rPr>
                            <w:t>TECHNOLOGIE A APLIKACE</w:t>
                          </w:r>
                        </w:p>
                        <w:p w:rsidR="001A07A9" w:rsidRDefault="001A07A9">
                          <w:pPr>
                            <w:pStyle w:val="Headerorfooter20"/>
                            <w:shd w:val="clear" w:color="auto" w:fill="auto"/>
                            <w:rPr>
                              <w:sz w:val="24"/>
                              <w:szCs w:val="24"/>
                            </w:rPr>
                          </w:pPr>
                          <w:r>
                            <w:rPr>
                              <w:rFonts w:ascii="Corbel" w:eastAsia="Corbel" w:hAnsi="Corbel" w:cs="Corbel"/>
                              <w:sz w:val="24"/>
                              <w:szCs w:val="24"/>
                            </w:rPr>
                            <w:t>PRO KONKURENCESCHOPNOST</w:t>
                          </w:r>
                        </w:p>
                      </w:txbxContent>
                    </wps:txbx>
                    <wps:bodyPr wrap="none" lIns="0" tIns="0" rIns="0" bIns="0">
                      <a:spAutoFit/>
                    </wps:bodyPr>
                  </wps:wsp>
                </a:graphicData>
              </a:graphic>
            </wp:anchor>
          </w:drawing>
        </mc:Choice>
        <mc:Fallback>
          <w:pict>
            <v:shapetype w14:anchorId="483B6975" id="_x0000_t202" coordsize="21600,21600" o:spt="202" path="m,l,21600r21600,l21600,xe">
              <v:stroke joinstyle="miter"/>
              <v:path gradientshapeok="t" o:connecttype="rect"/>
            </v:shapetype>
            <v:shape id="Shape 1" o:spid="_x0000_s1029" type="#_x0000_t202" style="position:absolute;margin-left:396pt;margin-top:9.35pt;width:169.9pt;height:35.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a4mwEAACoDAAAOAAAAZHJzL2Uyb0RvYy54bWysUlFP4zAMfke6/xDl/dZ1Y4CqdQiEOCGd&#10;AAn4AVmarJGaOIrD2v37c9J1O3FvJ15cx3Y/f5/t9e1gO7ZXAQ24mpezOWfKSWiM29X84/3x5w1n&#10;GIVrRAdO1fygkN9uflyse1+pBbTQNSowAnFY9b7mbYy+KgqUrbICZ+CVo6SGYEWkZ9gVTRA9oduu&#10;WMznV0UPofEBpEKk6MOY5JuMr7WS8UVrVJF1NSduMduQ7TbZYrMW1S4I3xp5pCH+g4UVxlHTE9SD&#10;iIJ9BvMPlDUyAIKOMwm2AK2NVFkDqSnnX9S8tcKrrIWGg/40Jvw+WPm8fw3MNDVfXHHmhKUd5bas&#10;TLPpPVZU8uapKA73MNCOpzhSMEkedLDpS2IY5WnKh9Nk1RCZpOCiXF1fLyklKXd5uSqXqwRTnP/2&#10;AeMvBZYlp+aBNpcHKva/MY6lU0lq5uDRdF2KJ4ojleTFYTuMciaaW2gOxL6nHdfc0RFy1j05GmE6&#10;h8kJk7M9OqkH+rvPSH1y+wQ+Qh170kKygOPxpI3//c5V5xPf/AEAAP//AwBQSwMEFAAGAAgAAAAh&#10;AOTfpyPcAAAACgEAAA8AAABkcnMvZG93bnJldi54bWxMj8FOwzAQRO9I/IO1SNyokyJRE+JUqBIX&#10;bhRUiZubbOMIex3Zbpr8PdsTHFczevum3s7eiQljGgJpKFcFCKQ2dAP1Gr4+3x4UiJQNdcYFQg0L&#10;Jtg2tze1qbpwoQ+c9rkXDKFUGQ0257GSMrUWvUmrMCJxdgrRm8xn7GUXzYXh3sl1UTxJbwbiD9aM&#10;uLPY/uzPXsNmPgQcE+7w+zS10Q6Lcu+L1vd38+sLiIxz/ivDVZ/VoWGnYzhTl4RjxvOat2QO1AbE&#10;tVA+ljzmqEEpBbKp5f8JzS8AAAD//wMAUEsBAi0AFAAGAAgAAAAhALaDOJL+AAAA4QEAABMAAAAA&#10;AAAAAAAAAAAAAAAAAFtDb250ZW50X1R5cGVzXS54bWxQSwECLQAUAAYACAAAACEAOP0h/9YAAACU&#10;AQAACwAAAAAAAAAAAAAAAAAvAQAAX3JlbHMvLnJlbHNQSwECLQAUAAYACAAAACEApGH2uJsBAAAq&#10;AwAADgAAAAAAAAAAAAAAAAAuAgAAZHJzL2Uyb0RvYy54bWxQSwECLQAUAAYACAAAACEA5N+nI9wA&#10;AAAKAQAADwAAAAAAAAAAAAAAAAD1AwAAZHJzL2Rvd25yZXYueG1sUEsFBgAAAAAEAAQA8wAAAP4E&#10;AAAAAA==&#10;" filled="f" stroked="f">
              <v:textbox style="mso-fit-shape-to-text:t" inset="0,0,0,0">
                <w:txbxContent>
                  <w:p w:rsidR="001A07A9" w:rsidRDefault="001A07A9">
                    <w:pPr>
                      <w:pStyle w:val="Headerorfooter20"/>
                      <w:shd w:val="clear" w:color="auto" w:fill="auto"/>
                      <w:rPr>
                        <w:sz w:val="22"/>
                        <w:szCs w:val="22"/>
                      </w:rPr>
                    </w:pPr>
                    <w:r>
                      <w:rPr>
                        <w:rFonts w:ascii="Corbel" w:eastAsia="Corbel" w:hAnsi="Corbel" w:cs="Corbel"/>
                        <w:smallCaps/>
                        <w:color w:val="222222"/>
                        <w:sz w:val="22"/>
                        <w:szCs w:val="22"/>
                      </w:rPr>
                      <w:t>operační program</w:t>
                    </w:r>
                  </w:p>
                  <w:p w:rsidR="001A07A9" w:rsidRDefault="001A07A9">
                    <w:pPr>
                      <w:pStyle w:val="Headerorfooter20"/>
                      <w:shd w:val="clear" w:color="auto" w:fill="auto"/>
                      <w:rPr>
                        <w:sz w:val="24"/>
                        <w:szCs w:val="24"/>
                      </w:rPr>
                    </w:pPr>
                    <w:r>
                      <w:rPr>
                        <w:rFonts w:ascii="Corbel" w:eastAsia="Corbel" w:hAnsi="Corbel" w:cs="Corbel"/>
                        <w:sz w:val="24"/>
                        <w:szCs w:val="24"/>
                      </w:rPr>
                      <w:t>TECHNOLOGIE A APLIKACE</w:t>
                    </w:r>
                  </w:p>
                  <w:p w:rsidR="001A07A9" w:rsidRDefault="001A07A9">
                    <w:pPr>
                      <w:pStyle w:val="Headerorfooter20"/>
                      <w:shd w:val="clear" w:color="auto" w:fill="auto"/>
                      <w:rPr>
                        <w:sz w:val="24"/>
                        <w:szCs w:val="24"/>
                      </w:rPr>
                    </w:pPr>
                    <w:r>
                      <w:rPr>
                        <w:rFonts w:ascii="Corbel" w:eastAsia="Corbel" w:hAnsi="Corbel" w:cs="Corbel"/>
                        <w:sz w:val="24"/>
                        <w:szCs w:val="24"/>
                      </w:rPr>
                      <w:t>PRO KONKURENCESCHOPNOST</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5FF4427F" wp14:editId="38A7E172">
              <wp:simplePos x="0" y="0"/>
              <wp:positionH relativeFrom="page">
                <wp:posOffset>850900</wp:posOffset>
              </wp:positionH>
              <wp:positionV relativeFrom="page">
                <wp:posOffset>140335</wp:posOffset>
              </wp:positionV>
              <wp:extent cx="725170" cy="487680"/>
              <wp:effectExtent l="0" t="0" r="0" b="0"/>
              <wp:wrapNone/>
              <wp:docPr id="27" name="Shape 3"/>
              <wp:cNvGraphicFramePr/>
              <a:graphic xmlns:a="http://schemas.openxmlformats.org/drawingml/2006/main">
                <a:graphicData uri="http://schemas.microsoft.com/office/word/2010/wordprocessingShape">
                  <wps:wsp>
                    <wps:cNvSpPr txBox="1"/>
                    <wps:spPr>
                      <a:xfrm>
                        <a:off x="0" y="0"/>
                        <a:ext cx="725170" cy="487680"/>
                      </a:xfrm>
                      <a:prstGeom prst="rect">
                        <a:avLst/>
                      </a:prstGeom>
                      <a:noFill/>
                    </wps:spPr>
                    <wps:txbx>
                      <w:txbxContent>
                        <w:p w:rsidR="001A07A9" w:rsidRDefault="001A07A9">
                          <w:pPr>
                            <w:rPr>
                              <w:sz w:val="2"/>
                              <w:szCs w:val="2"/>
                            </w:rPr>
                          </w:pPr>
                          <w:r>
                            <w:rPr>
                              <w:noProof/>
                            </w:rPr>
                            <w:drawing>
                              <wp:inline distT="0" distB="0" distL="0" distR="0" wp14:anchorId="10467FFD" wp14:editId="7BA8BD9C">
                                <wp:extent cx="725170" cy="487680"/>
                                <wp:effectExtent l="0" t="0" r="0" b="0"/>
                                <wp:docPr id="29"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725170" cy="487680"/>
                                        </a:xfrm>
                                        <a:prstGeom prst="rect">
                                          <a:avLst/>
                                        </a:prstGeom>
                                      </pic:spPr>
                                    </pic:pic>
                                  </a:graphicData>
                                </a:graphic>
                              </wp:inline>
                            </w:drawing>
                          </w:r>
                        </w:p>
                      </w:txbxContent>
                    </wps:txbx>
                    <wps:bodyPr lIns="0" tIns="0" rIns="0" bIns="0"/>
                  </wps:wsp>
                </a:graphicData>
              </a:graphic>
            </wp:anchor>
          </w:drawing>
        </mc:Choice>
        <mc:Fallback>
          <w:pict>
            <v:shape w14:anchorId="5FF4427F" id="Shape 3" o:spid="_x0000_s1030" type="#_x0000_t202" style="position:absolute;margin-left:67pt;margin-top:11.05pt;width:57.1pt;height:3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WchAEAAAMDAAAOAAAAZHJzL2Uyb0RvYy54bWysUlFLwzAQfhf8DyHvrlvVbZR1AxkTQVSY&#10;/oAsTdZAkwtJXLt/7yVbO9E38SW93F2/+77vslh1uiEH4bwCU9LJaEyJMBwqZfYl/Xjf3Mwp8YGZ&#10;ijVgREmPwtPV8vpq0dpC5FBDUwlHEMT4orUlrUOwRZZ5XgvN/AisMFiU4DQLeHX7rHKsRXTdZPl4&#10;PM1acJV1wIX3mF2finSZ8KUUPLxK6UUgTUmRW0inS+cuntlywYq9Y7ZW/EyD/YGFZsrg0AFqzQIj&#10;n079gtKKO/Agw4iDzkBKxUXSgGom4x9qtjWzImlBc7wdbPL/B8tfDm+OqKqk+YwSwzTuKI0lt9Gb&#10;1voCW7YWm0L3AB3uuM97TEbJnXQ6flEMwTq6fBycFV0gHJOz/H4ywwrH0t18Np0n57PLz9b58ChA&#10;kxiU1OHikp/s8OwDEsHWviXOMrBRTRPzkeGJSYxCt+uSmoH9Dqojkm+eDLoWX0AfuD7YnYMeDZ1O&#10;886vIq7y+z3NvLzd5RcAAAD//wMAUEsDBBQABgAIAAAAIQC0rxi73wAAAAkBAAAPAAAAZHJzL2Rv&#10;d25yZXYueG1sTI8xT8MwFIR3JP6D9ZDYqFNTVUmIU1VVmZAQaRgYndhNrMbPIXbb8O95THQ83enu&#10;u2Izu4FdzBSsRwnLRQLMYOu1xU7CZ/36lAILUaFWg0cj4ccE2JT3d4XKtb9iZS6H2DEqwZArCX2M&#10;Y855aHvjVFj40SB5Rz85FUlOHdeTulK5G7hIkjV3yiIt9Go0u960p8PZSdh+YbW33+/NR3WsbF1n&#10;Cb6tT1I+PszbF2DRzPE/DH/4hA4lMTX+jDqwgfTzir5ECUIsgVFArFIBrJGQpRnwsuC3D8pfAAAA&#10;//8DAFBLAQItABQABgAIAAAAIQC2gziS/gAAAOEBAAATAAAAAAAAAAAAAAAAAAAAAABbQ29udGVu&#10;dF9UeXBlc10ueG1sUEsBAi0AFAAGAAgAAAAhADj9If/WAAAAlAEAAAsAAAAAAAAAAAAAAAAALwEA&#10;AF9yZWxzLy5yZWxzUEsBAi0AFAAGAAgAAAAhABYktZyEAQAAAwMAAA4AAAAAAAAAAAAAAAAALgIA&#10;AGRycy9lMm9Eb2MueG1sUEsBAi0AFAAGAAgAAAAhALSvGLvfAAAACQEAAA8AAAAAAAAAAAAAAAAA&#10;3gMAAGRycy9kb3ducmV2LnhtbFBLBQYAAAAABAAEAPMAAADqBAAAAAA=&#10;" filled="f" stroked="f">
              <v:textbox inset="0,0,0,0">
                <w:txbxContent>
                  <w:p w:rsidR="001A07A9" w:rsidRDefault="001A07A9">
                    <w:pPr>
                      <w:rPr>
                        <w:sz w:val="2"/>
                        <w:szCs w:val="2"/>
                      </w:rPr>
                    </w:pPr>
                    <w:r>
                      <w:rPr>
                        <w:noProof/>
                      </w:rPr>
                      <w:drawing>
                        <wp:inline distT="0" distB="0" distL="0" distR="0" wp14:anchorId="10467FFD" wp14:editId="7BA8BD9C">
                          <wp:extent cx="725170" cy="487680"/>
                          <wp:effectExtent l="0" t="0" r="0" b="0"/>
                          <wp:docPr id="29"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725170" cy="48768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1B80AE0E" wp14:editId="32A2082F">
              <wp:simplePos x="0" y="0"/>
              <wp:positionH relativeFrom="page">
                <wp:posOffset>1689100</wp:posOffset>
              </wp:positionH>
              <wp:positionV relativeFrom="page">
                <wp:posOffset>189230</wp:posOffset>
              </wp:positionV>
              <wp:extent cx="1368425" cy="362585"/>
              <wp:effectExtent l="0" t="0" r="0" b="0"/>
              <wp:wrapNone/>
              <wp:docPr id="28" name="Shape 7"/>
              <wp:cNvGraphicFramePr/>
              <a:graphic xmlns:a="http://schemas.openxmlformats.org/drawingml/2006/main">
                <a:graphicData uri="http://schemas.microsoft.com/office/word/2010/wordprocessingShape">
                  <wps:wsp>
                    <wps:cNvSpPr txBox="1"/>
                    <wps:spPr>
                      <a:xfrm>
                        <a:off x="0" y="0"/>
                        <a:ext cx="1368425" cy="362585"/>
                      </a:xfrm>
                      <a:prstGeom prst="rect">
                        <a:avLst/>
                      </a:prstGeom>
                      <a:noFill/>
                    </wps:spPr>
                    <wps:txbx>
                      <w:txbxContent>
                        <w:p w:rsidR="001A07A9" w:rsidRDefault="001A07A9">
                          <w:pPr>
                            <w:pStyle w:val="Headerorfooter20"/>
                            <w:shd w:val="clear" w:color="auto" w:fill="auto"/>
                            <w:rPr>
                              <w:sz w:val="28"/>
                              <w:szCs w:val="28"/>
                            </w:rPr>
                          </w:pPr>
                          <w:r>
                            <w:rPr>
                              <w:rFonts w:ascii="Calibri" w:eastAsia="Calibri" w:hAnsi="Calibri" w:cs="Calibri"/>
                              <w:color w:val="3E4479"/>
                              <w:sz w:val="28"/>
                              <w:szCs w:val="28"/>
                            </w:rPr>
                            <w:t>Spolufinancováno</w:t>
                          </w:r>
                        </w:p>
                        <w:p w:rsidR="001A07A9" w:rsidRDefault="001A07A9">
                          <w:pPr>
                            <w:pStyle w:val="Headerorfooter20"/>
                            <w:shd w:val="clear" w:color="auto" w:fill="auto"/>
                            <w:rPr>
                              <w:sz w:val="28"/>
                              <w:szCs w:val="28"/>
                            </w:rPr>
                          </w:pPr>
                          <w:r>
                            <w:rPr>
                              <w:rFonts w:ascii="Calibri" w:eastAsia="Calibri" w:hAnsi="Calibri" w:cs="Calibri"/>
                              <w:color w:val="3E4479"/>
                              <w:sz w:val="28"/>
                              <w:szCs w:val="28"/>
                            </w:rPr>
                            <w:t>Evropskou unií</w:t>
                          </w:r>
                        </w:p>
                      </w:txbxContent>
                    </wps:txbx>
                    <wps:bodyPr wrap="none" lIns="0" tIns="0" rIns="0" bIns="0">
                      <a:spAutoFit/>
                    </wps:bodyPr>
                  </wps:wsp>
                </a:graphicData>
              </a:graphic>
            </wp:anchor>
          </w:drawing>
        </mc:Choice>
        <mc:Fallback>
          <w:pict>
            <v:shape w14:anchorId="1B80AE0E" id="_x0000_s1031" type="#_x0000_t202" style="position:absolute;margin-left:133pt;margin-top:14.9pt;width:107.75pt;height:28.5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UyHnAEAACoDAAAOAAAAZHJzL2Uyb0RvYy54bWysUsFu2zAMvRfoPwi6N07dJA2MOMWGosWA&#10;ohvQ9QNkWYoFWKIgKrHz96OUOC2229CLRJHUIx8fNw+j7dlBBTTgan47m3OmnITWuF3N338/3aw5&#10;wyhcK3pwquZHhfxhe321GXylSuigb1VgBOKwGnzNuxh9VRQoO2UFzsArR0ENwYpIz7Ar2iAGQrd9&#10;Uc7nq2KA0PoAUiGS9/EU5NuMr7WS8afWqCLra069xXyGfDbpLLYbUe2C8J2R5zbEf3RhhXFU9AL1&#10;KKJg+2D+gbJGBkDQcSbBFqC1kSpzIDa387/YvHXCq8yFhoP+Mib8Olj5evgVmGlrXpJSTljSKJdl&#10;92k2g8eKUt48JcXxO4yk8eRHcibKow423USGUZymfLxMVo2RyfTpbrVelEvOJMXuVuVyvUwwxcdv&#10;HzA+K7AsGTUPpFweqDi8YDylTimpmIMn0/fJn1o8tZKsODZjprOY2mygPVL3A2lcc0dLyFn/w9EI&#10;0zpMRpiM5mykGui/7SPVyeUT+AnqXJMEyQTOy5MU//zOWR8rvv0DAAD//wMAUEsDBBQABgAIAAAA&#10;IQBCEm/c3AAAAAkBAAAPAAAAZHJzL2Rvd25yZXYueG1sTI/BTsMwDIbvSLxDZCRuLN0EpStNJzSJ&#10;CzcGQuKWNV5TkThVknXt22NOcLPlX7+/r9nN3okJYxoCKVivChBIXTAD9Qo+3l/uKhApazLaBUIF&#10;CybYtddXja5NuNAbTofcCy6hVGsFNuexljJ1Fr1OqzAi8e0UoteZ19hLE/WFy72Tm6IopdcD8Qer&#10;R9xb7L4PZ6/gcf4MOCbc49dp6qIdlsq9Lkrd3szPTyAyzvkvDL/4jA4tMx3DmUwSTsGmLNkl87Bl&#10;BQ7cV+sHEEcFVbkF2Tbyv0H7AwAA//8DAFBLAQItABQABgAIAAAAIQC2gziS/gAAAOEBAAATAAAA&#10;AAAAAAAAAAAAAAAAAABbQ29udGVudF9UeXBlc10ueG1sUEsBAi0AFAAGAAgAAAAhADj9If/WAAAA&#10;lAEAAAsAAAAAAAAAAAAAAAAALwEAAF9yZWxzLy5yZWxzUEsBAi0AFAAGAAgAAAAhAND1TIecAQAA&#10;KgMAAA4AAAAAAAAAAAAAAAAALgIAAGRycy9lMm9Eb2MueG1sUEsBAi0AFAAGAAgAAAAhAEISb9zc&#10;AAAACQEAAA8AAAAAAAAAAAAAAAAA9gMAAGRycy9kb3ducmV2LnhtbFBLBQYAAAAABAAEAPMAAAD/&#10;BAAAAAA=&#10;" filled="f" stroked="f">
              <v:textbox style="mso-fit-shape-to-text:t" inset="0,0,0,0">
                <w:txbxContent>
                  <w:p w:rsidR="001A07A9" w:rsidRDefault="001A07A9">
                    <w:pPr>
                      <w:pStyle w:val="Headerorfooter20"/>
                      <w:shd w:val="clear" w:color="auto" w:fill="auto"/>
                      <w:rPr>
                        <w:sz w:val="28"/>
                        <w:szCs w:val="28"/>
                      </w:rPr>
                    </w:pPr>
                    <w:r>
                      <w:rPr>
                        <w:rFonts w:ascii="Calibri" w:eastAsia="Calibri" w:hAnsi="Calibri" w:cs="Calibri"/>
                        <w:color w:val="3E4479"/>
                        <w:sz w:val="28"/>
                        <w:szCs w:val="28"/>
                      </w:rPr>
                      <w:t>Spolufinancováno</w:t>
                    </w:r>
                  </w:p>
                  <w:p w:rsidR="001A07A9" w:rsidRDefault="001A07A9">
                    <w:pPr>
                      <w:pStyle w:val="Headerorfooter20"/>
                      <w:shd w:val="clear" w:color="auto" w:fill="auto"/>
                      <w:rPr>
                        <w:sz w:val="28"/>
                        <w:szCs w:val="28"/>
                      </w:rPr>
                    </w:pPr>
                    <w:r>
                      <w:rPr>
                        <w:rFonts w:ascii="Calibri" w:eastAsia="Calibri" w:hAnsi="Calibri" w:cs="Calibri"/>
                        <w:color w:val="3E4479"/>
                        <w:sz w:val="28"/>
                        <w:szCs w:val="28"/>
                      </w:rPr>
                      <w:t>Evropskou unií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1561"/>
    <w:multiLevelType w:val="multilevel"/>
    <w:tmpl w:val="BF467CF4"/>
    <w:lvl w:ilvl="0">
      <w:start w:val="1"/>
      <w:numFmt w:val="decimal"/>
      <w:lvlText w:val="6.10.%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0C4909"/>
    <w:multiLevelType w:val="multilevel"/>
    <w:tmpl w:val="46D47F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C54035"/>
    <w:multiLevelType w:val="multilevel"/>
    <w:tmpl w:val="DC962464"/>
    <w:lvl w:ilvl="0">
      <w:start w:val="1"/>
      <w:numFmt w:val="decimal"/>
      <w:lvlText w:val="6.1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863A79"/>
    <w:multiLevelType w:val="multilevel"/>
    <w:tmpl w:val="09BE4140"/>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D765CA"/>
    <w:multiLevelType w:val="multilevel"/>
    <w:tmpl w:val="846CA370"/>
    <w:lvl w:ilvl="0">
      <w:start w:val="1"/>
      <w:numFmt w:val="decimal"/>
      <w:lvlText w:val="6.13.%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6B4BA8"/>
    <w:multiLevelType w:val="hybridMultilevel"/>
    <w:tmpl w:val="A61893B2"/>
    <w:lvl w:ilvl="0" w:tplc="B852DAF0">
      <w:numFmt w:val="bullet"/>
      <w:lvlText w:val="-"/>
      <w:lvlJc w:val="left"/>
      <w:pPr>
        <w:ind w:left="1160" w:hanging="360"/>
      </w:pPr>
      <w:rPr>
        <w:rFonts w:ascii="Arial" w:eastAsia="Arial" w:hAnsi="Arial" w:cs="Arial" w:hint="default"/>
      </w:rPr>
    </w:lvl>
    <w:lvl w:ilvl="1" w:tplc="04050003" w:tentative="1">
      <w:start w:val="1"/>
      <w:numFmt w:val="bullet"/>
      <w:lvlText w:val="o"/>
      <w:lvlJc w:val="left"/>
      <w:pPr>
        <w:ind w:left="1880" w:hanging="360"/>
      </w:pPr>
      <w:rPr>
        <w:rFonts w:ascii="Courier New" w:hAnsi="Courier New" w:cs="Courier New" w:hint="default"/>
      </w:rPr>
    </w:lvl>
    <w:lvl w:ilvl="2" w:tplc="04050005" w:tentative="1">
      <w:start w:val="1"/>
      <w:numFmt w:val="bullet"/>
      <w:lvlText w:val=""/>
      <w:lvlJc w:val="left"/>
      <w:pPr>
        <w:ind w:left="2600" w:hanging="360"/>
      </w:pPr>
      <w:rPr>
        <w:rFonts w:ascii="Wingdings" w:hAnsi="Wingdings" w:hint="default"/>
      </w:rPr>
    </w:lvl>
    <w:lvl w:ilvl="3" w:tplc="04050001" w:tentative="1">
      <w:start w:val="1"/>
      <w:numFmt w:val="bullet"/>
      <w:lvlText w:val=""/>
      <w:lvlJc w:val="left"/>
      <w:pPr>
        <w:ind w:left="3320" w:hanging="360"/>
      </w:pPr>
      <w:rPr>
        <w:rFonts w:ascii="Symbol" w:hAnsi="Symbol" w:hint="default"/>
      </w:rPr>
    </w:lvl>
    <w:lvl w:ilvl="4" w:tplc="04050003" w:tentative="1">
      <w:start w:val="1"/>
      <w:numFmt w:val="bullet"/>
      <w:lvlText w:val="o"/>
      <w:lvlJc w:val="left"/>
      <w:pPr>
        <w:ind w:left="4040" w:hanging="360"/>
      </w:pPr>
      <w:rPr>
        <w:rFonts w:ascii="Courier New" w:hAnsi="Courier New" w:cs="Courier New" w:hint="default"/>
      </w:rPr>
    </w:lvl>
    <w:lvl w:ilvl="5" w:tplc="04050005" w:tentative="1">
      <w:start w:val="1"/>
      <w:numFmt w:val="bullet"/>
      <w:lvlText w:val=""/>
      <w:lvlJc w:val="left"/>
      <w:pPr>
        <w:ind w:left="4760" w:hanging="360"/>
      </w:pPr>
      <w:rPr>
        <w:rFonts w:ascii="Wingdings" w:hAnsi="Wingdings" w:hint="default"/>
      </w:rPr>
    </w:lvl>
    <w:lvl w:ilvl="6" w:tplc="04050001" w:tentative="1">
      <w:start w:val="1"/>
      <w:numFmt w:val="bullet"/>
      <w:lvlText w:val=""/>
      <w:lvlJc w:val="left"/>
      <w:pPr>
        <w:ind w:left="5480" w:hanging="360"/>
      </w:pPr>
      <w:rPr>
        <w:rFonts w:ascii="Symbol" w:hAnsi="Symbol" w:hint="default"/>
      </w:rPr>
    </w:lvl>
    <w:lvl w:ilvl="7" w:tplc="04050003" w:tentative="1">
      <w:start w:val="1"/>
      <w:numFmt w:val="bullet"/>
      <w:lvlText w:val="o"/>
      <w:lvlJc w:val="left"/>
      <w:pPr>
        <w:ind w:left="6200" w:hanging="360"/>
      </w:pPr>
      <w:rPr>
        <w:rFonts w:ascii="Courier New" w:hAnsi="Courier New" w:cs="Courier New" w:hint="default"/>
      </w:rPr>
    </w:lvl>
    <w:lvl w:ilvl="8" w:tplc="04050005" w:tentative="1">
      <w:start w:val="1"/>
      <w:numFmt w:val="bullet"/>
      <w:lvlText w:val=""/>
      <w:lvlJc w:val="left"/>
      <w:pPr>
        <w:ind w:left="6920" w:hanging="360"/>
      </w:pPr>
      <w:rPr>
        <w:rFonts w:ascii="Wingdings" w:hAnsi="Wingdings" w:hint="default"/>
      </w:rPr>
    </w:lvl>
  </w:abstractNum>
  <w:abstractNum w:abstractNumId="6" w15:restartNumberingAfterBreak="0">
    <w:nsid w:val="3B1D0165"/>
    <w:multiLevelType w:val="multilevel"/>
    <w:tmpl w:val="3BE633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871B0"/>
    <w:multiLevelType w:val="multilevel"/>
    <w:tmpl w:val="9E7439CC"/>
    <w:lvl w:ilvl="0">
      <w:start w:val="8"/>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B11762"/>
    <w:multiLevelType w:val="multilevel"/>
    <w:tmpl w:val="6B60D4C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1E0795"/>
    <w:multiLevelType w:val="multilevel"/>
    <w:tmpl w:val="084E0F9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8A2DF3"/>
    <w:multiLevelType w:val="multilevel"/>
    <w:tmpl w:val="15BC53A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941C31"/>
    <w:multiLevelType w:val="multilevel"/>
    <w:tmpl w:val="93D00B54"/>
    <w:lvl w:ilvl="0">
      <w:start w:val="1"/>
      <w:numFmt w:val="decimal"/>
      <w:lvlText w:val="6.8.%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FF1440"/>
    <w:multiLevelType w:val="multilevel"/>
    <w:tmpl w:val="37369C1A"/>
    <w:lvl w:ilvl="0">
      <w:start w:val="1"/>
      <w:numFmt w:val="decimal"/>
      <w:lvlText w:val="6.9.%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7D1128"/>
    <w:multiLevelType w:val="multilevel"/>
    <w:tmpl w:val="D6F627F6"/>
    <w:lvl w:ilvl="0">
      <w:start w:val="1"/>
      <w:numFmt w:val="decimal"/>
      <w:lvlText w:val="6.7.%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A35B2E"/>
    <w:multiLevelType w:val="multilevel"/>
    <w:tmpl w:val="8B7EE7A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9"/>
  </w:num>
  <w:num w:numId="4">
    <w:abstractNumId w:val="14"/>
  </w:num>
  <w:num w:numId="5">
    <w:abstractNumId w:val="6"/>
  </w:num>
  <w:num w:numId="6">
    <w:abstractNumId w:val="5"/>
  </w:num>
  <w:num w:numId="7">
    <w:abstractNumId w:val="3"/>
  </w:num>
  <w:num w:numId="8">
    <w:abstractNumId w:val="8"/>
  </w:num>
  <w:num w:numId="9">
    <w:abstractNumId w:val="13"/>
  </w:num>
  <w:num w:numId="10">
    <w:abstractNumId w:val="7"/>
  </w:num>
  <w:num w:numId="11">
    <w:abstractNumId w:val="11"/>
  </w:num>
  <w:num w:numId="12">
    <w:abstractNumId w:val="12"/>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7F"/>
    <w:rsid w:val="00002A98"/>
    <w:rsid w:val="000F4B3E"/>
    <w:rsid w:val="001203FA"/>
    <w:rsid w:val="00160D72"/>
    <w:rsid w:val="001A07A9"/>
    <w:rsid w:val="001D43D6"/>
    <w:rsid w:val="002A2406"/>
    <w:rsid w:val="003023F7"/>
    <w:rsid w:val="00350C9C"/>
    <w:rsid w:val="00361855"/>
    <w:rsid w:val="0038165A"/>
    <w:rsid w:val="0039234B"/>
    <w:rsid w:val="0042624F"/>
    <w:rsid w:val="004A6692"/>
    <w:rsid w:val="004A7972"/>
    <w:rsid w:val="004E392E"/>
    <w:rsid w:val="00510931"/>
    <w:rsid w:val="00523ED9"/>
    <w:rsid w:val="0063097F"/>
    <w:rsid w:val="0063793B"/>
    <w:rsid w:val="00682916"/>
    <w:rsid w:val="0068587A"/>
    <w:rsid w:val="00696F41"/>
    <w:rsid w:val="00703CBF"/>
    <w:rsid w:val="008164FA"/>
    <w:rsid w:val="00827ACB"/>
    <w:rsid w:val="00893BCD"/>
    <w:rsid w:val="008E4960"/>
    <w:rsid w:val="00911204"/>
    <w:rsid w:val="0096657B"/>
    <w:rsid w:val="009A7C03"/>
    <w:rsid w:val="009C2EC5"/>
    <w:rsid w:val="00A04689"/>
    <w:rsid w:val="00AC53BA"/>
    <w:rsid w:val="00AD0E9F"/>
    <w:rsid w:val="00AD4F27"/>
    <w:rsid w:val="00B2124E"/>
    <w:rsid w:val="00B4671D"/>
    <w:rsid w:val="00BB0DB3"/>
    <w:rsid w:val="00BE0FBD"/>
    <w:rsid w:val="00C41840"/>
    <w:rsid w:val="00C43F06"/>
    <w:rsid w:val="00CC4FA6"/>
    <w:rsid w:val="00CC76E3"/>
    <w:rsid w:val="00DC26CF"/>
    <w:rsid w:val="00DC2966"/>
    <w:rsid w:val="00DF49B8"/>
    <w:rsid w:val="00E260E8"/>
    <w:rsid w:val="00E27936"/>
    <w:rsid w:val="00E44099"/>
    <w:rsid w:val="00E83D7E"/>
    <w:rsid w:val="00EC29E9"/>
    <w:rsid w:val="00F17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rPr>
      <w:rFonts w:ascii="Arial" w:eastAsia="Arial" w:hAnsi="Arial" w:cs="Arial"/>
      <w:b w:val="0"/>
      <w:bCs w:val="0"/>
      <w:i w:val="0"/>
      <w:iCs w:val="0"/>
      <w:smallCaps w:val="0"/>
      <w:strike w:val="0"/>
      <w:sz w:val="19"/>
      <w:szCs w:val="19"/>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Standardnpsmoodstavce"/>
    <w:link w:val="Bodytext20"/>
    <w:rPr>
      <w:rFonts w:ascii="Arial" w:eastAsia="Arial" w:hAnsi="Arial" w:cs="Arial"/>
      <w:b/>
      <w:bCs/>
      <w:i/>
      <w:iCs/>
      <w:smallCaps w:val="0"/>
      <w:strike w:val="0"/>
      <w:sz w:val="26"/>
      <w:szCs w:val="26"/>
      <w:u w:val="none"/>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9"/>
      <w:szCs w:val="19"/>
      <w:u w:val="none"/>
    </w:rPr>
  </w:style>
  <w:style w:type="character" w:customStyle="1" w:styleId="Other">
    <w:name w:val="Other_"/>
    <w:basedOn w:val="Standardnpsmoodstavce"/>
    <w:link w:val="Other0"/>
    <w:rPr>
      <w:rFonts w:ascii="Arial" w:eastAsia="Arial" w:hAnsi="Arial" w:cs="Arial"/>
      <w:b w:val="0"/>
      <w:bCs w:val="0"/>
      <w:i w:val="0"/>
      <w:iCs w:val="0"/>
      <w:smallCaps w:val="0"/>
      <w:strike w:val="0"/>
      <w:sz w:val="19"/>
      <w:szCs w:val="19"/>
      <w:u w:val="none"/>
    </w:rPr>
  </w:style>
  <w:style w:type="character" w:customStyle="1" w:styleId="Heading2">
    <w:name w:val="Heading #2_"/>
    <w:basedOn w:val="Standardnpsmoodstavce"/>
    <w:link w:val="Heading20"/>
    <w:rPr>
      <w:rFonts w:ascii="Arial" w:eastAsia="Arial" w:hAnsi="Arial" w:cs="Arial"/>
      <w:b/>
      <w:bCs/>
      <w:i w:val="0"/>
      <w:iCs w:val="0"/>
      <w:smallCaps w:val="0"/>
      <w:strike w:val="0"/>
      <w:sz w:val="18"/>
      <w:szCs w:val="18"/>
      <w:u w:val="single"/>
    </w:rPr>
  </w:style>
  <w:style w:type="character" w:customStyle="1" w:styleId="Heading1">
    <w:name w:val="Heading #1_"/>
    <w:basedOn w:val="Standardnpsmoodstavce"/>
    <w:link w:val="Heading10"/>
    <w:rPr>
      <w:rFonts w:ascii="Arial" w:eastAsia="Arial" w:hAnsi="Arial" w:cs="Arial"/>
      <w:b w:val="0"/>
      <w:bCs w:val="0"/>
      <w:i w:val="0"/>
      <w:iCs w:val="0"/>
      <w:smallCaps w:val="0"/>
      <w:strike w:val="0"/>
      <w:sz w:val="30"/>
      <w:szCs w:val="30"/>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16"/>
      <w:szCs w:val="16"/>
      <w:u w:val="none"/>
    </w:rPr>
  </w:style>
  <w:style w:type="paragraph" w:styleId="Zkladntext">
    <w:name w:val="Body Text"/>
    <w:basedOn w:val="Normln"/>
    <w:link w:val="ZkladntextChar"/>
    <w:qFormat/>
    <w:pPr>
      <w:shd w:val="clear" w:color="auto" w:fill="FFFFFF"/>
    </w:pPr>
    <w:rPr>
      <w:rFonts w:ascii="Arial" w:eastAsia="Arial" w:hAnsi="Arial" w:cs="Arial"/>
      <w:sz w:val="19"/>
      <w:szCs w:val="19"/>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customStyle="1" w:styleId="Bodytext20">
    <w:name w:val="Body text (2)"/>
    <w:basedOn w:val="Normln"/>
    <w:link w:val="Bodytext2"/>
    <w:pPr>
      <w:shd w:val="clear" w:color="auto" w:fill="FFFFFF"/>
      <w:spacing w:after="200"/>
      <w:jc w:val="center"/>
    </w:pPr>
    <w:rPr>
      <w:rFonts w:ascii="Arial" w:eastAsia="Arial" w:hAnsi="Arial" w:cs="Arial"/>
      <w:b/>
      <w:bCs/>
      <w:i/>
      <w:iCs/>
      <w:sz w:val="26"/>
      <w:szCs w:val="26"/>
    </w:rPr>
  </w:style>
  <w:style w:type="paragraph" w:customStyle="1" w:styleId="Tablecaption0">
    <w:name w:val="Table caption"/>
    <w:basedOn w:val="Normln"/>
    <w:link w:val="Tablecaption"/>
    <w:pPr>
      <w:shd w:val="clear" w:color="auto" w:fill="FFFFFF"/>
    </w:pPr>
    <w:rPr>
      <w:rFonts w:ascii="Arial" w:eastAsia="Arial" w:hAnsi="Arial" w:cs="Arial"/>
      <w:sz w:val="19"/>
      <w:szCs w:val="19"/>
    </w:rPr>
  </w:style>
  <w:style w:type="paragraph" w:customStyle="1" w:styleId="Other0">
    <w:name w:val="Other"/>
    <w:basedOn w:val="Normln"/>
    <w:link w:val="Other"/>
    <w:pPr>
      <w:shd w:val="clear" w:color="auto" w:fill="FFFFFF"/>
    </w:pPr>
    <w:rPr>
      <w:rFonts w:ascii="Arial" w:eastAsia="Arial" w:hAnsi="Arial" w:cs="Arial"/>
      <w:sz w:val="19"/>
      <w:szCs w:val="19"/>
    </w:rPr>
  </w:style>
  <w:style w:type="paragraph" w:customStyle="1" w:styleId="Heading20">
    <w:name w:val="Heading #2"/>
    <w:basedOn w:val="Normln"/>
    <w:link w:val="Heading2"/>
    <w:pPr>
      <w:shd w:val="clear" w:color="auto" w:fill="FFFFFF"/>
      <w:spacing w:after="200" w:line="257" w:lineRule="auto"/>
      <w:jc w:val="center"/>
      <w:outlineLvl w:val="1"/>
    </w:pPr>
    <w:rPr>
      <w:rFonts w:ascii="Arial" w:eastAsia="Arial" w:hAnsi="Arial" w:cs="Arial"/>
      <w:b/>
      <w:bCs/>
      <w:sz w:val="18"/>
      <w:szCs w:val="18"/>
      <w:u w:val="single"/>
    </w:rPr>
  </w:style>
  <w:style w:type="paragraph" w:customStyle="1" w:styleId="Heading10">
    <w:name w:val="Heading #1"/>
    <w:basedOn w:val="Normln"/>
    <w:link w:val="Heading1"/>
    <w:pPr>
      <w:shd w:val="clear" w:color="auto" w:fill="FFFFFF"/>
      <w:spacing w:line="221" w:lineRule="auto"/>
      <w:outlineLvl w:val="0"/>
    </w:pPr>
    <w:rPr>
      <w:rFonts w:ascii="Arial" w:eastAsia="Arial" w:hAnsi="Arial" w:cs="Arial"/>
      <w:sz w:val="30"/>
      <w:szCs w:val="30"/>
    </w:rPr>
  </w:style>
  <w:style w:type="paragraph" w:customStyle="1" w:styleId="Bodytext30">
    <w:name w:val="Body text (3)"/>
    <w:basedOn w:val="Normln"/>
    <w:link w:val="Bodytext3"/>
    <w:pPr>
      <w:shd w:val="clear" w:color="auto" w:fill="FFFFFF"/>
      <w:ind w:firstLine="80"/>
    </w:pPr>
    <w:rPr>
      <w:rFonts w:ascii="Arial" w:eastAsia="Arial" w:hAnsi="Arial" w:cs="Arial"/>
      <w:sz w:val="16"/>
      <w:szCs w:val="16"/>
    </w:rPr>
  </w:style>
  <w:style w:type="paragraph" w:styleId="Zhlav">
    <w:name w:val="header"/>
    <w:basedOn w:val="Normln"/>
    <w:link w:val="ZhlavChar"/>
    <w:uiPriority w:val="99"/>
    <w:unhideWhenUsed/>
    <w:rsid w:val="008E4960"/>
    <w:pPr>
      <w:tabs>
        <w:tab w:val="center" w:pos="4536"/>
        <w:tab w:val="right" w:pos="9072"/>
      </w:tabs>
    </w:pPr>
  </w:style>
  <w:style w:type="character" w:customStyle="1" w:styleId="ZhlavChar">
    <w:name w:val="Záhlaví Char"/>
    <w:basedOn w:val="Standardnpsmoodstavce"/>
    <w:link w:val="Zhlav"/>
    <w:uiPriority w:val="99"/>
    <w:rsid w:val="008E4960"/>
    <w:rPr>
      <w:color w:val="000000"/>
    </w:rPr>
  </w:style>
  <w:style w:type="paragraph" w:styleId="Zpat">
    <w:name w:val="footer"/>
    <w:basedOn w:val="Normln"/>
    <w:link w:val="ZpatChar"/>
    <w:uiPriority w:val="99"/>
    <w:unhideWhenUsed/>
    <w:rsid w:val="008E4960"/>
    <w:pPr>
      <w:tabs>
        <w:tab w:val="center" w:pos="4536"/>
        <w:tab w:val="right" w:pos="9072"/>
      </w:tabs>
    </w:pPr>
  </w:style>
  <w:style w:type="character" w:customStyle="1" w:styleId="ZpatChar">
    <w:name w:val="Zápatí Char"/>
    <w:basedOn w:val="Standardnpsmoodstavce"/>
    <w:link w:val="Zpat"/>
    <w:uiPriority w:val="99"/>
    <w:rsid w:val="008E4960"/>
    <w:rPr>
      <w:color w:val="000000"/>
    </w:rPr>
  </w:style>
  <w:style w:type="character" w:customStyle="1" w:styleId="Footnote">
    <w:name w:val="Footnote_"/>
    <w:basedOn w:val="Standardnpsmoodstavce"/>
    <w:link w:val="Footnote0"/>
    <w:rsid w:val="001A07A9"/>
    <w:rPr>
      <w:rFonts w:ascii="Calibri" w:eastAsia="Calibri" w:hAnsi="Calibri" w:cs="Calibri"/>
      <w:sz w:val="16"/>
      <w:szCs w:val="16"/>
      <w:shd w:val="clear" w:color="auto" w:fill="FFFFFF"/>
    </w:rPr>
  </w:style>
  <w:style w:type="character" w:customStyle="1" w:styleId="Heading3">
    <w:name w:val="Heading #3_"/>
    <w:basedOn w:val="Standardnpsmoodstavce"/>
    <w:link w:val="Heading30"/>
    <w:rsid w:val="001A07A9"/>
    <w:rPr>
      <w:rFonts w:ascii="Calibri" w:eastAsia="Calibri" w:hAnsi="Calibri" w:cs="Calibri"/>
      <w:b/>
      <w:bCs/>
      <w:sz w:val="22"/>
      <w:szCs w:val="22"/>
      <w:shd w:val="clear" w:color="auto" w:fill="FFFFFF"/>
    </w:rPr>
  </w:style>
  <w:style w:type="paragraph" w:customStyle="1" w:styleId="Footnote0">
    <w:name w:val="Footnote"/>
    <w:basedOn w:val="Normln"/>
    <w:link w:val="Footnote"/>
    <w:rsid w:val="001A07A9"/>
    <w:pPr>
      <w:shd w:val="clear" w:color="auto" w:fill="FFFFFF"/>
    </w:pPr>
    <w:rPr>
      <w:rFonts w:ascii="Calibri" w:eastAsia="Calibri" w:hAnsi="Calibri" w:cs="Calibri"/>
      <w:color w:val="auto"/>
      <w:sz w:val="16"/>
      <w:szCs w:val="16"/>
    </w:rPr>
  </w:style>
  <w:style w:type="paragraph" w:customStyle="1" w:styleId="Heading30">
    <w:name w:val="Heading #3"/>
    <w:basedOn w:val="Normln"/>
    <w:link w:val="Heading3"/>
    <w:rsid w:val="001A07A9"/>
    <w:pPr>
      <w:shd w:val="clear" w:color="auto" w:fill="FFFFFF"/>
      <w:spacing w:after="110"/>
      <w:outlineLvl w:val="2"/>
    </w:pPr>
    <w:rPr>
      <w:rFonts w:ascii="Calibri" w:eastAsia="Calibri" w:hAnsi="Calibri" w:cs="Calibri"/>
      <w:b/>
      <w:bC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yperlink" Target="https://www.optak.cz/metodika/a-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sir.justice.cz/"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0433C-501E-4D80-A16F-82588A48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9136</Words>
  <Characters>53905</Characters>
  <Application>Microsoft Office Word</Application>
  <DocSecurity>0</DocSecurity>
  <Lines>449</Lines>
  <Paragraphs>125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2025-08-29T13:07:00Z</dcterms:created>
  <dcterms:modified xsi:type="dcterms:W3CDTF">2025-08-29T14:08:00Z</dcterms:modified>
</cp:coreProperties>
</file>