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9D7C" w14:textId="77777777" w:rsidR="001B7FA4" w:rsidRDefault="00C439AE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6AD19ACD" w14:textId="77777777"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062C94E0" w14:textId="77777777" w:rsidR="001B7FA4" w:rsidRDefault="00C439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77580626" w14:textId="77777777"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6F0E987" w14:textId="77777777" w:rsidR="004A29FD" w:rsidRDefault="004A29FD" w:rsidP="004A29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33B8E1F" w14:textId="77777777" w:rsidR="004A29FD" w:rsidRDefault="004A29FD" w:rsidP="004A29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EC8304C" w14:textId="77777777" w:rsidR="004A29FD" w:rsidRDefault="004A29FD" w:rsidP="004A29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60F1C92C" w14:textId="77777777" w:rsidR="004A29FD" w:rsidRDefault="004A29FD" w:rsidP="004A29FD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>
        <w:rPr>
          <w:color w:val="FF0000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6BF76AD" w14:textId="77777777" w:rsidR="004A29FD" w:rsidRDefault="004A29FD" w:rsidP="004A29FD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A388E95" w14:textId="77777777" w:rsidR="001B7FA4" w:rsidRDefault="00C439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16C2CBC3" w14:textId="77777777"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D443D2B" w14:textId="77777777" w:rsidR="00300893" w:rsidRDefault="00300893" w:rsidP="00300893">
      <w:pPr>
        <w:widowControl w:val="0"/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Český filharmonický sbor Brno, o.p.s.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Výstaviště 1 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(pavilon Brno), </w:t>
      </w:r>
      <w:r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PO BOX 15, 603 00 Brno</w:t>
      </w:r>
    </w:p>
    <w:p w14:paraId="1DEB8C4A" w14:textId="77777777" w:rsidR="00300893" w:rsidRPr="001B36FC" w:rsidRDefault="00300893" w:rsidP="00300893">
      <w:pPr>
        <w:widowControl w:val="0"/>
        <w:spacing w:line="288" w:lineRule="auto"/>
        <w:ind w:left="426" w:hanging="426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253 189 26</w:t>
      </w:r>
    </w:p>
    <w:p w14:paraId="7071BB69" w14:textId="77777777" w:rsidR="00300893" w:rsidRPr="003C0C4F" w:rsidRDefault="00300893" w:rsidP="00300893">
      <w:pPr>
        <w:widowControl w:val="0"/>
        <w:spacing w:line="288" w:lineRule="auto"/>
        <w:ind w:left="142" w:hanging="142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DIČ: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CZ 253 189 26</w:t>
      </w:r>
    </w:p>
    <w:p w14:paraId="562FA4C1" w14:textId="2A749369" w:rsidR="00300893" w:rsidRDefault="00300893" w:rsidP="00300893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Daňovým rezidentem v</w:t>
      </w:r>
      <w:r w:rsidRPr="00300893">
        <w:rPr>
          <w:rFonts w:ascii="Times New Roman" w:eastAsia="Times New Roman" w:hAnsi="Times New Roman" w:cs="Times New Roman"/>
          <w:sz w:val="22"/>
          <w:szCs w:val="22"/>
        </w:rPr>
        <w:t>: ČR, neplátce DPH</w:t>
      </w:r>
      <w:r w:rsidRPr="00300893">
        <w:rPr>
          <w:rFonts w:ascii="Times New Roman" w:eastAsia="Times New Roman" w:hAnsi="Times New Roman" w:cs="Times New Roman"/>
          <w:sz w:val="22"/>
          <w:szCs w:val="22"/>
        </w:rPr>
        <w:tab/>
      </w:r>
      <w:r w:rsidRPr="00300893">
        <w:rPr>
          <w:rFonts w:ascii="Times New Roman" w:eastAsia="Times New Roman" w:hAnsi="Times New Roman" w:cs="Times New Roman"/>
          <w:sz w:val="22"/>
          <w:szCs w:val="22"/>
        </w:rPr>
        <w:br/>
        <w:t>Zastoupen:</w:t>
      </w:r>
      <w:r w:rsidRPr="00300893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</w:t>
      </w:r>
      <w:r w:rsidRPr="00300893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00893">
        <w:rPr>
          <w:rFonts w:ascii="Times New Roman" w:eastAsia="Times New Roman" w:hAnsi="Times New Roman" w:cs="Times New Roman"/>
          <w:sz w:val="22"/>
          <w:szCs w:val="22"/>
        </w:rPr>
        <w:t>MgA. Vítězslav Šlahař, Ph.D., zástupcem ředitele, na základě plné moci ze dne 22. 08. 2024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7CD05275" w14:textId="2F2DC332" w:rsidR="00300893" w:rsidRDefault="00300893" w:rsidP="0030089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Kontakt: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744DE1">
        <w:rPr>
          <w:rStyle w:val="Hypertextovodkaz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xxxxxxxxxxx</w:t>
      </w:r>
      <w:r>
        <w:rPr>
          <w:rStyle w:val="Hypertextovodkaz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,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+</w:t>
      </w:r>
      <w:r w:rsidR="00744DE1">
        <w:rPr>
          <w:rFonts w:ascii="Times New Roman" w:eastAsia="Times New Roman" w:hAnsi="Times New Roman" w:cs="Times New Roman"/>
          <w:sz w:val="22"/>
          <w:szCs w:val="22"/>
        </w:rPr>
        <w:t>xxxxxxxxxxxxxx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5EF8443E" w14:textId="77777777" w:rsidR="00300893" w:rsidRDefault="00300893" w:rsidP="0030089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55EF488" w14:textId="77777777" w:rsidR="00300893" w:rsidRPr="003C0C4F" w:rsidRDefault="00300893" w:rsidP="00300893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Platební údaje: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56D808D4" w14:textId="23DFF9F5" w:rsidR="00300893" w:rsidRPr="003C0C4F" w:rsidRDefault="00300893" w:rsidP="00300893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Číslo účtu: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744DE1">
        <w:rPr>
          <w:rFonts w:ascii="Times New Roman" w:eastAsia="Times New Roman" w:hAnsi="Times New Roman" w:cs="Times New Roman"/>
          <w:b/>
          <w:sz w:val="22"/>
          <w:szCs w:val="22"/>
        </w:rPr>
        <w:t>xxxxxxxxxxxxxxxxxx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br/>
        <w:t>Jméno majitele účtu: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744DE1">
        <w:rPr>
          <w:rFonts w:ascii="Times New Roman" w:eastAsia="Times New Roman" w:hAnsi="Times New Roman" w:cs="Times New Roman"/>
          <w:bCs/>
          <w:sz w:val="22"/>
          <w:szCs w:val="22"/>
        </w:rPr>
        <w:t>xxxxxxxxxxxxxxxxxxxxx</w:t>
      </w:r>
    </w:p>
    <w:p w14:paraId="38D79DEF" w14:textId="16127CCA" w:rsidR="00300893" w:rsidRPr="003C0C4F" w:rsidRDefault="00300893" w:rsidP="0030089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744DE1">
        <w:rPr>
          <w:rFonts w:ascii="Times New Roman" w:eastAsia="Times New Roman" w:hAnsi="Times New Roman" w:cs="Times New Roman"/>
          <w:sz w:val="22"/>
          <w:szCs w:val="22"/>
        </w:rPr>
        <w:t>xxxxxxxxxxxxxxxxxx</w:t>
      </w:r>
    </w:p>
    <w:p w14:paraId="360F7455" w14:textId="07BCDAB6" w:rsidR="00300893" w:rsidRPr="003C0C4F" w:rsidRDefault="00300893" w:rsidP="0030089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744DE1">
        <w:rPr>
          <w:rFonts w:ascii="Times New Roman" w:eastAsia="Times New Roman" w:hAnsi="Times New Roman" w:cs="Times New Roman"/>
          <w:sz w:val="22"/>
          <w:szCs w:val="22"/>
        </w:rPr>
        <w:t>xxxxxxxxxxxxxxx</w:t>
      </w:r>
    </w:p>
    <w:p w14:paraId="09EEA225" w14:textId="31421CDC" w:rsidR="00300893" w:rsidRPr="003C0C4F" w:rsidRDefault="00300893" w:rsidP="0030089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banky: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744DE1">
        <w:rPr>
          <w:rFonts w:ascii="Times New Roman" w:hAnsi="Times New Roman" w:cs="Times New Roman"/>
          <w:color w:val="222222"/>
          <w:sz w:val="22"/>
          <w:shd w:val="clear" w:color="auto" w:fill="FFFFFF"/>
        </w:rPr>
        <w:t>xxxxxxxxxxxxxxx</w:t>
      </w:r>
    </w:p>
    <w:p w14:paraId="7E9CE440" w14:textId="77777777" w:rsidR="00300893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822FD2A" w14:textId="77777777" w:rsidR="00300893" w:rsidRDefault="00300893" w:rsidP="00480B8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FF433FF" w14:textId="63ED780A" w:rsidR="00480B86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2E693541" w14:textId="77777777" w:rsidR="001B7FA4" w:rsidRDefault="00C439AE" w:rsidP="0085780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 w:rsidR="00857807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5EBA00D2" w14:textId="77777777" w:rsidR="00300893" w:rsidRDefault="00300893" w:rsidP="0085780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FE3E093" w14:textId="77777777" w:rsidR="001B7FA4" w:rsidRDefault="00C439AE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Start w:id="3" w:name="_4fifnyjd5lp2" w:colFirst="0" w:colLast="0"/>
      <w:bookmarkStart w:id="4" w:name="_oenx4h9bt5rs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142B6090" w14:textId="77777777" w:rsidR="001B7FA4" w:rsidRDefault="001B7FA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13EA22" w14:textId="77777777" w:rsidR="00E518FF" w:rsidRPr="002E7D60" w:rsidRDefault="00E518FF" w:rsidP="00E518FF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Pořadatel se zavazuje angažovat Účinkujícího na následující Produkci: vánoční koncerty JFO</w:t>
      </w:r>
    </w:p>
    <w:p w14:paraId="1E09E103" w14:textId="77777777" w:rsidR="00E518FF" w:rsidRPr="002E7D60" w:rsidRDefault="00E518FF" w:rsidP="00E518FF">
      <w:pPr>
        <w:widowControl w:val="0"/>
        <w:numPr>
          <w:ilvl w:val="1"/>
          <w:numId w:val="8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17. a 18. 12. 2025 v 19:00</w:t>
      </w:r>
    </w:p>
    <w:p w14:paraId="57F00490" w14:textId="77777777" w:rsidR="00E518FF" w:rsidRDefault="00E518FF" w:rsidP="00E518FF">
      <w:pPr>
        <w:pStyle w:val="Odstavecseseznamem"/>
        <w:numPr>
          <w:ilvl w:val="1"/>
          <w:numId w:val="8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 xml:space="preserve">Kino Vesmír (adresa: Zahradní 1741/17, Ostrava) </w:t>
      </w:r>
    </w:p>
    <w:p w14:paraId="28A70D10" w14:textId="00910EC3" w:rsidR="00E518FF" w:rsidRPr="00E518FF" w:rsidRDefault="00E518FF" w:rsidP="00E518FF">
      <w:pPr>
        <w:pStyle w:val="Odstavecseseznamem"/>
        <w:numPr>
          <w:ilvl w:val="1"/>
          <w:numId w:val="8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E518FF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E518FF">
        <w:rPr>
          <w:rFonts w:ascii="Times New Roman" w:eastAsia="Times New Roman" w:hAnsi="Times New Roman" w:cs="Times New Roman"/>
          <w:sz w:val="22"/>
          <w:szCs w:val="22"/>
        </w:rPr>
        <w:tab/>
      </w:r>
      <w:r w:rsidRPr="00E518FF">
        <w:rPr>
          <w:rFonts w:ascii="Times New Roman" w:eastAsia="Times New Roman" w:hAnsi="Times New Roman" w:cs="Times New Roman"/>
          <w:sz w:val="22"/>
          <w:szCs w:val="22"/>
        </w:rPr>
        <w:tab/>
        <w:t>Maurice Ravel: Chanson galante (česká premiéra)</w:t>
      </w:r>
    </w:p>
    <w:p w14:paraId="24129057" w14:textId="39FDE639" w:rsidR="00E518FF" w:rsidRPr="002E7D60" w:rsidRDefault="00E518FF" w:rsidP="00E518FF">
      <w:pPr>
        <w:pStyle w:val="Odstavecseseznamem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Jakub Jan Ryba: Česká mše vánoční </w:t>
      </w:r>
    </w:p>
    <w:p w14:paraId="773814B9" w14:textId="77777777" w:rsidR="00E518FF" w:rsidRDefault="00E518FF" w:rsidP="00E518FF">
      <w:pPr>
        <w:pStyle w:val="Odstavecseseznamem"/>
        <w:widowControl w:val="0"/>
        <w:numPr>
          <w:ilvl w:val="1"/>
          <w:numId w:val="8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br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Tomáš Brauner jako dirigent (zajištěn</w:t>
      </w:r>
      <w:r>
        <w:rPr>
          <w:rFonts w:ascii="Times New Roman" w:eastAsia="Times New Roman" w:hAnsi="Times New Roman" w:cs="Times New Roman"/>
          <w:sz w:val="22"/>
          <w:szCs w:val="22"/>
        </w:rPr>
        <w:t>ý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14:paraId="3D7FE31C" w14:textId="77777777" w:rsidR="00E518FF" w:rsidRPr="002E7D60" w:rsidRDefault="00E518FF" w:rsidP="00E518FF">
      <w:pPr>
        <w:pStyle w:val="Odstavecseseznamem"/>
        <w:widowControl w:val="0"/>
        <w:spacing w:line="276" w:lineRule="auto"/>
        <w:ind w:left="1134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Slávka Zámečníková jako sólistka (zajištěný Pořadatelem)</w:t>
      </w:r>
    </w:p>
    <w:p w14:paraId="6E388435" w14:textId="77777777" w:rsidR="00E518FF" w:rsidRPr="002E7D60" w:rsidRDefault="00E518FF" w:rsidP="00E518FF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Jolana Slavíková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jako sólistka (zajištěn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14:paraId="0934D9B2" w14:textId="77777777" w:rsidR="00E518FF" w:rsidRPr="002E7D60" w:rsidRDefault="00E518FF" w:rsidP="00E518FF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Ondřej Holub jako sólista (zajištěn</w:t>
      </w:r>
      <w:r>
        <w:rPr>
          <w:rFonts w:ascii="Times New Roman" w:eastAsia="Times New Roman" w:hAnsi="Times New Roman" w:cs="Times New Roman"/>
          <w:sz w:val="22"/>
          <w:szCs w:val="22"/>
        </w:rPr>
        <w:t>ý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14:paraId="4B903FA1" w14:textId="5957140C" w:rsidR="00E518FF" w:rsidRPr="002E7D60" w:rsidRDefault="00E518FF" w:rsidP="00E518FF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Lukáš Bařák jako sólista (</w:t>
      </w:r>
      <w:r w:rsidR="00A26026" w:rsidRPr="002E7D60">
        <w:rPr>
          <w:rFonts w:ascii="Times New Roman" w:eastAsia="Times New Roman" w:hAnsi="Times New Roman" w:cs="Times New Roman"/>
          <w:sz w:val="22"/>
          <w:szCs w:val="22"/>
        </w:rPr>
        <w:t>zajištěný Pořadatelem)</w:t>
      </w:r>
    </w:p>
    <w:p w14:paraId="77E5E5A4" w14:textId="7CA90219" w:rsidR="00E518FF" w:rsidRPr="002E7D60" w:rsidRDefault="00E518FF" w:rsidP="00E518FF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Český filharmonický sbor Brno jako sbor (</w:t>
      </w:r>
      <w:r w:rsidR="00A26026" w:rsidRPr="002E7D60">
        <w:rPr>
          <w:rFonts w:ascii="Times New Roman" w:eastAsia="Times New Roman" w:hAnsi="Times New Roman" w:cs="Times New Roman"/>
          <w:sz w:val="22"/>
          <w:szCs w:val="22"/>
        </w:rPr>
        <w:t>Účinkující)</w:t>
      </w:r>
    </w:p>
    <w:p w14:paraId="49A7C2D5" w14:textId="52ED1A1A" w:rsidR="00E518FF" w:rsidRPr="002E7D60" w:rsidRDefault="00E518FF" w:rsidP="00E518FF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Petr Fiala jako sbormistr (</w:t>
      </w:r>
      <w:r w:rsidR="00300893">
        <w:rPr>
          <w:rFonts w:ascii="Times New Roman" w:eastAsia="Times New Roman" w:hAnsi="Times New Roman" w:cs="Times New Roman"/>
          <w:sz w:val="22"/>
          <w:szCs w:val="22"/>
        </w:rPr>
        <w:t>Účinkující)</w:t>
      </w:r>
    </w:p>
    <w:p w14:paraId="43EA41C4" w14:textId="77777777" w:rsidR="00E518FF" w:rsidRPr="002E7D60" w:rsidRDefault="00E518FF" w:rsidP="00E518FF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</w:p>
    <w:p w14:paraId="0CE9D49F" w14:textId="77777777" w:rsidR="00E518FF" w:rsidRPr="002E7D60" w:rsidRDefault="00E518FF" w:rsidP="00E518FF">
      <w:pPr>
        <w:widowControl w:val="0"/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Středa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17. 12. 2025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15:00-18:00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neveřejná generální zkouška (Vesmír)</w:t>
      </w:r>
    </w:p>
    <w:p w14:paraId="018E9821" w14:textId="77777777" w:rsidR="00E518FF" w:rsidRPr="002E7D60" w:rsidRDefault="00E518FF" w:rsidP="00E518FF">
      <w:pPr>
        <w:widowControl w:val="0"/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 xml:space="preserve">19:00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koncert (Vesmír)</w:t>
      </w:r>
    </w:p>
    <w:p w14:paraId="566EDE96" w14:textId="77777777" w:rsidR="00E518FF" w:rsidRPr="002E7D60" w:rsidRDefault="00E518FF" w:rsidP="00E518FF">
      <w:pPr>
        <w:widowControl w:val="0"/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Čtvrtek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18. 12. 2025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repríza koncertu (Vesmír)</w:t>
      </w:r>
    </w:p>
    <w:p w14:paraId="7C4247BB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5C6C41A" w14:textId="77777777"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055DD3F8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997F3F" w14:textId="77777777"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4AB38FE5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A40F58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ED83ED" w14:textId="77777777" w:rsidR="001B7FA4" w:rsidRDefault="00C439AE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6FEAF695" w14:textId="77777777" w:rsidR="001B7FA4" w:rsidRDefault="001B7FA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02AA04" w14:textId="77777777" w:rsidR="004A29FD" w:rsidRDefault="00C439AE" w:rsidP="001B36FC">
      <w:pPr>
        <w:widowControl w:val="0"/>
        <w:numPr>
          <w:ilvl w:val="0"/>
          <w:numId w:val="4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124FFE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4A29FD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154126E9" w14:textId="77777777"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7F7E68BF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8558C1" w14:textId="77777777" w:rsidR="001B7FA4" w:rsidRPr="00124FFE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FFE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29AAB736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4356F4" w14:textId="77777777" w:rsidR="001B7FA4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536B9B4B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315F1D" w14:textId="77777777" w:rsidR="001B7FA4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1B1AD7B2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D17A50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4E472C" w14:textId="77777777"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00D436B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E030F2" w14:textId="3159AA45"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Hlk201569145"/>
      <w:r>
        <w:rPr>
          <w:rFonts w:ascii="Times New Roman" w:eastAsia="Times New Roman" w:hAnsi="Times New Roman" w:cs="Times New Roman"/>
          <w:sz w:val="22"/>
          <w:szCs w:val="22"/>
        </w:rPr>
        <w:t>Pořadatel uhradí Účinkující</w:t>
      </w:r>
      <w:r w:rsidRPr="005B3E42">
        <w:rPr>
          <w:rFonts w:ascii="Times New Roman" w:eastAsia="Times New Roman" w:hAnsi="Times New Roman" w:cs="Times New Roman"/>
          <w:sz w:val="22"/>
          <w:szCs w:val="22"/>
        </w:rPr>
        <w:t xml:space="preserve">mu sjednaný 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honorář ve výši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  <w:r w:rsidR="00A26026">
        <w:rPr>
          <w:rFonts w:ascii="Times New Roman" w:eastAsia="Times New Roman" w:hAnsi="Times New Roman" w:cs="Times New Roman"/>
          <w:sz w:val="22"/>
          <w:szCs w:val="22"/>
        </w:rPr>
        <w:t>8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>0 000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24FFE" w:rsidRPr="001B36FC">
        <w:rPr>
          <w:rFonts w:ascii="Times New Roman" w:eastAsia="Times New Roman" w:hAnsi="Times New Roman" w:cs="Times New Roman"/>
          <w:sz w:val="22"/>
          <w:szCs w:val="22"/>
        </w:rPr>
        <w:t xml:space="preserve">CZK </w:t>
      </w:r>
      <w:r w:rsidR="005B3E42" w:rsidRPr="001B36FC">
        <w:rPr>
          <w:rFonts w:ascii="Times New Roman" w:eastAsia="Times New Roman" w:hAnsi="Times New Roman" w:cs="Times New Roman"/>
          <w:sz w:val="22"/>
          <w:szCs w:val="22"/>
        </w:rPr>
        <w:t>(slovy: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 xml:space="preserve"> sto-</w:t>
      </w:r>
      <w:r w:rsidR="00A26026">
        <w:rPr>
          <w:rFonts w:ascii="Times New Roman" w:eastAsia="Times New Roman" w:hAnsi="Times New Roman" w:cs="Times New Roman"/>
          <w:sz w:val="22"/>
          <w:szCs w:val="22"/>
        </w:rPr>
        <w:t>osmdesát</w:t>
      </w:r>
      <w:r w:rsidR="00F53173">
        <w:rPr>
          <w:rFonts w:ascii="Times New Roman" w:eastAsia="Times New Roman" w:hAnsi="Times New Roman" w:cs="Times New Roman"/>
          <w:sz w:val="22"/>
          <w:szCs w:val="22"/>
        </w:rPr>
        <w:t>-tisíc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>-Korun-Českých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) hrubého</w:t>
      </w:r>
      <w:r w:rsidR="005B3E42" w:rsidRPr="001B36F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 xml:space="preserve">a to na základě </w:t>
      </w:r>
      <w:r w:rsidR="009B69CD">
        <w:rPr>
          <w:rFonts w:ascii="Times New Roman" w:eastAsia="Times New Roman" w:hAnsi="Times New Roman" w:cs="Times New Roman"/>
          <w:sz w:val="22"/>
          <w:szCs w:val="22"/>
        </w:rPr>
        <w:t>zálohové f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aktury vystavené</w:t>
      </w:r>
      <w:r w:rsidR="009B69CD">
        <w:rPr>
          <w:rFonts w:ascii="Times New Roman" w:eastAsia="Times New Roman" w:hAnsi="Times New Roman" w:cs="Times New Roman"/>
          <w:sz w:val="22"/>
          <w:szCs w:val="22"/>
        </w:rPr>
        <w:t xml:space="preserve"> před provedením Produkce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9B69CD"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dodat </w:t>
      </w:r>
      <w:r w:rsidR="00002AB6">
        <w:rPr>
          <w:rFonts w:ascii="Times New Roman" w:eastAsia="Times New Roman" w:hAnsi="Times New Roman" w:cs="Times New Roman"/>
          <w:sz w:val="22"/>
          <w:szCs w:val="22"/>
        </w:rPr>
        <w:t xml:space="preserve">Vyúčtovací fakturu. 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Honorář pokrývá veškeré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náklady spojené s výkonem v rámci Produkce. </w:t>
      </w:r>
    </w:p>
    <w:bookmarkEnd w:id="7"/>
    <w:p w14:paraId="2EC27BEC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18D590" w14:textId="77777777" w:rsidR="001B7FA4" w:rsidRDefault="00C439AE" w:rsidP="005B3E42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31C5E46F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D93831" w14:textId="77777777"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14:paraId="1B4D5651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F522D8" w14:textId="77777777"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57465B89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3270E9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226D4A" w14:textId="77777777"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0EC79723" w14:textId="77777777" w:rsidR="001B7FA4" w:rsidRDefault="001B7FA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19FDD8BB" w14:textId="77777777" w:rsidR="001B7FA4" w:rsidRDefault="00C439AE" w:rsidP="005B3E4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zdravotní indispozice znemožňující Účinkujícímu provedení uměleckého výkonu podložená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3A704E8F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828883" w14:textId="77777777" w:rsidR="001B7FA4" w:rsidRDefault="00C439AE" w:rsidP="005B3E4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07BBC4C9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791987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D53276" w14:textId="77777777" w:rsidR="001B7FA4" w:rsidRDefault="00C439AE" w:rsidP="005B3E4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1EFDB5EE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3935DE" w14:textId="77777777" w:rsidR="001B7FA4" w:rsidRDefault="00C439AE" w:rsidP="005B3E4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5BD44749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BF99DA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7E3456" w14:textId="77777777" w:rsidR="001B7FA4" w:rsidRDefault="00C439AE" w:rsidP="005B3E4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72AA8FB2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57924F" w14:textId="77777777"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7E9490E0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86D9B6" w14:textId="77777777"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645AEA2A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D63F4D" w14:textId="77777777" w:rsidR="004A29FD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C4731FB" w14:textId="77777777"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62554F2F" w14:textId="77777777"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CBB894" w14:textId="77777777"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75054C" w14:textId="77777777"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1B7FA4" w14:paraId="46661B6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58EE15" w14:textId="77777777"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B25B52" w14:textId="77777777"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1B7FA4" w14:paraId="5603E1E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6360440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4DF02D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 w14:paraId="0001EE0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FD9EE6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5C5CACD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 w14:paraId="65FB3DF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14FD99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51B0DF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 w14:paraId="5DB2367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2861129" w14:textId="77777777"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4D5492" w14:textId="77777777"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1B7FA4" w14:paraId="59D8274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E11DE6" w14:textId="77777777" w:rsidR="001B7FA4" w:rsidRDefault="00C439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F44B4C8" w14:textId="77777777" w:rsidR="001B7FA4" w:rsidRDefault="00C439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1B7FA4" w14:paraId="4322EAE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467F210" w14:textId="77777777" w:rsidR="001B7FA4" w:rsidRDefault="001B7FA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2BE21C9" w14:textId="77777777" w:rsidR="001B7FA4" w:rsidRDefault="001B7FA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D9B1D7A" w14:textId="77777777" w:rsidR="001B7FA4" w:rsidRDefault="001B7FA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C69E93" w14:textId="77777777" w:rsidR="001B7FA4" w:rsidRDefault="001B7F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1B7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6DAC" w14:textId="77777777" w:rsidR="00EB572C" w:rsidRDefault="00EB572C">
      <w:r>
        <w:separator/>
      </w:r>
    </w:p>
  </w:endnote>
  <w:endnote w:type="continuationSeparator" w:id="0">
    <w:p w14:paraId="5B7BD6C7" w14:textId="77777777" w:rsidR="00EB572C" w:rsidRDefault="00E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16DE" w14:textId="77777777" w:rsidR="001B7FA4" w:rsidRDefault="00C439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BD2B" w14:textId="77777777" w:rsidR="001B7FA4" w:rsidRDefault="00C439A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5CD877C3" wp14:editId="77774BCD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135D5" w14:textId="77777777"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B770" w14:textId="77777777" w:rsidR="00EB572C" w:rsidRDefault="00EB572C">
      <w:r>
        <w:separator/>
      </w:r>
    </w:p>
  </w:footnote>
  <w:footnote w:type="continuationSeparator" w:id="0">
    <w:p w14:paraId="7B76342E" w14:textId="77777777" w:rsidR="00EB572C" w:rsidRDefault="00EB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5D8A" w14:textId="77777777" w:rsidR="001B7FA4" w:rsidRDefault="00C439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6C324F52" w14:textId="77777777"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DBC9" w14:textId="77777777" w:rsidR="001B7FA4" w:rsidRDefault="00C439A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1FFF1F56" wp14:editId="1961ED47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0979" w14:textId="77777777"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D2A"/>
    <w:multiLevelType w:val="multilevel"/>
    <w:tmpl w:val="1FEAB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BA0870"/>
    <w:multiLevelType w:val="multilevel"/>
    <w:tmpl w:val="C1F0A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C3654F"/>
    <w:multiLevelType w:val="multilevel"/>
    <w:tmpl w:val="9DB48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945D6E"/>
    <w:multiLevelType w:val="multilevel"/>
    <w:tmpl w:val="32181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4E7D19"/>
    <w:multiLevelType w:val="multilevel"/>
    <w:tmpl w:val="E8CA1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3F0998"/>
    <w:multiLevelType w:val="multilevel"/>
    <w:tmpl w:val="8584C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A345EF0"/>
    <w:multiLevelType w:val="multilevel"/>
    <w:tmpl w:val="BDC6E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2383903">
    <w:abstractNumId w:val="7"/>
  </w:num>
  <w:num w:numId="2" w16cid:durableId="2045864326">
    <w:abstractNumId w:val="4"/>
  </w:num>
  <w:num w:numId="3" w16cid:durableId="1805852244">
    <w:abstractNumId w:val="0"/>
  </w:num>
  <w:num w:numId="4" w16cid:durableId="582379626">
    <w:abstractNumId w:val="6"/>
  </w:num>
  <w:num w:numId="5" w16cid:durableId="1760904279">
    <w:abstractNumId w:val="3"/>
  </w:num>
  <w:num w:numId="6" w16cid:durableId="679310929">
    <w:abstractNumId w:val="5"/>
  </w:num>
  <w:num w:numId="7" w16cid:durableId="643656197">
    <w:abstractNumId w:val="2"/>
  </w:num>
  <w:num w:numId="8" w16cid:durableId="40357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A4"/>
    <w:rsid w:val="00002AB6"/>
    <w:rsid w:val="00007117"/>
    <w:rsid w:val="00103964"/>
    <w:rsid w:val="00124FFE"/>
    <w:rsid w:val="00152679"/>
    <w:rsid w:val="001B36FC"/>
    <w:rsid w:val="001B7FA4"/>
    <w:rsid w:val="001C4FD3"/>
    <w:rsid w:val="00300893"/>
    <w:rsid w:val="00437BB2"/>
    <w:rsid w:val="00480B86"/>
    <w:rsid w:val="004A29FD"/>
    <w:rsid w:val="005168B8"/>
    <w:rsid w:val="005B3E42"/>
    <w:rsid w:val="005E10E7"/>
    <w:rsid w:val="00744DE1"/>
    <w:rsid w:val="007E24B0"/>
    <w:rsid w:val="007F438A"/>
    <w:rsid w:val="008373F1"/>
    <w:rsid w:val="00857807"/>
    <w:rsid w:val="008608BA"/>
    <w:rsid w:val="008971C3"/>
    <w:rsid w:val="008E3B89"/>
    <w:rsid w:val="008F16F5"/>
    <w:rsid w:val="009B69CD"/>
    <w:rsid w:val="00A26026"/>
    <w:rsid w:val="00B34FF4"/>
    <w:rsid w:val="00B700FE"/>
    <w:rsid w:val="00BA7E99"/>
    <w:rsid w:val="00C10ABC"/>
    <w:rsid w:val="00C32F8C"/>
    <w:rsid w:val="00C439AE"/>
    <w:rsid w:val="00D04383"/>
    <w:rsid w:val="00DC2185"/>
    <w:rsid w:val="00DE2ED0"/>
    <w:rsid w:val="00E518FF"/>
    <w:rsid w:val="00EB572C"/>
    <w:rsid w:val="00F53173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A94D"/>
  <w15:docId w15:val="{63F8EF2C-7610-41D4-9442-5B882B1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5780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A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3</cp:revision>
  <cp:lastPrinted>2025-08-25T08:09:00Z</cp:lastPrinted>
  <dcterms:created xsi:type="dcterms:W3CDTF">2025-08-29T09:48:00Z</dcterms:created>
  <dcterms:modified xsi:type="dcterms:W3CDTF">2025-08-29T09:51:00Z</dcterms:modified>
</cp:coreProperties>
</file>