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Příloha č. 3 SOD 736/2025</w:t>
      </w: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Monitoring Ervěnického koridoru</w:t>
      </w:r>
      <w:bookmarkEnd w:id="3"/>
      <w:bookmarkEnd w:id="4"/>
      <w:bookmarkEnd w:id="5"/>
    </w:p>
    <w:p>
      <w:pPr>
        <w:pStyle w:val="Style14"/>
        <w:keepNext w:val="0"/>
        <w:keepLines w:val="0"/>
        <w:widowControl w:val="0"/>
        <w:shd w:val="clear" w:color="auto" w:fill="auto"/>
        <w:tabs>
          <w:tab w:pos="2117"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1"/>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zemědělská univerzita v Praze</w:t>
      </w:r>
    </w:p>
    <w:p>
      <w:pPr>
        <w:pStyle w:val="Style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keepLines/>
        <w:widowControl w:val="0"/>
        <w:shd w:val="clear" w:color="auto" w:fill="auto"/>
        <w:bidi w:val="0"/>
        <w:spacing w:before="0" w:line="240"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Monitoring Ervěnického koridoru</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 Česká zemědělská univerzita v Praze</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 xml:space="preserve">sídlo: Kamýcká 129, PSČ 165 00 Praha – Suchdol, IČO: 60460709 </w:t>
      </w: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8"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2"/>
        <w:keepNext w:val="0"/>
        <w:keepLines w:val="0"/>
        <w:widowControl w:val="0"/>
        <w:numPr>
          <w:ilvl w:val="0"/>
          <w:numId w:val="5"/>
        </w:numPr>
        <w:shd w:val="clear" w:color="auto" w:fill="auto"/>
        <w:tabs>
          <w:tab w:pos="358" w:val="left"/>
        </w:tabs>
        <w:bidi w:val="0"/>
        <w:spacing w:before="0" w:after="20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r>
        <w:br w:type="page"/>
      </w:r>
    </w:p>
    <w:p>
      <w:pPr>
        <w:pStyle w:val="Style2"/>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104"/>
        <w:gridCol w:w="4066"/>
        <w:gridCol w:w="989"/>
        <w:gridCol w:w="2712"/>
      </w:tblGrid>
      <w:tr>
        <w:trPr>
          <w:trHeight w:val="523"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gridSpan w:val="2"/>
            <w:tcBorders/>
            <w:shd w:val="clear" w:color="auto" w:fill="FFFFFF"/>
            <w:vAlign w:val="top"/>
          </w:tcPr>
          <w:p>
            <w:pPr>
              <w:pStyle w:val="Style18"/>
              <w:keepNext w:val="0"/>
              <w:keepLines w:val="0"/>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8"/>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0"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8"/>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18"/>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sectPr>
      <w:footerReference w:type="default" r:id="rId5"/>
      <w:footnotePr>
        <w:pos w:val="pageBottom"/>
        <w:numFmt w:val="decimal"/>
        <w:numRestart w:val="continuous"/>
      </w:footnotePr>
      <w:pgSz w:w="11909" w:h="16838"/>
      <w:pgMar w:top="660" w:left="1082" w:right="1029" w:bottom="3714" w:header="232"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6027420</wp:posOffset>
              </wp:positionH>
              <wp:positionV relativeFrom="page">
                <wp:posOffset>9873615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4.60000000000002pt;margin-top:777.45000000000005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8"/>
      <w:szCs w:val="28"/>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460"/>
      <w:jc w:val="center"/>
      <w:outlineLvl w:val="0"/>
    </w:pPr>
    <w:rPr>
      <w:rFonts w:ascii="Arial" w:eastAsia="Arial" w:hAnsi="Arial" w:cs="Arial"/>
      <w:b/>
      <w:bCs/>
      <w:i w:val="0"/>
      <w:iCs w:val="0"/>
      <w:smallCaps w:val="0"/>
      <w:strike w:val="0"/>
      <w:sz w:val="28"/>
      <w:szCs w:val="28"/>
      <w:u w:val="none"/>
    </w:rPr>
  </w:style>
  <w:style w:type="paragraph" w:customStyle="1" w:styleId="Style11">
    <w:name w:val="Style 11"/>
    <w:basedOn w:val="Normal"/>
    <w:link w:val="CharStyle12"/>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4">
    <w:name w:val="Style 14"/>
    <w:basedOn w:val="Normal"/>
    <w:link w:val="CharStyle15"/>
    <w:pPr>
      <w:widowControl w:val="0"/>
      <w:shd w:val="clear" w:color="auto" w:fill="FFFFFF"/>
      <w:spacing w:after="200"/>
    </w:pPr>
    <w:rPr>
      <w:rFonts w:ascii="Arial" w:eastAsia="Arial" w:hAnsi="Arial" w:cs="Arial"/>
      <w:b w:val="0"/>
      <w:bCs w:val="0"/>
      <w:i w:val="0"/>
      <w:iCs w:val="0"/>
      <w:smallCaps w:val="0"/>
      <w:strike w:val="0"/>
      <w:u w:val="none"/>
    </w:rPr>
  </w:style>
  <w:style w:type="paragraph" w:customStyle="1" w:styleId="Style18">
    <w:name w:val="Style 18"/>
    <w:basedOn w:val="Normal"/>
    <w:link w:val="CharStyle1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