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-868680</wp:posOffset>
            </wp:positionH>
            <wp:positionV relativeFrom="margin">
              <wp:posOffset>-259080</wp:posOffset>
            </wp:positionV>
            <wp:extent cx="7135495" cy="73088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135495" cy="73088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736/2025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JJJ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Povodí Ohře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Ervěnický koridor – pohyb po pláni pro studijní a</w:t>
        <w:br/>
        <w:t>vědecké účely</w:t>
      </w:r>
      <w:bookmarkEnd w:id="0"/>
      <w:bookmarkEnd w:id="1"/>
      <w:bookmarkEnd w:id="2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Identifikace rizik</w:t>
      </w:r>
      <w:bookmarkEnd w:id="3"/>
      <w:bookmarkEnd w:id="4"/>
      <w:bookmarkEnd w:id="5"/>
    </w:p>
    <w:p>
      <w:pPr>
        <w:pStyle w:val="Style14"/>
        <w:keepNext w:val="0"/>
        <w:keepLines w:val="0"/>
        <w:widowControl w:val="0"/>
        <w:shd w:val="clear" w:color="auto" w:fill="auto"/>
        <w:tabs>
          <w:tab w:pos="3259" w:val="left"/>
        </w:tabs>
        <w:bidi w:val="0"/>
        <w:spacing w:before="0" w:after="0" w:line="240" w:lineRule="auto"/>
        <w:ind w:left="0" w:right="0" w:firstLine="480"/>
        <w:jc w:val="left"/>
        <w:rPr>
          <w:sz w:val="24"/>
          <w:szCs w:val="24"/>
        </w:rPr>
      </w:pPr>
      <w:r>
        <w:rPr>
          <w:b/>
          <w:bCs/>
          <w:color w:val="757477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zpracování:</w:t>
        <w:tab/>
        <w:t>05/2006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3259" w:val="left"/>
        </w:tabs>
        <w:bidi w:val="0"/>
        <w:spacing w:before="0" w:after="280" w:line="240" w:lineRule="auto"/>
        <w:ind w:left="0" w:right="0" w:firstLine="480"/>
        <w:jc w:val="left"/>
        <w:rPr>
          <w:sz w:val="24"/>
          <w:szCs w:val="24"/>
        </w:rPr>
      </w:pPr>
      <w:r>
        <w:rPr>
          <w:b/>
          <w:bCs/>
          <w:color w:val="757477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aktualizace:</w:t>
        <w:tab/>
        <w:t>07/2025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předkládá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480"/>
        <w:jc w:val="left"/>
        <w:rPr>
          <w:sz w:val="24"/>
          <w:szCs w:val="24"/>
        </w:rPr>
      </w:pPr>
      <w:r>
        <w:rPr>
          <w:b/>
          <w:bCs/>
          <w:color w:val="757477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Jméno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funkce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zpracovali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480"/>
        <w:jc w:val="left"/>
        <w:rPr>
          <w:sz w:val="24"/>
          <w:szCs w:val="24"/>
        </w:rPr>
      </w:pPr>
      <w:r>
        <w:rPr>
          <w:b/>
          <w:bCs/>
          <w:color w:val="757477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Jméno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funkce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480"/>
        <w:jc w:val="left"/>
        <w:rPr>
          <w:sz w:val="24"/>
          <w:szCs w:val="24"/>
        </w:rPr>
      </w:pPr>
      <w:r>
        <w:rPr>
          <w:b/>
          <w:bCs/>
          <w:color w:val="757477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Jméno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6838" w:h="11909" w:orient="landscape"/>
          <w:pgMar w:top="803" w:left="1651" w:right="2433" w:bottom="101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funkce</w:t>
      </w:r>
    </w:p>
    <w:p>
      <w:pPr>
        <w:pStyle w:val="Style19"/>
        <w:keepNext w:val="0"/>
        <w:keepLines w:val="0"/>
        <w:framePr w:w="5544" w:h="403" w:wrap="none" w:hAnchor="page" w:x="2113" w:y="7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Identifikace a vyhodnocení rizik strojů a zařízení</w:t>
      </w:r>
    </w:p>
    <w:tbl>
      <w:tblPr>
        <w:tblOverlap w:val="never"/>
        <w:jc w:val="left"/>
        <w:tblLayout w:type="fixed"/>
      </w:tblPr>
      <w:tblGrid>
        <w:gridCol w:w="1517"/>
        <w:gridCol w:w="1982"/>
        <w:gridCol w:w="4522"/>
        <w:gridCol w:w="437"/>
        <w:gridCol w:w="437"/>
        <w:gridCol w:w="442"/>
        <w:gridCol w:w="1382"/>
        <w:gridCol w:w="1354"/>
        <w:gridCol w:w="1344"/>
        <w:gridCol w:w="1382"/>
      </w:tblGrid>
      <w:tr>
        <w:trPr>
          <w:trHeight w:val="133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Středisko: HS 202 – 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798" w:h="9394" w:wrap="none" w:hAnchor="page" w:x="1129" w:y="14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Závod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: Chomutov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zpracoval:</w:t>
            </w:r>
          </w:p>
        </w:tc>
      </w:tr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Posuzovaný objekt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Zdroj Rizika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Identifikace nebezpečí</w:t>
            </w:r>
          </w:p>
        </w:tc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Bezpečnostní opatření/OOPP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framePr w:w="14798" w:h="9394" w:wrap="none" w:hAnchor="page" w:x="1129" w:y="1403"/>
            </w:pPr>
          </w:p>
        </w:tc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framePr w:w="14798" w:h="9394" w:wrap="none" w:hAnchor="page" w:x="1129" w:y="1403"/>
            </w:pPr>
          </w:p>
        </w:tc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framePr w:w="14798" w:h="9394" w:wrap="none" w:hAnchor="page" w:x="1129" w:y="140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798" w:h="9394" w:wrap="none" w:hAnchor="page" w:x="1129" w:y="14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Schody, žebříky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schody, stupadla, žebříky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osoby při pohybu po kovových schodech, stupadlech nebo žebřících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-rovný, nekluzký a nepoškozený povrch schodišťových stupňů a podest -přidržování se madel při výstupu a sestupu po schodištích a svislých ocelových žebřících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-vyloučení nesprávného došlapování až na okraj schodišťového stupně, kde jsou zhoršené třecí podmínky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-očistění obuvi před výstupem na žebřík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-správné našlapování, vyloučení šikmého našlápnutí, zvýšená opatrnost při snížení adhezních podmínek za mokra, námrazy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-používání protiskluzné obuvi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EK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vstup na tlakové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/ uklouznutí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-obsluha EK musí být předem a v dostatečném čase informována o potřebě vstupu na potrubí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tak, aby zajistila podmínky nutné pro zajištění bezpečné práce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-MVE musí být před vstupem na potrubí uvedena mimo provoz, aby bylo zamezeno tlakovému rázu a tím směrovému pohybu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798" w:h="9394" w:wrap="none" w:hAnchor="page" w:x="1129" w:y="14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pohyb po tlakovém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/ uklouznutí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-chůze po potrubí je zakázána, přechod z jednoho potrubí na druhé za použití prkna nebo žebříku či přeskakování je zakázáno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-kontroly a měření je nutné provádět takovým způsobem, že v místě kontroly/měření bude vstup na potrubí uskutečněn pouze ze země po žebříku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798" w:h="9394" w:wrap="none" w:hAnchor="page" w:x="1129" w:y="14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vstup mezi tlakové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přitlačení / rozdrcení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-mezi tlakové potrubí je povolen vstup pouze za použití rozpěr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které zamezují směrovému pohybu potrubí</w:t>
            </w:r>
          </w:p>
        </w:tc>
      </w:tr>
      <w:tr>
        <w:trPr>
          <w:trHeight w:val="16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798" w:h="9394" w:wrap="none" w:hAnchor="page" w:x="1129" w:y="14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klimatické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různé druhy úrazu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-při nepříznivé klimatické situaci </w:t>
            </w: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musí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zaměstnanec nebo osoba pověřená prací, při které vstupuje na potrubí, </w:t>
            </w: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přerušit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práci nebo zajistit jiná opatření k BOZP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-za nepříznivou povětrnostní situaci se považuje: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bouře, hustý déšť, sněžení nebo tvoření námrazy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vítr o rychlostí nad 8 m/sec,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teplota během provádění práce je nižší jak -10 °C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teplota během provádění práce je vyšší jak +30 °C</w:t>
            </w:r>
          </w:p>
        </w:tc>
      </w:tr>
      <w:tr>
        <w:trPr>
          <w:trHeight w:val="9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Vozidla motocykl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nehoda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střet vozidel-srážka, střet s jiným vozidlem střed s osobou nebo jiným účastníkem silničního provozu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-odborná, zdravotní (tělesná a duševní) způsobilost k řízení vozidla - řídit se pravidly dle zákona o provozu na pozemních komunikacích -přizpůsobení chování řidiče při řízení dopravně-technickému stavu vozovky, situaci v provozu a svým schopnostem</w:t>
            </w:r>
          </w:p>
          <w:p>
            <w:pPr>
              <w:pStyle w:val="Style21"/>
              <w:keepNext w:val="0"/>
              <w:keepLines w:val="0"/>
              <w:framePr w:w="14798" w:h="9394" w:wrap="none" w:hAnchor="page" w:x="1129" w:y="14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-užívání k jízdě jen vozidla, které splňuje stanovené podmínky</w:t>
            </w:r>
          </w:p>
        </w:tc>
      </w:tr>
    </w:tbl>
    <w:p>
      <w:pPr>
        <w:framePr w:w="14798" w:h="9394" w:wrap="none" w:hAnchor="page" w:x="1129" w:y="140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179705</wp:posOffset>
            </wp:positionH>
            <wp:positionV relativeFrom="margin">
              <wp:posOffset>0</wp:posOffset>
            </wp:positionV>
            <wp:extent cx="7135495" cy="27038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7135495" cy="2703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4" w:left="283" w:right="912" w:bottom="9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1502"/>
        <w:gridCol w:w="1982"/>
        <w:gridCol w:w="4522"/>
        <w:gridCol w:w="437"/>
        <w:gridCol w:w="437"/>
        <w:gridCol w:w="437"/>
        <w:gridCol w:w="5467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střet s překážkou-náraz vozidla na překážku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-věnování se plně řízení vozidla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zákona o provozu na pozemních komunikacích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převrácení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-sledování situace v silničním provozu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couvání, otáčení-ohrožení osob při couvání a otáčení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-respektování přísl. dopravního značení (jednosměrný provoz, přednost v jízdě, max. rychlosti apod.)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-zastavení vozidla ihned, jakmile řidič ztratí navádějící osobu z dohledu -seznámení řidiče před jízdou s dopravně provozním řádem pro vnitrozávodní dopravu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-přibrání potřebného počtu způsobilých a poučených osob, vyžaduje-li to bezp. provozu, couvat až na smluv. znamení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-poloha a zdržování se navádějící osoby v zorném poli řidiče couvajícího vozidla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-seznámit se s méně obvyklými rozměry vozidla, nákladu, či dopravních cest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vozidlo odstavené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nežádoucí ujetí odstaveného vozidla, najetí vozidla do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-zajištění vozidla brzdou, klíny, zařazením rychlosti nebo jejich kombinací- použití vozidla v souladu s návodem k obsluze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-zvýšená opatrnost při manipulaci s dopravním prostředkem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bezprostřední blízkosti toku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-vozidlo vždy při stání zajistit proti náhodnému pohybu ruční brzdou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Parkování vozidel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srážka s dopravním prostředkem přejetí, přitlačení vozidlem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-řídit se bezpečnostními ustanoveními a bezpečnostním značením dodržovat místní zákazy a příkazy</w:t>
            </w:r>
          </w:p>
        </w:tc>
      </w:tr>
      <w:tr>
        <w:trPr>
          <w:trHeight w:val="24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 místní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 v areálu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různá zranění, úrazy a věcné škody vznikající na majetku, nehody v areálu firmy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-seznámení řidiče s interními předpisy pro vnitrozávodní dopravu (jsou-li zpracovány) a s návodem k obsluze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-obeznámit se s méně obvyklými rozměry vozidla, nákladu či dopravních cest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-respektovat příslušné dopravní značení (jednosměrný provoz, přednost v jízdě, max. rychlost apod.)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-bezpečnostní značení-černožluté šrafování zúžených okrajů až do výšky sedícího řidiče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-při couvání zajistit, by bylo vozidlo nepřehlédnutelné, vyloučení přítomnosti osob za vozidlem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-křídla vrat zajistit v dané poloze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-dodržovat bezpečnostní vzdálenost (500 mm až 600 mm) vlevo i vpravo -používat indikátory šířky vozidla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klimatické podmínky (sníh, led, námrazy)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pády, nehody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-mechanické odklizení sněhu, je-li to možné i ledu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-posyp zledovatělé plochy solí, dovolují-li to teplotní podmínky (od -8 °C je sůl neúčinná)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zledovatělých a šikmých ploch štěrkem nebo pískem, pokud to není bezpředmětné (např. neustálé sněžení)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-použití zimní pracovní obuvi dle katalogu OOPP, zvýšená opatrnost při chůzi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důkladné uklizení a ošetření venkovních schodů a schodišť, volných ramp apod.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-udržování vozidel bez sněhu a ledu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502"/>
        <w:gridCol w:w="1982"/>
        <w:gridCol w:w="4522"/>
        <w:gridCol w:w="437"/>
        <w:gridCol w:w="437"/>
        <w:gridCol w:w="437"/>
        <w:gridCol w:w="5467"/>
      </w:tblGrid>
      <w:tr>
        <w:trPr>
          <w:trHeight w:val="20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Pohyb osob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pracovníka z výšky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volných nezajištěných okrajů staveb, nezajištěných okrajů (hran pádu) na střechách, terasách, lodgiích apod.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-jejich dostatečná únosnost, pevnost a stabilita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-kontrolu svislosti zdí neprovádět přímo z vyzdívané zdi (nebezpečí uvolnění cihly a nezatuhlého spodního zdiva)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-vybavení stavby konstrukcemi pro práce ve výškách a zvyšování místa práce (lešení, žebříky, materiál, inventární díly)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-zajišťování pracovníků ve výškách tam, kde nelze použít kolektivní zajištění osobním zajištěním (POZ)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-průběžné zajišťování všech volných okrajů stavby, kde je rozdíl výšek větší než 1,5 kolektivním zajištěním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-zamezení přístupu k místům, kde se nepracuje a jejichž volné okraje nejsou zajištěny proti pádu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vratké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z vratkých konstrukcí a předmětů, které nejsou určeny pro práci ve výšce ani k výstupům na zvýšená pracoviště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-pád z vratkých konstrukcí a předmětů, které nejsou určeny pro práci ve výšce ani k výstupům na zvýšená pracoviště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zborcení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propadnutí a pád osob po zlomení, uvolnění, zborcení konstrukcí, zejména dřevěných, následkem jejich vadného stavu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propadnutí osoby po zlomení dřevěných prvků pomocných zatímních podlah a lešení, fošen, hranolů apod.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-správné osazení podlah. dílců a jednot. prvků podlah lešení -výběr vhodného a kvalitního materiálu pro nosné prvky pomocných podlah, vyloučení použití vadného dřeva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-nepřetěžování podlah ani jiných konstrukcí materiálem, soustředěním více osob apod.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-spolehlivé zajištění jednotlivých prvků podlah a jiných zatímních pomocných konstrukcí proti nežádoucímu pohybu ( svlakování apod.)</w:t>
            </w:r>
          </w:p>
        </w:tc>
      </w:tr>
      <w:tr>
        <w:trPr>
          <w:trHeight w:val="19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podlahy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předmětu a materiálu z výšky na pracovníka s ohrožením a zraněním hlavy (cihla, úlomek z mat. přeprav. jeřábem) pád úmyslně shazované stavební suti z podlahy, lešení, z podlahy stavěného objektu, ze střechy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-zajišťování volných okrajů podlah, včetně lešení, zarážkou při podlaze, popř. obedněním, sítí, plachtou apod.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-zřízení záchytných střížek na vstupu do objektů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-vymezení a ohrazení ochranného pásma pod místem práce ve výšce -vyloučení práce nad sebou a přístupu osob pod místa práce ve výškách -bezp. ukl. materiálu na podlahách mimo okraj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Žebříky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stabilita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žebříku i s pracovníkem po ztrátě stability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-žebříky používat jen pro krátkodobé, fyzicky nenáročné práce při použití jednoduchého nářadí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osoby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osoby ze žebříku poranění hlavy, páteře, vnitřní zranění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-při používání žebříků dodržovány zákazy: -nebezpečně a nadměrně se vyklánět mimo osu žebříku -vystupovat a sestupovat více osobám současně -pracovat nad sebou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-udržovat žebříky v řádném technickém stavu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-používat nepoškozené žebříky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-zajištění pevného a stabilního postavení pracovníka při práci s nářadím, omezení práce na žebřících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-vyloučení práce na vratkých a nestabilních konstrukcích, -místo žebříku používat bezpečnějších a stabilnějších zařízení (plošin, lešení apod.)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žebříky hliníkové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větší nároky na zajištění stability hliníkových žebříků s malou hmotností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-pracovat na jednoduchém žebříku ve vzdálenosti chodidel blíže než 0,8 m od jeho konce a na dvojitém žebříku blíže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-vynášet a snášet břemeno o hmotnosti nad 20 kg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převrácení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převrácení žebříku jinou osobou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převrácení žebříku kolem projíždějícím vozidlem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-vystupovat na žebřík s poškozenou, nevhodnou a znečistěnou obuví, s dlouhými tkaničkami apod.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1978"/>
        <w:gridCol w:w="4531"/>
        <w:gridCol w:w="437"/>
        <w:gridCol w:w="437"/>
        <w:gridCol w:w="432"/>
        <w:gridCol w:w="5472"/>
      </w:tblGrid>
      <w:tr>
        <w:trPr>
          <w:trHeight w:val="1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příčle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prasknutí nebo zlomení příčle dřevěných žebříků s následným pádem pracovníka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-vyklánění ze žebříku do strany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-práce příliš blízko horního konce žebříku, kdy dochází ke snížení stability žebříku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-k zajištění stability žebřík zabezpečovat proti posunutí, bočnímu vychýlení, zvrácení a rozevření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-horní konec spolehlivě opřít o horní -dodržovat zákaz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-postranice, popř. žebřík připevnit ke stabilní konstrukci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žebříku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rozjetí postranic pád dvojitého žebříku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-opatření dvojitých žebříků zajišťovacími řetízky, táhly apod. proti rozevření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klimatické podmínky při práci na žebříku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různé druhy úrazu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Při nepříznivé povětrnostní situaci, je zaměstnavatel, konkrétně určená osoba, odpovědná za pohyb nebo práce ve výškách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přerušit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práci, při čemž za nepříznivou povětrnostní situací, kdy hrozí nebezpečí pádu nebo sklouznutí se při práci ve výškách považuje: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bouře, déšť, sněžení nebo tvoření námrazy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160" w:right="0" w:hanging="16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čerstvý vítr o rychlostí nad 8 m/sec, pokud se jedná např. o pojízdné lešení nebo žebříky nad 5 m výšky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160" w:right="0" w:hanging="16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dohlednost v místě práce nebo pohybu menší než 30 m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96" w:val="left"/>
              </w:tabs>
              <w:bidi w:val="0"/>
              <w:spacing w:before="0" w:after="0" w:line="240" w:lineRule="auto"/>
              <w:ind w:left="160" w:right="0" w:hanging="16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teplota během provádění práci je nižší jak -10 stupňů C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terénní pochůzky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-zvýšená opatrnost při pochůzné činnosti v terénu. -řádná pracovní obuv dle přidělených OOPP.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úraz způsobený vegetací (větve, kmeny)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-zvýšená opatrnost, dodržování BOZP při pochůzné činnosti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Cizí osoby Toulavá zvířata Divoká zvěř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napadení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úraz různých částí těl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 případě narušení objektu, nevstupovat osamoceně do objektu, -přivolat pomoc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Požární ochrana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vznícení, požár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požár způsobený kouřením, otevřeným ohněm, od jisker použitého nářadí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-dodržovat zákaz kouření na pracovišti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-dodržovat zákaz použití otevřeného ohně bez souhlasu odpovědného pracovníka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-v prostoru s vysokým požárním nebezpečím nebo v prostředí s nebezpečím výbuchu nepoužívat nářadí s možností vzniku jisker</w:t>
            </w:r>
          </w:p>
        </w:tc>
      </w:tr>
      <w:tr>
        <w:trPr>
          <w:trHeight w:val="15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Klíště, bodavý hmyz, hlodavci, hadi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pohyb v terénu pracovní činnost v objektech nebo jejich částech, které nejsou v běžném pracovním režimu (např. osamoceně stojící, měrná místa apod.)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kousnutí, přisátí, infikování uštknutí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-používání vhodných OOPP -ochranných sprejů, ošetření, očkování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Technický stav potrubních řadů Ervěnického koridoru v tlakovém i beztlakovém provozu (č. 1, 2, 3, 4) lze považovat za současného stavu, tak jak již bylo konstatováno v předchozích letech, za hranicí spolehlivého provozu. Tento stav je ovlivněn zejména uložením trubních řadů, korozními projevy, což vyvolává statické a mechanické zatížení materiálu potrubí.</w:t>
      </w:r>
      <w:bookmarkEnd w:id="6"/>
      <w:bookmarkEnd w:id="7"/>
      <w:bookmarkEnd w:id="8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Zakazuje se jakýkoli pohyb po řadech č. 1, 2, 3, 4 (tzn. chůze po potrubí, přechod z jednoho potrubí na druhé za použití prkna či žebříku, nebo přeskakování mezi jednotlivými řady)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40" w:line="252" w:lineRule="auto"/>
        <w:ind w:left="98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Zakazuje se vstup a pohyb mezi řady, v nezbytně nutných případech je vstup mezi řady č. 1, 2, 3, 4 povolen pouze za použití rozpěr, které zamezují směrovému (bočnímu) pohybu potrubí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/>
        <w:ind w:right="0" w:firstLine="0"/>
        <w:jc w:val="left"/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Pohyb osob po plání Ervěnického koridoru (ve vymezeném prostoru) je možný pouze se souhlasem provozovatele a po prokazatelném seznámení s místními BOZP podmínkami a předání rizik.</w:t>
      </w:r>
      <w:bookmarkEnd w:id="10"/>
      <w:bookmarkEnd w:id="11"/>
      <w:bookmarkEnd w:id="9"/>
    </w:p>
    <w:tbl>
      <w:tblPr>
        <w:tblOverlap w:val="never"/>
        <w:jc w:val="center"/>
        <w:tblLayout w:type="fixed"/>
      </w:tblPr>
      <w:tblGrid>
        <w:gridCol w:w="3898"/>
        <w:gridCol w:w="4138"/>
        <w:gridCol w:w="1094"/>
        <w:gridCol w:w="4762"/>
      </w:tblGrid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 - Pravděpodobnost vzniku a existence rizika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 - Pravděpodobnost následků – závažnost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 - Míra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rizika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1.Nahodilá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 Poranění bez pracovní neschopnosti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1–3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bezvýznamné riziko, riziko možno přijmout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2.Nepravděpodobná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 Absenční úraz (s pracovní neschopností)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4–6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akceptovatelné riziko, možné riziko, zvýšit pozornost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3.Pravděpodobná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 Vážnější úraz vyžadující hospitalizaci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7–10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mírné riziko, riziko, potřeba nápravné činnosti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4.Velmi pravděpodobná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 Těžký úraz a úraz s trvalými následky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11–19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nežádoucí riziko, vysoké riziko, bezpro. bezpečnostní opatření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5.Trvalá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 Smrtelný úraz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20–25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nepřijatelné riziko, velmi vysoké riziko, zastavit činnost</w:t>
            </w:r>
          </w:p>
        </w:tc>
      </w:tr>
    </w:tbl>
    <w:p>
      <w:pPr>
        <w:widowControl w:val="0"/>
        <w:spacing w:after="12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8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02. 07. 2025</w:t>
      </w:r>
    </w:p>
    <w:sectPr>
      <w:footnotePr>
        <w:pos w:val="pageBottom"/>
        <w:numFmt w:val="decimal"/>
        <w:numRestart w:val="continuous"/>
      </w:footnotePr>
      <w:pgSz w:w="16838" w:h="11909" w:orient="landscape"/>
      <w:pgMar w:top="706" w:left="1142" w:right="912" w:bottom="10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6951345</wp:posOffset>
              </wp:positionV>
              <wp:extent cx="76200" cy="2044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8.05000000000001pt;margin-top:547.35000000000002pt;width:6.pt;height:16.1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464BC"/>
      <w:sz w:val="44"/>
      <w:szCs w:val="44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757477"/>
      <w:sz w:val="16"/>
      <w:szCs w:val="16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0"/>
      <w:ind w:hanging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9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40"/>
      <w:ind w:firstLine="6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464BC"/>
      <w:sz w:val="44"/>
      <w:szCs w:val="44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ind w:firstLine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ind w:firstLine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57477"/>
      <w:sz w:val="16"/>
      <w:szCs w:val="16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ind w:left="2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  <w:spacing w:after="1380" w:line="259" w:lineRule="auto"/>
      <w:ind w:left="98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Prochazkova</dc:creator>
  <cp:keywords/>
</cp:coreProperties>
</file>