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narovnání</w:t>
        <w:br/>
        <w:t>(Dodatek č. 4) ke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SMLOUVĚ O DÍLO</w:t>
      </w:r>
      <w:bookmarkEnd w:id="1"/>
      <w:bookmarkEnd w:id="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„dohoda“)</w:t>
      </w:r>
      <w:bookmarkEnd w:id="3"/>
      <w:bookmarkEnd w:id="4"/>
      <w:bookmarkEnd w:id="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428/2022</w:t>
        <w:br/>
        <w:t>Číslo smlouvy zhotovitele: 666/2022</w:t>
      </w:r>
      <w:bookmarkEnd w:id="6"/>
      <w:bookmarkEnd w:id="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“Bystřice, ř. km 12,541-13,261 (Dubí) - rekonstrukce”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0"/>
      <w:bookmarkEnd w:id="8"/>
      <w:bookmarkEnd w:id="9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1"/>
      <w:bookmarkEnd w:id="12"/>
      <w:bookmarkEnd w:id="13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14"/>
      <w:bookmarkEnd w:id="15"/>
      <w:bookmarkEnd w:id="1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17"/>
      <w:bookmarkEnd w:id="18"/>
      <w:bookmarkEnd w:id="19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</w:t>
      </w:r>
      <w:bookmarkEnd w:id="20"/>
      <w:bookmarkEnd w:id="21"/>
      <w:bookmarkEnd w:id="22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</w:t>
      </w:r>
      <w:bookmarkEnd w:id="23"/>
      <w:bookmarkEnd w:id="24"/>
      <w:bookmarkEnd w:id="2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26"/>
      <w:bookmarkEnd w:id="27"/>
      <w:bookmarkEnd w:id="28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zhotovitel: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RRR spol. s r.o.</w:t>
      </w:r>
      <w:bookmarkEnd w:id="50"/>
      <w:bookmarkEnd w:id="51"/>
      <w:bookmarkEnd w:id="52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17. listopadu 5349, 430 04 Chomutov</w:t>
      </w:r>
      <w:bookmarkEnd w:id="53"/>
      <w:bookmarkEnd w:id="54"/>
      <w:bookmarkEnd w:id="55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5" w:name="bookmark65"/>
      <w:bookmarkStart w:id="66" w:name="bookmark66"/>
      <w:bookmarkStart w:id="67" w:name="bookmark6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5"/>
      <w:bookmarkEnd w:id="66"/>
      <w:bookmarkEnd w:id="67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8" w:name="bookmark68"/>
      <w:bookmarkStart w:id="69" w:name="bookmark69"/>
      <w:bookmarkStart w:id="70" w:name="bookmark7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8"/>
      <w:bookmarkEnd w:id="69"/>
      <w:bookmarkEnd w:id="70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71" w:name="bookmark71"/>
      <w:bookmarkStart w:id="72" w:name="bookmark72"/>
      <w:bookmarkStart w:id="73" w:name="bookmark7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254 10 946</w:t>
      </w:r>
      <w:bookmarkEnd w:id="71"/>
      <w:bookmarkEnd w:id="72"/>
      <w:bookmarkEnd w:id="73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CZ25410946</w:t>
      </w:r>
      <w:bookmarkEnd w:id="74"/>
      <w:bookmarkEnd w:id="75"/>
      <w:bookmarkEnd w:id="76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7" w:name="bookmark77"/>
      <w:bookmarkStart w:id="78" w:name="bookmark78"/>
      <w:bookmarkStart w:id="79" w:name="bookmark7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7"/>
      <w:bookmarkEnd w:id="78"/>
      <w:bookmarkEnd w:id="79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0" w:name="bookmark80"/>
      <w:bookmarkStart w:id="81" w:name="bookmark81"/>
      <w:bookmarkStart w:id="82" w:name="bookmark8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0"/>
      <w:bookmarkEnd w:id="81"/>
      <w:bookmarkEnd w:id="82"/>
    </w:p>
    <w:p>
      <w:pPr>
        <w:pStyle w:val="Style8"/>
        <w:keepNext/>
        <w:keepLines/>
        <w:widowControl w:val="0"/>
        <w:shd w:val="clear" w:color="auto" w:fill="auto"/>
        <w:tabs>
          <w:tab w:pos="2810" w:val="left"/>
        </w:tabs>
        <w:bidi w:val="0"/>
        <w:spacing w:before="0" w:after="0" w:line="240" w:lineRule="auto"/>
        <w:ind w:left="0" w:right="0" w:firstLine="0"/>
        <w:jc w:val="left"/>
      </w:pPr>
      <w:bookmarkStart w:id="83" w:name="bookmark83"/>
      <w:bookmarkStart w:id="84" w:name="bookmark84"/>
      <w:bookmarkStart w:id="85" w:name="bookmark8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vedeného Krajským soudem v Ústí n/L, oddíl C, vložka 16278 tel.:</w:t>
        <w:tab/>
        <w:t>e-mail:</w:t>
      </w:r>
      <w:bookmarkEnd w:id="83"/>
      <w:bookmarkEnd w:id="84"/>
      <w:bookmarkEnd w:id="85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6"/>
      <w:bookmarkEnd w:id="87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Preambule a prohlášení smluvních stran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720" w:right="0" w:hanging="36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25.04.2022 uzavřely smluvní strany smlouvu o dílo číslo smlouvy objednatele: 428/2022, číslo smlouvy zhotovitele: 666/2022, s názvem „"Bystřice, ř. km 12,541</w:t>
        <w:softHyphen/>
        <w:t>13,261 (Dubí) - rekonstrukce"“, která byla opakovaně dodatkována (dále jen jako „Smlouva“). Tato dohoda o narovnání je v pořadí již 4. dodatkem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720" w:right="0" w:hanging="36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31.8.2024 proběhla přejímka díla s vadami nebránícími užívání. Seznam nedodělků (nedodělky ke dni 31.8.2024) je uveden v předávacím protokolu, který tvoří přílohu č. 2 této dohody. Veškeré uvedené vady byly odstraněny dne 30.09.2024 jak je uvedeno v příloze č.3.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line="240" w:lineRule="auto"/>
        <w:ind w:left="720" w:right="0" w:hanging="36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Jednou z vad nebránící užívání bylo chybějící „geodetické zaměření“, viz vada č. 5 uvedená v příloze č. 2 této dohody. Geodetické zaměření nebylo možné zpracovat do doby odstranění všech vad nebránících užívání. Teprve po zpracování geodetického zaměření bylo možné provést celkové zaměření stavby a spočítat kubaturu (provést doměření) položek uvedených v příloze č. 1 této dohody.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440" w:line="240" w:lineRule="auto"/>
        <w:ind w:left="720" w:right="0" w:hanging="36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skutečnosti uvedené v čl. I odst. 3 této dohody je zřejmé, že do celkového zaměření stavby nebylo možné doměřit veškeré vícepráce a méně práce, včetně vypořádání formou řádného dodatku ke Smlouvě tak, jak si smluvní strany ujednali ve Smlouvě.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00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Narovnání vzájemných práv a povinností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7" w:val="left"/>
        </w:tabs>
        <w:bidi w:val="0"/>
        <w:spacing w:before="0" w:line="240" w:lineRule="auto"/>
        <w:ind w:left="720" w:right="0" w:hanging="36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účelem narovnání vzájemných práv a povinností ze Smlouvy, které byly dotčeny okolnostmi uvedenými v čl. I. této dohody, se smluvní strany dohodly na uzavření této dohody o narovnání, která bude připojena ke Smlouvě jako dodatek č. 4, čímž se stane nedílnou součástí Smlouvy.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7" w:val="left"/>
        </w:tabs>
        <w:bidi w:val="0"/>
        <w:spacing w:before="0" w:line="240" w:lineRule="auto"/>
        <w:ind w:left="720" w:right="0" w:hanging="36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narovnání vzájemných práv a povinností, jenž spočívá v tom, že touto dohodou se narovná vztah ze Smlouvy takto: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6" w:val="left"/>
        </w:tabs>
        <w:bidi w:val="0"/>
        <w:spacing w:before="0" w:after="200" w:line="240" w:lineRule="auto"/>
        <w:ind w:left="72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tvrdí a činí nesporným, že práce uvedené v příloze č. 1 byly provedeny na základě Smlouvy, a proto se smluvní strany dohodly, že se předmět Smlouvy mění v rozsahu přílohy této dohody, a to Oceněného soupisu prací změn závazku ze dne 13.02.2025, který tvoří přílohu č. 1 této dohody a který se tímto stává nedílnou součástí Smlouvy. Smluvní strany činí nesporným, že tyto práce nebyly obsaženy v původních zadávacích podmínkách, z kterých vycházela tato Smlouva.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6" w:val="left"/>
        </w:tabs>
        <w:bidi w:val="0"/>
        <w:spacing w:before="0" w:after="200" w:line="240" w:lineRule="auto"/>
        <w:ind w:left="72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navýšení celkové ceny díla tak, aby cena zohledňovala i veškeré vícepráce i méně práce uvedené v příloze č. 1 této dohody. Smluvní cena sjednaná v čl. III odst. 1 Smlouvy (ve znění dodatků č. 1 až 3) se mění takto: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ceny: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9" w:val="left"/>
        </w:tabs>
        <w:bidi w:val="0"/>
        <w:spacing w:before="0" w:after="0" w:line="240" w:lineRule="auto"/>
        <w:ind w:left="0" w:right="0" w:firstLine="72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502 698,07 Kč bez DPH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padesát milionů pět set dva tisíc šest set devadesát osm korun českých sedm haléřů).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ceny:</w:t>
      </w:r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149" w:val="left"/>
        </w:tabs>
        <w:bidi w:val="0"/>
        <w:spacing w:before="0" w:after="0" w:line="240" w:lineRule="auto"/>
        <w:ind w:left="0" w:right="0" w:firstLine="720"/>
        <w:jc w:val="both"/>
      </w:pPr>
      <w:bookmarkStart w:id="97" w:name="bookmark97"/>
      <w:bookmarkEnd w:id="9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172 824,39 Kč bez DPH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padesát jedna milionů jedno sto sedmdesát dva tisíc osm set dvacet čtyři korun českých třicet devět haléřů).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200" w:line="240" w:lineRule="auto"/>
        <w:ind w:left="740" w:right="0" w:hanging="36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shodně tvrdí a činí nesporným, že část ceny díla představující cenové navýšení popsané v čl. II. odst. 2 písm. b) této dohody činí částku ve výši 670 126,32 Kč. Tato část ceny díla prováděného dle Smlouvy nebyla do dne uzavření této dohody zhotoviteli zaplacena.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200" w:line="240" w:lineRule="auto"/>
        <w:ind w:left="740" w:right="0" w:hanging="36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úhradě části ceny díla uvedené v čl. II odst. 3 této dohody následovně:</w:t>
      </w:r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left"/>
      </w:pPr>
      <w:bookmarkStart w:id="100" w:name="bookmark100"/>
      <w:bookmarkStart w:id="101" w:name="bookmark101"/>
      <w:bookmarkStart w:id="102" w:name="bookmark102"/>
      <w:bookmarkStart w:id="103" w:name="bookmark103"/>
      <w:bookmarkEnd w:id="10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bude zhotoviteli uhrazena na základě zúčtovací faktury.</w:t>
      </w:r>
      <w:bookmarkEnd w:id="100"/>
      <w:bookmarkEnd w:id="101"/>
      <w:bookmarkEnd w:id="10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Předat fakturu lze i elektronicky na adresu: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Přílohou faktury bude soupis provedených prací, potvrzený oprávněným zástupcem objednatele a oprávněným zástupcem zhotovitele.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Zúčtovací faktura bude vystavena do 7 kalendářních dní od uskutečnění zdanitelného plnění, dnem uskutečnění zdanitelného plnění bude den předání a převzetí díla dle soupisu prací této dohody o narovnání dodatku č.4. Zúčtovací faktura musí obsahovat vyúčtování ceny díla. Přílohou zúčtovací faktury bude potvrzený soupis prací oprávněným zástupcem objednatele a oprávněným zástupcem zhotovitele.</w:t>
      </w:r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104" w:name="bookmark104"/>
      <w:bookmarkStart w:id="105" w:name="bookmark105"/>
      <w:bookmarkStart w:id="106" w:name="bookmark106"/>
      <w:bookmarkStart w:id="107" w:name="bookmark107"/>
      <w:bookmarkEnd w:id="10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Platebním dokladem je faktura. Faktura musí obsahovat všechny náležitosti daňového – účetního dokladu podle účinných právních předpisů, musí obsahovat přesný název akce, číslo smlouvy objednatele, jméno, příjmení, funkce a podpis osoby, která fakturu vystavila. Přílohou faktury bude soupis provedených prací podepsaný oprávněnými osobami objednatele a oprávněnými osobami zhotovitele.</w:t>
      </w:r>
      <w:bookmarkEnd w:id="104"/>
      <w:bookmarkEnd w:id="105"/>
      <w:bookmarkEnd w:id="107"/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left"/>
      </w:pPr>
      <w:bookmarkStart w:id="108" w:name="bookmark108"/>
      <w:bookmarkStart w:id="109" w:name="bookmark109"/>
      <w:bookmarkStart w:id="110" w:name="bookmark110"/>
      <w:bookmarkStart w:id="111" w:name="bookmark111"/>
      <w:bookmarkEnd w:id="1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faktury je do 30 kalendářních dnů ode dne jejího doručení objednateli.</w:t>
      </w:r>
      <w:bookmarkEnd w:id="108"/>
      <w:bookmarkEnd w:id="109"/>
      <w:bookmarkEnd w:id="111"/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112" w:name="bookmark112"/>
      <w:bookmarkStart w:id="113" w:name="bookmark113"/>
      <w:bookmarkStart w:id="114" w:name="bookmark114"/>
      <w:bookmarkStart w:id="115" w:name="bookmark115"/>
      <w:bookmarkEnd w:id="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bude uhrazena na účet zhotovitele, který je správcem daně zveřejněn v Registru plátců DPH. Pokud k datu uskutečnění zdanitelného plnění uvedeného na daňovém dokladu bude zhotovitel v Registru plátců DPH uveden jako nespolehlivý plátce, bude objednatel postupovat v souladu se zákonem č. 235/2004 Sb., o dani z přidané hodnoty, ve znění pozdějších předpisů.</w:t>
      </w:r>
      <w:bookmarkEnd w:id="112"/>
      <w:bookmarkEnd w:id="113"/>
      <w:bookmarkEnd w:id="115"/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116" w:name="bookmark116"/>
      <w:bookmarkStart w:id="117" w:name="bookmark117"/>
      <w:bookmarkStart w:id="118" w:name="bookmark118"/>
      <w:bookmarkStart w:id="119" w:name="bookmark119"/>
      <w:bookmarkEnd w:id="1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kdykoli jednostranně započíst jakékoliv své pohledávky proti jakýmkoli pohledávkám zhotovitele za objednatelem, a to i v případě, kdy některá z pohledávek není dosud splatná. Smluvní strany se dohodly, že zhotovitel není oprávněn jednostranně započíst žádné své pohledávky proti pohledávkám objednatele.</w:t>
      </w:r>
      <w:bookmarkEnd w:id="116"/>
      <w:bookmarkEnd w:id="117"/>
      <w:bookmarkEnd w:id="119"/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120" w:name="bookmark120"/>
      <w:bookmarkStart w:id="121" w:name="bookmark121"/>
      <w:bookmarkStart w:id="122" w:name="bookmark122"/>
      <w:bookmarkStart w:id="123" w:name="bookmark123"/>
      <w:bookmarkEnd w:id="1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odmítnout úhradu faktury v případě, že dílo není prováděno v souladu s touto smlouvou nebo faktura neodpovídá schválenému soupisu skutečně provedených prací či protokolu o předání a převzetí díla, nebo faktura neobsahuje předepsané náležitosti. Zhotovitel je povinen v případě oprávněné reklamace fakturu nově vyhotovit. Oprávněným vrácením faktury přestává běžet původní lhůta splatnosti. Lhůta splatnosti běží znovu ode dne doručení nově vyhotovené faktury na adresu objednatele.</w:t>
      </w:r>
      <w:bookmarkEnd w:id="120"/>
      <w:bookmarkEnd w:id="121"/>
      <w:bookmarkEnd w:id="123"/>
    </w:p>
    <w:p>
      <w:pPr>
        <w:pStyle w:val="Style8"/>
        <w:keepNext/>
        <w:keepLines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bookmarkStart w:id="124" w:name="bookmark124"/>
      <w:bookmarkStart w:id="125" w:name="bookmark125"/>
      <w:bookmarkStart w:id="126" w:name="bookmark126"/>
      <w:bookmarkStart w:id="127" w:name="bookmark127"/>
      <w:bookmarkEnd w:id="1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zhotovitel prací nedodrží správný postup fakturace, zejména ustanovení zákona č. 235/2004 Sb. o DPH v platném znění, v důsledku čehož dojde u objednatele k chybnému vypořádání DPH, zavazuje se zhotovitel zaplatit objednateli smluvní pokutu ve výši 1,5násobku částky, která bude správcem daně vyměřena objednateli jako sankce.</w:t>
      </w:r>
      <w:bookmarkEnd w:id="124"/>
      <w:bookmarkEnd w:id="125"/>
      <w:bookmarkEnd w:id="127"/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9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6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jejího podpisu poslední ze smluvních stran a účinnosti zveřejněním v Registru smluv.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6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a vztahy z ní vyplývající se řídí českým právním řádem. Práva a povinnosti výslovně neupravené touto smlouvou se řídí zejména ustanoveními občanského zákoníku.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2" w:val="left"/>
        </w:tabs>
        <w:bidi w:val="0"/>
        <w:spacing w:before="0" w:line="240" w:lineRule="auto"/>
        <w:ind w:left="740" w:right="0" w:hanging="36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může být měněna pouze ve formě písemných dodatků podepsaných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2" w:val="left"/>
        </w:tabs>
        <w:bidi w:val="0"/>
        <w:spacing w:before="0" w:after="800" w:line="240" w:lineRule="auto"/>
        <w:ind w:left="740" w:right="0" w:hanging="36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tuto dohodu řádně přečetly, jejímu obsahu porozuměly a že je projevem jejich pravé, svobodné a vážné vůle prosté omylu a dále že tato dohoda nebyla ujednána v tísni, ani za jinak nápadně nevýhodných podmínek a veškerá prohlášení v dohodě odpovídají skutečnosti, což níže stvrzují svými podpisy.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bookmarkStart w:id="132" w:name="bookmark132"/>
      <w:bookmarkStart w:id="133" w:name="bookmark133"/>
      <w:bookmarkStart w:id="134" w:name="bookmark1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  <w:bookmarkEnd w:id="132"/>
      <w:bookmarkEnd w:id="133"/>
      <w:bookmarkEnd w:id="134"/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after="60" w:line="240" w:lineRule="auto"/>
        <w:ind w:left="0" w:right="0" w:firstLine="380"/>
        <w:jc w:val="left"/>
      </w:pPr>
      <w:bookmarkStart w:id="135" w:name="bookmark135"/>
      <w:bookmarkStart w:id="136" w:name="bookmark136"/>
      <w:bookmarkStart w:id="137" w:name="bookmark137"/>
      <w:bookmarkStart w:id="138" w:name="bookmark138"/>
      <w:bookmarkEnd w:id="1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Oceněný soupis prací změn závazku ze dne 13.02.2025</w:t>
      </w:r>
      <w:bookmarkEnd w:id="135"/>
      <w:bookmarkEnd w:id="136"/>
      <w:bookmarkEnd w:id="138"/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after="60" w:line="240" w:lineRule="auto"/>
        <w:ind w:left="0" w:right="0" w:firstLine="380"/>
        <w:jc w:val="left"/>
      </w:pPr>
      <w:bookmarkStart w:id="139" w:name="bookmark139"/>
      <w:bookmarkStart w:id="140" w:name="bookmark140"/>
      <w:bookmarkStart w:id="141" w:name="bookmark141"/>
      <w:bookmarkStart w:id="142" w:name="bookmark142"/>
      <w:bookmarkEnd w:id="1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Předávací protokol ze dne 30.8.2024</w:t>
      </w:r>
      <w:bookmarkEnd w:id="139"/>
      <w:bookmarkEnd w:id="140"/>
      <w:bookmarkEnd w:id="142"/>
    </w:p>
    <w:p>
      <w:pPr>
        <w:pStyle w:val="Style8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762" w:val="left"/>
        </w:tabs>
        <w:bidi w:val="0"/>
        <w:spacing w:before="0" w:after="0" w:line="240" w:lineRule="auto"/>
        <w:ind w:left="0" w:right="0" w:firstLine="38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13" w:left="1353" w:right="1247" w:bottom="1673" w:header="685" w:footer="3" w:gutter="0"/>
          <w:pgNumType w:start="1"/>
          <w:cols w:space="720"/>
          <w:noEndnote/>
          <w:rtlGutter w:val="0"/>
          <w:docGrid w:linePitch="360"/>
        </w:sectPr>
      </w:pPr>
      <w:bookmarkStart w:id="143" w:name="bookmark143"/>
      <w:bookmarkStart w:id="144" w:name="bookmark144"/>
      <w:bookmarkStart w:id="145" w:name="bookmark145"/>
      <w:bookmarkStart w:id="146" w:name="bookmark146"/>
      <w:bookmarkEnd w:id="1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Protokol o odstranění vad ze dne 30.9.2024</w:t>
      </w:r>
      <w:bookmarkEnd w:id="143"/>
      <w:bookmarkEnd w:id="144"/>
      <w:bookmarkEnd w:id="146"/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21" w:left="0" w:right="0" w:bottom="54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objednatele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415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21" w:left="1394" w:right="2422" w:bottom="5459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21" w:left="0" w:right="0" w:bottom="12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4004945</wp:posOffset>
                </wp:positionH>
                <wp:positionV relativeFrom="paragraph">
                  <wp:posOffset>12700</wp:posOffset>
                </wp:positionV>
                <wp:extent cx="1021080" cy="3873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RRR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5.35000000000002pt;margin-top:1.pt;width:80.400000000000006pt;height:30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RRR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47" w:name="bookmark147"/>
      <w:bookmarkStart w:id="148" w:name="bookmark148"/>
      <w:bookmarkStart w:id="149" w:name="bookmark1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  <w:bookmarkEnd w:id="147"/>
      <w:bookmarkEnd w:id="148"/>
      <w:bookmarkEnd w:id="14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0" w:name="bookmark150"/>
      <w:bookmarkStart w:id="151" w:name="bookmark1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150"/>
      <w:bookmarkEnd w:id="151"/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21" w:left="1394" w:right="5561" w:bottom="125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5873115</wp:posOffset>
              </wp:positionH>
              <wp:positionV relativeFrom="page">
                <wp:posOffset>10015220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2.44999999999999pt;margin-top:788.60000000000002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50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before="320" w:after="3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Beržinský Miroslav</dc:creator>
  <cp:keywords/>
</cp:coreProperties>
</file>