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06DB3EE3" w:rsidR="006135FA" w:rsidRPr="000468DA" w:rsidRDefault="006135FA" w:rsidP="00330437">
      <w:pPr>
        <w:pStyle w:val="Styl2popisknzvusmlouvy"/>
        <w:spacing w:after="480"/>
        <w:rPr>
          <w:b/>
          <w:bCs/>
        </w:rPr>
      </w:pPr>
      <w:r w:rsidRPr="000468DA">
        <w:rPr>
          <w:b/>
          <w:bCs/>
        </w:rPr>
        <w:t xml:space="preserve">č.j. </w:t>
      </w:r>
      <w:r w:rsidR="00F638BF" w:rsidRPr="000468DA">
        <w:rPr>
          <w:b/>
          <w:bCs/>
        </w:rPr>
        <w:t>SLU</w:t>
      </w:r>
      <w:r w:rsidR="00231D5F" w:rsidRPr="000468DA">
        <w:rPr>
          <w:b/>
          <w:bCs/>
        </w:rPr>
        <w:t>/1055/2025</w:t>
      </w:r>
    </w:p>
    <w:p w14:paraId="4509ADF9" w14:textId="77777777" w:rsidR="007267A7" w:rsidRDefault="007267A7" w:rsidP="007267A7">
      <w:pPr>
        <w:pStyle w:val="Styl3-Smluvnstranytun"/>
      </w:pPr>
      <w:r>
        <w:t>Slovanský ústav Akademie věd ČR, v. v. i.</w:t>
      </w:r>
    </w:p>
    <w:p w14:paraId="4689C467" w14:textId="238F21A0" w:rsidR="00ED33DA" w:rsidRPr="00AC1376" w:rsidRDefault="00ED33DA" w:rsidP="007267A7">
      <w:pPr>
        <w:pStyle w:val="Styl3-Smluvnstranytun"/>
        <w:rPr>
          <w:b w:val="0"/>
          <w:highlight w:val="yellow"/>
        </w:rPr>
      </w:pPr>
      <w:r w:rsidRPr="00AC1376">
        <w:rPr>
          <w:b w:val="0"/>
        </w:rPr>
        <w:t xml:space="preserve">IČO: </w:t>
      </w:r>
      <w:r w:rsidR="0033012D" w:rsidRPr="0033012D">
        <w:rPr>
          <w:b w:val="0"/>
        </w:rPr>
        <w:t>68378017</w:t>
      </w:r>
    </w:p>
    <w:p w14:paraId="2E408BF2" w14:textId="2EAB34C1" w:rsidR="00ED33DA" w:rsidRDefault="00ED33DA" w:rsidP="00ED33DA">
      <w:pPr>
        <w:pStyle w:val="Styl3-Smluvnstranytun"/>
        <w:rPr>
          <w:b w:val="0"/>
          <w:highlight w:val="yellow"/>
        </w:rPr>
      </w:pPr>
      <w:r w:rsidRPr="00AC1376">
        <w:rPr>
          <w:b w:val="0"/>
        </w:rPr>
        <w:t xml:space="preserve">DIČ: </w:t>
      </w:r>
      <w:r w:rsidR="0033012D" w:rsidRPr="0033012D">
        <w:rPr>
          <w:b w:val="0"/>
        </w:rPr>
        <w:t>CZ68378017</w:t>
      </w:r>
    </w:p>
    <w:p w14:paraId="7D45854C" w14:textId="3772983F" w:rsidR="00E85DFB" w:rsidRDefault="0033012D" w:rsidP="00E85DFB">
      <w:pPr>
        <w:pStyle w:val="Styl3-Smluvnstrany"/>
      </w:pPr>
      <w:r w:rsidRPr="0033012D">
        <w:t>Z</w:t>
      </w:r>
      <w:r w:rsidR="00E85DFB" w:rsidRPr="0033012D">
        <w:t>astoupený</w:t>
      </w:r>
      <w:r>
        <w:t xml:space="preserve">: </w:t>
      </w:r>
      <w:r w:rsidR="007267A7" w:rsidRPr="007267A7">
        <w:t>Mgr. Václav Čermák, Ph.D.</w:t>
      </w:r>
      <w:r w:rsidR="007267A7">
        <w:t>, ředitel</w:t>
      </w:r>
    </w:p>
    <w:p w14:paraId="6F17B243" w14:textId="20847F55" w:rsidR="00E85DFB" w:rsidRDefault="00ED33DA" w:rsidP="00E85DFB">
      <w:pPr>
        <w:pStyle w:val="Styl3-Smluvnstrany"/>
      </w:pPr>
      <w:r w:rsidRPr="00AC1376">
        <w:t xml:space="preserve">bankovní spojení: </w:t>
      </w:r>
      <w:r w:rsidR="000A6E83" w:rsidRPr="008728C2">
        <w:t>Raiffeisenbank a.s.</w:t>
      </w:r>
      <w:r w:rsidR="000A6E83">
        <w:t xml:space="preserve">, </w:t>
      </w:r>
      <w:r w:rsidR="007267A7" w:rsidRPr="007267A7">
        <w:t>7662270001</w:t>
      </w:r>
      <w:r w:rsidR="007267A7">
        <w:t>/5500</w:t>
      </w:r>
    </w:p>
    <w:p w14:paraId="7B1EA5B4" w14:textId="6F0189F9" w:rsidR="00ED33DA" w:rsidRPr="00E85DFB" w:rsidRDefault="00ED33DA" w:rsidP="00E85DFB">
      <w:pPr>
        <w:pStyle w:val="Styl3-Smluvnstrany"/>
      </w:pPr>
      <w:r w:rsidRPr="00CE784B">
        <w:t xml:space="preserve">ID datové schránky: </w:t>
      </w:r>
      <w:r w:rsidR="007267A7" w:rsidRPr="007267A7">
        <w:t>jeknq7e</w:t>
      </w:r>
    </w:p>
    <w:p w14:paraId="61C7E3D9" w14:textId="77777777" w:rsidR="00ED33DA" w:rsidRDefault="00ED33DA" w:rsidP="00ED33DA">
      <w:pPr>
        <w:pStyle w:val="Styl3-Smluvnstrany"/>
      </w:pPr>
      <w:r w:rsidRPr="00CE784B">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6D7C2FBF"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v</w:t>
      </w:r>
      <w:r w:rsidR="005D3EFC">
        <w:rPr>
          <w:lang w:eastAsia="en-US"/>
        </w:rPr>
        <w:t> </w:t>
      </w:r>
      <w:r w:rsidR="007C5ED4">
        <w:rPr>
          <w:lang w:eastAsia="en-US"/>
        </w:rPr>
        <w:t>množství</w:t>
      </w:r>
      <w:r w:rsidR="005D3EFC">
        <w:rPr>
          <w:lang w:eastAsia="en-US"/>
        </w:rPr>
        <w:t xml:space="preserve"> </w:t>
      </w:r>
      <w:r w:rsidR="004E5DFD">
        <w:rPr>
          <w:lang w:eastAsia="en-US"/>
        </w:rPr>
        <w:t>14</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73F95B6C" w14:textId="5EEE6D50" w:rsidR="00C93AF3" w:rsidRDefault="00DD0D04" w:rsidP="00C93AF3">
      <w:pPr>
        <w:pStyle w:val="Nadpis3"/>
        <w:rPr>
          <w:lang w:eastAsia="en-US"/>
        </w:rPr>
      </w:pPr>
      <w:r>
        <w:rPr>
          <w:b/>
          <w:lang w:eastAsia="en-US"/>
        </w:rPr>
        <w:t>M</w:t>
      </w:r>
      <w:r w:rsidR="0006399F">
        <w:rPr>
          <w:b/>
          <w:lang w:eastAsia="en-US"/>
        </w:rPr>
        <w:t>onitor</w:t>
      </w:r>
      <w:r w:rsidR="007C5ED4" w:rsidRPr="007C5ED4">
        <w:rPr>
          <w:b/>
          <w:lang w:eastAsia="en-US"/>
        </w:rPr>
        <w:t xml:space="preserve"> </w:t>
      </w:r>
      <w:r w:rsidR="00C93AF3" w:rsidRPr="003D7298">
        <w:rPr>
          <w:b/>
          <w:lang w:eastAsia="en-US"/>
        </w:rPr>
        <w:t>I</w:t>
      </w:r>
      <w:r w:rsidR="0006399F">
        <w:rPr>
          <w:b/>
          <w:lang w:eastAsia="en-US"/>
        </w:rPr>
        <w:t>I</w:t>
      </w:r>
      <w:r w:rsidR="007C5ED4" w:rsidRPr="00C93AF3">
        <w:rPr>
          <w:lang w:eastAsia="en-US"/>
        </w:rPr>
        <w:t xml:space="preserve"> </w:t>
      </w:r>
      <w:r w:rsidR="001D67D0" w:rsidRPr="001D67D0">
        <w:rPr>
          <w:lang w:eastAsia="en-US"/>
        </w:rPr>
        <w:t xml:space="preserve">Lenovo </w:t>
      </w:r>
      <w:proofErr w:type="spellStart"/>
      <w:r w:rsidR="001D67D0" w:rsidRPr="001D67D0">
        <w:rPr>
          <w:lang w:eastAsia="en-US"/>
        </w:rPr>
        <w:t>ThinkVision</w:t>
      </w:r>
      <w:proofErr w:type="spellEnd"/>
      <w:r w:rsidR="001D67D0" w:rsidRPr="001D67D0">
        <w:rPr>
          <w:lang w:eastAsia="en-US"/>
        </w:rPr>
        <w:t xml:space="preserve"> E27Q-40 Monitor</w:t>
      </w:r>
      <w:r w:rsidR="001D67D0">
        <w:rPr>
          <w:lang w:eastAsia="en-US"/>
        </w:rPr>
        <w:t xml:space="preserve"> </w:t>
      </w:r>
      <w:r w:rsidR="007C5ED4" w:rsidRPr="007C5ED4">
        <w:rPr>
          <w:lang w:eastAsia="en-US"/>
        </w:rPr>
        <w:t xml:space="preserve">v množství </w:t>
      </w:r>
      <w:r w:rsidR="005D3EFC">
        <w:rPr>
          <w:lang w:eastAsia="en-US"/>
        </w:rPr>
        <w:t xml:space="preserve">14 </w:t>
      </w:r>
      <w:r w:rsidR="007C5ED4" w:rsidRPr="007C5ED4">
        <w:rPr>
          <w:lang w:eastAsia="en-US"/>
        </w:rPr>
        <w:t>ks podle technické specifikace uvedené v Příloze č. 1 této Smlouvy</w:t>
      </w:r>
      <w:r w:rsidR="00C93AF3">
        <w:rPr>
          <w:lang w:eastAsia="en-US"/>
        </w:rPr>
        <w:t>,</w:t>
      </w:r>
    </w:p>
    <w:p w14:paraId="52CF0148" w14:textId="5A4BF2A3" w:rsidR="00C93AF3" w:rsidRPr="00C93AF3" w:rsidRDefault="00DD0D04" w:rsidP="002A6F32">
      <w:pPr>
        <w:pStyle w:val="Nadpis3"/>
        <w:rPr>
          <w:lang w:eastAsia="en-US"/>
        </w:rPr>
      </w:pPr>
      <w:r>
        <w:rPr>
          <w:b/>
          <w:lang w:eastAsia="en-US"/>
        </w:rPr>
        <w:lastRenderedPageBreak/>
        <w:t>P</w:t>
      </w:r>
      <w:r w:rsidR="005D0E98">
        <w:rPr>
          <w:b/>
          <w:lang w:eastAsia="en-US"/>
        </w:rPr>
        <w:t xml:space="preserve">říslušenství II </w:t>
      </w:r>
      <w:r w:rsidR="005D0E98" w:rsidRPr="005D0E98">
        <w:rPr>
          <w:lang w:eastAsia="en-US"/>
        </w:rPr>
        <w:t xml:space="preserve">v množství </w:t>
      </w:r>
      <w:r w:rsidR="009256C5">
        <w:rPr>
          <w:lang w:eastAsia="en-US"/>
        </w:rPr>
        <w:t xml:space="preserve">14 </w:t>
      </w:r>
      <w:r w:rsidR="005D0E98" w:rsidRPr="005D0E98">
        <w:rPr>
          <w:lang w:eastAsia="en-US"/>
        </w:rPr>
        <w:t>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67449BC" w:rsidR="006135FA" w:rsidRPr="00D12D9B" w:rsidRDefault="006135FA" w:rsidP="00F55DE2">
      <w:pPr>
        <w:pStyle w:val="Nadpis2"/>
        <w:tabs>
          <w:tab w:val="num" w:pos="576"/>
        </w:tabs>
        <w:ind w:left="786"/>
        <w:rPr>
          <w:color w:val="CC0099"/>
          <w:szCs w:val="24"/>
          <w:lang w:eastAsia="en-US"/>
        </w:rPr>
      </w:pPr>
      <w:r w:rsidRPr="007E1039">
        <w:t>Smluvní strany si ujednaly, že celková kupní cena za Předmět koupě (dále jen „Kupní cena“) činí částku</w:t>
      </w:r>
      <w:r w:rsidR="00805003">
        <w:t xml:space="preserve"> 191 156</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55729B">
        <w:trPr>
          <w:trHeight w:val="511"/>
          <w:jc w:val="center"/>
        </w:trPr>
        <w:tc>
          <w:tcPr>
            <w:tcW w:w="2035" w:type="pct"/>
            <w:vAlign w:val="center"/>
          </w:tcPr>
          <w:p w14:paraId="7EFF1EC3" w14:textId="77777777" w:rsidR="00DA6575" w:rsidRPr="00040CA1" w:rsidRDefault="00DA6575" w:rsidP="00DA6575">
            <w:pPr>
              <w:jc w:val="center"/>
              <w:rPr>
                <w:bCs/>
              </w:rPr>
            </w:pPr>
            <w:r>
              <w:rPr>
                <w:b/>
                <w:bCs/>
              </w:rPr>
              <w:t>Počítač I</w:t>
            </w:r>
          </w:p>
        </w:tc>
        <w:tc>
          <w:tcPr>
            <w:tcW w:w="1265" w:type="pct"/>
            <w:vAlign w:val="center"/>
          </w:tcPr>
          <w:p w14:paraId="1C4C1D8C" w14:textId="262B5A96" w:rsidR="00DA6575" w:rsidRPr="00BE7107" w:rsidRDefault="00600506" w:rsidP="00DA6575">
            <w:pPr>
              <w:jc w:val="center"/>
              <w:rPr>
                <w:sz w:val="16"/>
                <w:szCs w:val="16"/>
              </w:rPr>
            </w:pPr>
            <w:r>
              <w:rPr>
                <w:rFonts w:cs="Calibri"/>
              </w:rPr>
              <w:t>10 684</w:t>
            </w:r>
            <w:r w:rsidR="00DA6575" w:rsidRPr="00292A75">
              <w:rPr>
                <w:rFonts w:cs="Calibri"/>
              </w:rPr>
              <w:t>,00</w:t>
            </w:r>
          </w:p>
        </w:tc>
        <w:tc>
          <w:tcPr>
            <w:tcW w:w="914" w:type="pct"/>
            <w:vAlign w:val="center"/>
          </w:tcPr>
          <w:p w14:paraId="2F163D55" w14:textId="32BED2AE" w:rsidR="00DA6575" w:rsidRPr="00040CA1" w:rsidRDefault="008C233F" w:rsidP="00DA6575">
            <w:pPr>
              <w:jc w:val="center"/>
            </w:pPr>
            <w:r>
              <w:t>14</w:t>
            </w:r>
            <w:r w:rsidR="00DA6575">
              <w:t xml:space="preserve"> ks</w:t>
            </w:r>
          </w:p>
        </w:tc>
        <w:tc>
          <w:tcPr>
            <w:tcW w:w="786" w:type="pct"/>
            <w:vAlign w:val="center"/>
          </w:tcPr>
          <w:p w14:paraId="033BA592" w14:textId="1B5ADFB4" w:rsidR="00DA6575" w:rsidRPr="00040CA1" w:rsidRDefault="00D25917" w:rsidP="00DA6575">
            <w:pPr>
              <w:jc w:val="center"/>
            </w:pPr>
            <w:r>
              <w:t>149</w:t>
            </w:r>
            <w:r w:rsidR="009023C1">
              <w:t xml:space="preserve"> 576</w:t>
            </w:r>
          </w:p>
        </w:tc>
      </w:tr>
      <w:tr w:rsidR="00DA6575" w:rsidRPr="007D4A7D" w14:paraId="6DF875B7" w14:textId="77777777" w:rsidTr="0055729B">
        <w:trPr>
          <w:trHeight w:val="511"/>
          <w:jc w:val="center"/>
        </w:trPr>
        <w:tc>
          <w:tcPr>
            <w:tcW w:w="2035" w:type="pct"/>
            <w:vAlign w:val="center"/>
          </w:tcPr>
          <w:p w14:paraId="0084379F" w14:textId="77777777" w:rsidR="00DA6575" w:rsidRDefault="00DA6575" w:rsidP="00DA6575">
            <w:pPr>
              <w:jc w:val="center"/>
              <w:rPr>
                <w:b/>
                <w:bCs/>
              </w:rPr>
            </w:pPr>
            <w:r>
              <w:rPr>
                <w:b/>
                <w:bCs/>
              </w:rPr>
              <w:t>Monitor II</w:t>
            </w:r>
          </w:p>
        </w:tc>
        <w:tc>
          <w:tcPr>
            <w:tcW w:w="1265" w:type="pct"/>
            <w:vAlign w:val="center"/>
          </w:tcPr>
          <w:p w14:paraId="6B568C20" w14:textId="68EFD55C" w:rsidR="00DA6575" w:rsidRPr="00BE7107" w:rsidRDefault="00DA6575" w:rsidP="00DA6575">
            <w:pPr>
              <w:jc w:val="center"/>
              <w:rPr>
                <w:i/>
                <w:sz w:val="16"/>
                <w:szCs w:val="16"/>
                <w:highlight w:val="yellow"/>
                <w:lang w:eastAsia="en-US"/>
              </w:rPr>
            </w:pPr>
            <w:r w:rsidRPr="00292A75">
              <w:rPr>
                <w:rFonts w:cs="Calibri"/>
              </w:rPr>
              <w:t>2 766,00</w:t>
            </w:r>
          </w:p>
        </w:tc>
        <w:tc>
          <w:tcPr>
            <w:tcW w:w="914" w:type="pct"/>
            <w:vAlign w:val="center"/>
          </w:tcPr>
          <w:p w14:paraId="724A9EC2" w14:textId="66FA3EEB" w:rsidR="00DA6575" w:rsidRDefault="008C233F" w:rsidP="00DA6575">
            <w:pPr>
              <w:jc w:val="center"/>
            </w:pPr>
            <w:r>
              <w:t xml:space="preserve">14 </w:t>
            </w:r>
            <w:r w:rsidR="00DA6575">
              <w:t>ks</w:t>
            </w:r>
          </w:p>
        </w:tc>
        <w:tc>
          <w:tcPr>
            <w:tcW w:w="786" w:type="pct"/>
            <w:vAlign w:val="center"/>
          </w:tcPr>
          <w:p w14:paraId="33B97CE0" w14:textId="4E530A5B" w:rsidR="00DA6575" w:rsidRPr="009023C1" w:rsidRDefault="009023C1" w:rsidP="00DA6575">
            <w:pPr>
              <w:jc w:val="center"/>
            </w:pPr>
            <w:r w:rsidRPr="009023C1">
              <w:t>38 724</w:t>
            </w:r>
          </w:p>
        </w:tc>
      </w:tr>
      <w:tr w:rsidR="00DA6575" w:rsidRPr="007D4A7D" w14:paraId="57DD25F0" w14:textId="77777777" w:rsidTr="0055729B">
        <w:trPr>
          <w:trHeight w:val="511"/>
          <w:jc w:val="center"/>
        </w:trPr>
        <w:tc>
          <w:tcPr>
            <w:tcW w:w="2035" w:type="pct"/>
            <w:vAlign w:val="center"/>
          </w:tcPr>
          <w:p w14:paraId="00755879" w14:textId="77777777" w:rsidR="00DA6575" w:rsidRDefault="00DA6575" w:rsidP="00DA6575">
            <w:pPr>
              <w:jc w:val="center"/>
              <w:rPr>
                <w:b/>
                <w:bCs/>
              </w:rPr>
            </w:pPr>
            <w:r>
              <w:rPr>
                <w:b/>
                <w:bCs/>
              </w:rPr>
              <w:t>Příslušenství II</w:t>
            </w:r>
          </w:p>
        </w:tc>
        <w:tc>
          <w:tcPr>
            <w:tcW w:w="1265"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914" w:type="pct"/>
            <w:vAlign w:val="center"/>
          </w:tcPr>
          <w:p w14:paraId="2E50F547" w14:textId="652922CA" w:rsidR="00DA6575" w:rsidRDefault="008C233F" w:rsidP="00DA6575">
            <w:pPr>
              <w:jc w:val="center"/>
            </w:pPr>
            <w:r>
              <w:t>14</w:t>
            </w:r>
            <w:r w:rsidR="00DA6575">
              <w:t xml:space="preserve"> ks</w:t>
            </w:r>
          </w:p>
        </w:tc>
        <w:tc>
          <w:tcPr>
            <w:tcW w:w="786" w:type="pct"/>
            <w:vAlign w:val="center"/>
          </w:tcPr>
          <w:p w14:paraId="72DE5E86" w14:textId="397EAE72" w:rsidR="00DA6575" w:rsidRPr="006F14B9" w:rsidRDefault="006F14B9" w:rsidP="00DA6575">
            <w:pPr>
              <w:jc w:val="center"/>
            </w:pPr>
            <w:r>
              <w:t>2 856</w:t>
            </w:r>
          </w:p>
        </w:tc>
      </w:tr>
      <w:tr w:rsidR="00DA6575" w:rsidRPr="007D4A7D" w14:paraId="61179649" w14:textId="77777777" w:rsidTr="00992F3A">
        <w:trPr>
          <w:trHeight w:val="652"/>
          <w:jc w:val="center"/>
        </w:trPr>
        <w:tc>
          <w:tcPr>
            <w:tcW w:w="2035" w:type="pct"/>
            <w:vAlign w:val="center"/>
          </w:tcPr>
          <w:p w14:paraId="5A0555F5" w14:textId="77777777" w:rsidR="00DA6575" w:rsidRDefault="00DA6575" w:rsidP="00DA6575">
            <w:pPr>
              <w:jc w:val="center"/>
              <w:rPr>
                <w:b/>
                <w:bCs/>
              </w:rPr>
            </w:pPr>
            <w:r>
              <w:rPr>
                <w:b/>
                <w:bCs/>
              </w:rPr>
              <w:t>Kupní cena</w:t>
            </w:r>
          </w:p>
        </w:tc>
        <w:tc>
          <w:tcPr>
            <w:tcW w:w="2965" w:type="pct"/>
            <w:gridSpan w:val="3"/>
            <w:vAlign w:val="center"/>
          </w:tcPr>
          <w:p w14:paraId="19BF75D1" w14:textId="02D09CF4" w:rsidR="00DA6575" w:rsidRPr="00805003" w:rsidRDefault="006F14B9" w:rsidP="00DA6575">
            <w:pPr>
              <w:jc w:val="center"/>
              <w:rPr>
                <w:b/>
                <w:bCs/>
              </w:rPr>
            </w:pPr>
            <w:r w:rsidRPr="00805003">
              <w:rPr>
                <w:b/>
                <w:bCs/>
              </w:rPr>
              <w:t>19</w:t>
            </w:r>
            <w:r w:rsidR="00805003" w:rsidRPr="00805003">
              <w:rPr>
                <w:b/>
                <w:bCs/>
              </w:rPr>
              <w:t>1</w:t>
            </w:r>
            <w:r w:rsidR="00805003">
              <w:rPr>
                <w:b/>
                <w:bCs/>
              </w:rPr>
              <w:t> </w:t>
            </w:r>
            <w:r w:rsidR="00805003" w:rsidRPr="00805003">
              <w:rPr>
                <w:b/>
                <w:bCs/>
              </w:rPr>
              <w:t>156</w:t>
            </w:r>
            <w:r w:rsidR="00805003">
              <w:rPr>
                <w:b/>
                <w:bCs/>
              </w:rPr>
              <w:t xml:space="preserve"> Kč</w:t>
            </w:r>
          </w:p>
        </w:tc>
      </w:tr>
    </w:tbl>
    <w:p w14:paraId="15A32FB8" w14:textId="77777777" w:rsidR="000955F2" w:rsidRPr="000955F2" w:rsidRDefault="000955F2" w:rsidP="00E86135">
      <w:pPr>
        <w:pStyle w:val="Nadpis2"/>
        <w:numPr>
          <w:ilvl w:val="0"/>
          <w:numId w:val="0"/>
        </w:numPr>
        <w:ind w:left="786"/>
        <w:rPr>
          <w:color w:val="000000" w:themeColor="text1"/>
        </w:rPr>
      </w:pPr>
    </w:p>
    <w:p w14:paraId="60ED53AC" w14:textId="3681338B"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lastRenderedPageBreak/>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0F8D8C77" w14:textId="77777777" w:rsidR="008B709E" w:rsidRPr="008B709E" w:rsidRDefault="008B709E" w:rsidP="008B709E"/>
    <w:p w14:paraId="28705658" w14:textId="77777777" w:rsidR="006135FA" w:rsidRDefault="006135FA" w:rsidP="00FD2054">
      <w:pPr>
        <w:pStyle w:val="Nadpis1"/>
        <w:ind w:left="3904"/>
        <w:jc w:val="left"/>
      </w:pPr>
      <w:r>
        <w:lastRenderedPageBreak/>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 xml:space="preserve">as obou </w:t>
      </w:r>
      <w:r w:rsidR="004319EF">
        <w:lastRenderedPageBreak/>
        <w:t>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6A9B9645" w14:textId="77777777" w:rsidR="00E86135" w:rsidRPr="00E86135" w:rsidRDefault="00E86135" w:rsidP="00E86135"/>
    <w:p w14:paraId="4DD87CD0" w14:textId="77777777" w:rsidR="006135FA" w:rsidRDefault="006135FA" w:rsidP="0056725D">
      <w:pPr>
        <w:pStyle w:val="Nadpis2"/>
        <w:tabs>
          <w:tab w:val="num" w:pos="576"/>
        </w:tabs>
        <w:ind w:left="786"/>
      </w:pPr>
      <w:r w:rsidRPr="00291B83">
        <w:lastRenderedPageBreak/>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lastRenderedPageBreak/>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lastRenderedPageBreak/>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7EC6CBEC" w14:textId="7FFE06CB" w:rsidR="003B77BE" w:rsidRPr="003B77BE" w:rsidRDefault="006135FA" w:rsidP="003B77BE">
      <w:pPr>
        <w:pStyle w:val="Nadpis3"/>
        <w:rPr>
          <w:b/>
          <w:i/>
        </w:rPr>
      </w:pPr>
      <w:r w:rsidRPr="005C0F87">
        <w:t>Kupující</w:t>
      </w:r>
      <w:r w:rsidRPr="002944B5">
        <w:t>:</w:t>
      </w:r>
      <w:r w:rsidR="006D15C2" w:rsidRPr="00BE7107">
        <w:rPr>
          <w:i/>
        </w:rPr>
        <w:t xml:space="preserve"> </w:t>
      </w:r>
      <w:r w:rsidR="003B77BE">
        <w:rPr>
          <w:i/>
        </w:rPr>
        <w:tab/>
      </w:r>
      <w:r w:rsidR="003B77BE" w:rsidRPr="003B77BE">
        <w:rPr>
          <w:bCs w:val="0"/>
          <w:iCs/>
        </w:rPr>
        <w:t>Slovanský ústav Akademie věd ČR, v. v. i.</w:t>
      </w:r>
    </w:p>
    <w:p w14:paraId="2F681B20" w14:textId="64E90501" w:rsidR="006135FA" w:rsidRPr="00215A80" w:rsidRDefault="006135FA" w:rsidP="005C0F87">
      <w:pPr>
        <w:pStyle w:val="Nadpis2bezslovn"/>
        <w:ind w:left="1080"/>
        <w:rPr>
          <w:highlight w:val="magenta"/>
        </w:rPr>
      </w:pPr>
      <w:r w:rsidRPr="00BE7107">
        <w:t xml:space="preserve">Jméno: </w:t>
      </w:r>
      <w:r w:rsidR="003B77BE">
        <w:tab/>
      </w:r>
      <w:r w:rsidR="003E50C3" w:rsidRPr="003E50C3">
        <w:t>Mgr. Václav Čermák, Ph.D.</w:t>
      </w:r>
    </w:p>
    <w:p w14:paraId="47E55598" w14:textId="37F7A652" w:rsidR="006135FA" w:rsidRPr="00BE7107" w:rsidRDefault="006135FA" w:rsidP="005C0F87">
      <w:pPr>
        <w:pStyle w:val="Nadpis2bezslovn"/>
        <w:ind w:left="1080"/>
      </w:pPr>
      <w:r w:rsidRPr="00BE7107">
        <w:t xml:space="preserve">Adresa: </w:t>
      </w:r>
      <w:r w:rsidR="003E50C3">
        <w:tab/>
        <w:t>Valentinská 91/1</w:t>
      </w:r>
      <w:r w:rsidR="00D443A2">
        <w:t>, Praha 1, 110 00</w:t>
      </w:r>
    </w:p>
    <w:p w14:paraId="4411802F" w14:textId="1EF8833E" w:rsidR="006135FA" w:rsidRPr="00BE7107" w:rsidRDefault="006135FA" w:rsidP="005C0F87">
      <w:pPr>
        <w:pStyle w:val="Nadpis2bezslovn"/>
        <w:ind w:left="1080"/>
      </w:pPr>
      <w:r w:rsidRPr="00BE7107">
        <w:t xml:space="preserve">E-mail: </w:t>
      </w:r>
      <w:r w:rsidR="00D443A2">
        <w:tab/>
        <w:t>fakturace@slu.cas.cz</w:t>
      </w:r>
    </w:p>
    <w:p w14:paraId="6E6F6E5A" w14:textId="731F1220" w:rsidR="006135FA" w:rsidRPr="005C0F87" w:rsidRDefault="006135FA" w:rsidP="005C0F87">
      <w:pPr>
        <w:pStyle w:val="Nadpis2bezslovn"/>
        <w:ind w:left="1080"/>
      </w:pPr>
      <w:r w:rsidRPr="00BE7107">
        <w:t xml:space="preserve">Datová schránka: </w:t>
      </w:r>
      <w:r w:rsidR="00D443A2" w:rsidRPr="00D443A2">
        <w:t>jeknq7e</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E-mail: jtoman@opencc.eu</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3FEE0489" w:rsidR="006135FA" w:rsidRPr="005C0F87" w:rsidRDefault="006135FA" w:rsidP="00BE7107">
      <w:pPr>
        <w:pStyle w:val="Nadpis3"/>
        <w:keepNext/>
        <w:keepLines/>
      </w:pPr>
      <w:r w:rsidRPr="005C0F87">
        <w:t xml:space="preserve">Kontaktní osobou Kupujícího </w:t>
      </w:r>
      <w:r w:rsidRPr="00606027">
        <w:t xml:space="preserve">je </w:t>
      </w:r>
      <w:proofErr w:type="spellStart"/>
      <w:r w:rsidR="003438E6">
        <w:t>xxxxxxxxxxxxxxxxxx</w:t>
      </w:r>
      <w:r w:rsidRPr="005C0F87">
        <w:t>a</w:t>
      </w:r>
      <w:proofErr w:type="spellEnd"/>
      <w:r w:rsidRPr="005C0F87">
        <w:t xml:space="preserve"> další zaměstnanci Kupujícího jím písemně pověření. </w:t>
      </w:r>
    </w:p>
    <w:p w14:paraId="559374DA" w14:textId="10F57735" w:rsidR="006135FA" w:rsidRDefault="006135FA" w:rsidP="008535B1">
      <w:pPr>
        <w:pStyle w:val="Nadpis3"/>
        <w:keepNext/>
        <w:keepLines/>
      </w:pPr>
      <w:r w:rsidRPr="005C0F87">
        <w:t xml:space="preserve">Kontaktní osobou Prodávajícího </w:t>
      </w:r>
      <w:proofErr w:type="spellStart"/>
      <w:r w:rsidRPr="005C0F87">
        <w:t>je</w:t>
      </w:r>
      <w:r w:rsidR="003438E6">
        <w:t>xxxxxxxxxxxxxxx</w:t>
      </w:r>
      <w:proofErr w:type="spellEnd"/>
      <w:r w:rsidRPr="00050663">
        <w:rPr>
          <w:iCs/>
        </w:rPr>
        <w:t>,</w:t>
      </w:r>
      <w:r w:rsidRPr="005C0F87">
        <w:t xml:space="preserve"> a další zaměstnanci či jiné osoby jím písemně pověření. </w:t>
      </w:r>
    </w:p>
    <w:p w14:paraId="57CEB1FB" w14:textId="77777777" w:rsidR="00C72174" w:rsidRDefault="00C72174" w:rsidP="00C72174"/>
    <w:p w14:paraId="129B7083" w14:textId="77777777" w:rsidR="00C72174" w:rsidRPr="00C72174" w:rsidRDefault="00C72174" w:rsidP="00C72174"/>
    <w:p w14:paraId="14F6B4A7" w14:textId="7034E1D4" w:rsidR="006135FA" w:rsidRPr="005C0F87" w:rsidRDefault="006135FA" w:rsidP="0056725D">
      <w:pPr>
        <w:pStyle w:val="Nadpis2"/>
        <w:tabs>
          <w:tab w:val="num" w:pos="576"/>
        </w:tabs>
        <w:ind w:left="786"/>
      </w:pPr>
      <w:r w:rsidRPr="005C0F87">
        <w:lastRenderedPageBreak/>
        <w:t>Ke změně Smlouvy</w:t>
      </w:r>
      <w:r w:rsidR="008B37AA">
        <w:t>, ukonč</w:t>
      </w:r>
      <w:r>
        <w:t xml:space="preserve">ení Smlouvy, nebo změně bankovních údajů je za Kupujícího </w:t>
      </w:r>
      <w:r w:rsidRPr="00E05187">
        <w:t xml:space="preserve">oprávněn </w:t>
      </w:r>
      <w:r w:rsidR="006A4B93" w:rsidRPr="003E50C3">
        <w:t>Mgr. Václav Čermák, Ph.D.</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0B686A32"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Default="008A593E" w:rsidP="00871F8F">
      <w:pPr>
        <w:ind w:firstLine="708"/>
      </w:pPr>
      <w:r>
        <w:t>Příloha č. 2</w:t>
      </w:r>
      <w:r w:rsidR="000D1736">
        <w:t xml:space="preserve">: </w:t>
      </w:r>
      <w:r>
        <w:t xml:space="preserve"> Seznam odběrných míst</w:t>
      </w:r>
    </w:p>
    <w:p w14:paraId="2F52786B" w14:textId="77777777" w:rsidR="00C72174" w:rsidRPr="00900D84" w:rsidRDefault="00C72174" w:rsidP="00871F8F">
      <w:pPr>
        <w:ind w:firstLine="708"/>
      </w:pPr>
    </w:p>
    <w:p w14:paraId="3267C655" w14:textId="77777777" w:rsidR="006135FA" w:rsidRDefault="006135FA" w:rsidP="0056725D">
      <w:pPr>
        <w:pStyle w:val="Nadpis2"/>
        <w:tabs>
          <w:tab w:val="num" w:pos="576"/>
        </w:tabs>
        <w:ind w:left="786"/>
      </w:pPr>
      <w:r w:rsidRPr="005C0F87">
        <w:lastRenderedPageBreak/>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A49598D" w14:textId="77777777" w:rsidR="002045E1" w:rsidRDefault="002045E1" w:rsidP="002045E1"/>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77777777" w:rsidR="006135FA" w:rsidRPr="005C0F87" w:rsidRDefault="006135FA" w:rsidP="0086374F">
            <w:pPr>
              <w:jc w:val="center"/>
            </w:pPr>
            <w:r w:rsidRPr="005C0F87">
              <w:t>V Praze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079CC032" w14:textId="77777777" w:rsidR="006135FA" w:rsidRDefault="0064524C" w:rsidP="005B421F">
            <w:pPr>
              <w:jc w:val="center"/>
            </w:pPr>
            <w:r w:rsidRPr="00BE7107" w:rsidDel="0064524C">
              <w:rPr>
                <w:b/>
              </w:rPr>
              <w:t xml:space="preserve"> </w:t>
            </w:r>
            <w:r w:rsidR="00760D92" w:rsidRPr="007267A7">
              <w:t>Mgr. Václav Čermák, Ph.D.</w:t>
            </w:r>
            <w:r w:rsidR="00760D92">
              <w:t xml:space="preserve"> </w:t>
            </w:r>
          </w:p>
          <w:p w14:paraId="296332EC" w14:textId="2385F623" w:rsidR="00485A16" w:rsidRPr="005C0F87" w:rsidRDefault="00485A16" w:rsidP="005B421F">
            <w:pPr>
              <w:jc w:val="center"/>
            </w:pPr>
            <w:r>
              <w:t>ředitel</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04EA0147" w14:textId="056934E0" w:rsidR="009B6443" w:rsidRDefault="009B6443" w:rsidP="008A5116">
      <w:pPr>
        <w:rPr>
          <w:b/>
        </w:rPr>
      </w:pPr>
    </w:p>
    <w:p w14:paraId="301E379D" w14:textId="12484B65" w:rsidR="009B6443" w:rsidRDefault="009B6443" w:rsidP="008A5116">
      <w:pPr>
        <w:rPr>
          <w:b/>
        </w:rPr>
      </w:pPr>
    </w:p>
    <w:p w14:paraId="7A810E7F" w14:textId="44160FCE" w:rsidR="009B6443" w:rsidRDefault="009B6443" w:rsidP="008A5116">
      <w:pPr>
        <w:rPr>
          <w:b/>
        </w:rPr>
      </w:pPr>
    </w:p>
    <w:p w14:paraId="1D691A72" w14:textId="64283B43" w:rsidR="009B6443" w:rsidRDefault="009B6443" w:rsidP="008A5116">
      <w:pPr>
        <w:rPr>
          <w:b/>
        </w:rPr>
      </w:pPr>
    </w:p>
    <w:p w14:paraId="76766DDA" w14:textId="38612F58" w:rsidR="009B6443" w:rsidRDefault="009B6443" w:rsidP="008A5116">
      <w:pPr>
        <w:rPr>
          <w:b/>
        </w:rPr>
      </w:pPr>
    </w:p>
    <w:p w14:paraId="03621339" w14:textId="6488136C" w:rsidR="009B6443" w:rsidRDefault="009B6443" w:rsidP="008A5116">
      <w:pPr>
        <w:rPr>
          <w:b/>
        </w:rPr>
      </w:pPr>
    </w:p>
    <w:p w14:paraId="535E0C65" w14:textId="5A0E69B0" w:rsidR="009B6443" w:rsidRDefault="009B6443" w:rsidP="008A5116">
      <w:pPr>
        <w:rPr>
          <w:b/>
        </w:rPr>
      </w:pPr>
    </w:p>
    <w:p w14:paraId="75F96D76" w14:textId="7CE9309D" w:rsidR="009B6443" w:rsidRDefault="009B6443" w:rsidP="008A5116">
      <w:pPr>
        <w:rPr>
          <w:b/>
        </w:rPr>
      </w:pPr>
    </w:p>
    <w:p w14:paraId="18FAF4D8" w14:textId="6E8FB50B" w:rsidR="009B6443" w:rsidRDefault="009B6443" w:rsidP="008A5116">
      <w:pPr>
        <w:rPr>
          <w:b/>
        </w:rPr>
      </w:pPr>
    </w:p>
    <w:p w14:paraId="1A215824" w14:textId="0C3F1B59" w:rsidR="009B6443" w:rsidRDefault="009B6443" w:rsidP="008A5116">
      <w:pPr>
        <w:rPr>
          <w:b/>
        </w:rPr>
      </w:pPr>
    </w:p>
    <w:p w14:paraId="6C08D6A2" w14:textId="2A1EF2A0" w:rsidR="009B6443" w:rsidRDefault="009B6443" w:rsidP="008A5116">
      <w:pPr>
        <w:rPr>
          <w:b/>
        </w:rPr>
      </w:pPr>
    </w:p>
    <w:p w14:paraId="004E9BA7" w14:textId="62B5F9A2" w:rsidR="009B6443" w:rsidRDefault="009B6443" w:rsidP="008A5116">
      <w:pPr>
        <w:rPr>
          <w:b/>
        </w:rPr>
      </w:pPr>
    </w:p>
    <w:p w14:paraId="7A369CE2" w14:textId="1C2D7AF2" w:rsidR="009B6443" w:rsidRDefault="009B6443" w:rsidP="008A5116">
      <w:pPr>
        <w:rPr>
          <w:b/>
        </w:rPr>
      </w:pPr>
    </w:p>
    <w:p w14:paraId="17D25EAC" w14:textId="7C86AE45" w:rsidR="009B6443" w:rsidRDefault="009B6443" w:rsidP="008A5116">
      <w:pPr>
        <w:rPr>
          <w:b/>
        </w:rPr>
      </w:pPr>
    </w:p>
    <w:p w14:paraId="55D87956" w14:textId="6CB3C436" w:rsidR="009B6443" w:rsidRDefault="009B6443" w:rsidP="008A5116">
      <w:pPr>
        <w:rPr>
          <w:b/>
        </w:rPr>
      </w:pPr>
    </w:p>
    <w:p w14:paraId="477B4201" w14:textId="5E9FF9E7" w:rsidR="009B6443" w:rsidRDefault="009B6443" w:rsidP="008A5116">
      <w:pPr>
        <w:rPr>
          <w:b/>
        </w:rPr>
      </w:pPr>
    </w:p>
    <w:p w14:paraId="3A42EF15" w14:textId="34DABC24" w:rsidR="009B6443" w:rsidRDefault="009B6443" w:rsidP="008A5116">
      <w:pPr>
        <w:rPr>
          <w:b/>
        </w:rPr>
      </w:pPr>
    </w:p>
    <w:p w14:paraId="46707DCE" w14:textId="0549DA96" w:rsidR="009B6443" w:rsidRDefault="009B6443" w:rsidP="008A5116">
      <w:pPr>
        <w:rPr>
          <w:b/>
        </w:rPr>
      </w:pPr>
    </w:p>
    <w:p w14:paraId="7D536ECD" w14:textId="04CEA52A" w:rsidR="00A1602B" w:rsidRDefault="00A1602B" w:rsidP="008A5116">
      <w:pPr>
        <w:rPr>
          <w:b/>
        </w:rPr>
      </w:pPr>
    </w:p>
    <w:p w14:paraId="5E09B583" w14:textId="77777777" w:rsidR="00546F14" w:rsidRDefault="00546F14" w:rsidP="008A5116">
      <w:pPr>
        <w:rPr>
          <w:b/>
        </w:rPr>
      </w:pPr>
    </w:p>
    <w:p w14:paraId="73422C14" w14:textId="77777777" w:rsidR="00485A16" w:rsidRDefault="00485A16" w:rsidP="008A5116">
      <w:pPr>
        <w:rPr>
          <w:b/>
        </w:rPr>
      </w:pPr>
    </w:p>
    <w:p w14:paraId="791A0BBA" w14:textId="77777777" w:rsidR="00485A16" w:rsidRDefault="00485A16" w:rsidP="008A5116">
      <w:pPr>
        <w:rPr>
          <w:b/>
        </w:rPr>
      </w:pPr>
    </w:p>
    <w:p w14:paraId="0B4DEAAF" w14:textId="77777777" w:rsidR="00485A16" w:rsidRDefault="00485A16" w:rsidP="008A5116">
      <w:pPr>
        <w:rPr>
          <w:b/>
        </w:rPr>
      </w:pPr>
    </w:p>
    <w:p w14:paraId="3983AC16" w14:textId="77777777" w:rsidR="00485A16" w:rsidRDefault="00485A16" w:rsidP="008A5116">
      <w:pPr>
        <w:rPr>
          <w:b/>
        </w:rPr>
      </w:pPr>
    </w:p>
    <w:p w14:paraId="08E8EE6A" w14:textId="77777777" w:rsidR="00485A16" w:rsidRDefault="00485A16" w:rsidP="008A5116">
      <w:pPr>
        <w:rPr>
          <w:b/>
        </w:rPr>
      </w:pPr>
    </w:p>
    <w:p w14:paraId="3D22FF03" w14:textId="77777777" w:rsidR="00485A16" w:rsidRDefault="00485A16" w:rsidP="008A5116">
      <w:pPr>
        <w:rPr>
          <w:b/>
        </w:rPr>
      </w:pPr>
    </w:p>
    <w:p w14:paraId="7C727884" w14:textId="77777777" w:rsidR="00485A16" w:rsidRDefault="00485A16" w:rsidP="008A5116">
      <w:pPr>
        <w:rPr>
          <w:b/>
        </w:rPr>
      </w:pPr>
    </w:p>
    <w:p w14:paraId="107AB15F" w14:textId="77777777" w:rsidR="00485A16" w:rsidRDefault="00485A16" w:rsidP="008A5116">
      <w:pPr>
        <w:rPr>
          <w:b/>
        </w:rPr>
      </w:pPr>
    </w:p>
    <w:p w14:paraId="5870FFD3" w14:textId="77777777" w:rsidR="00546F14" w:rsidRDefault="00546F14" w:rsidP="008A5116">
      <w:pPr>
        <w:rPr>
          <w:b/>
        </w:rPr>
      </w:pPr>
    </w:p>
    <w:p w14:paraId="121E2609" w14:textId="77777777" w:rsidR="00B7766C" w:rsidRDefault="00B7766C" w:rsidP="008A5116">
      <w:pPr>
        <w:rPr>
          <w:b/>
        </w:rPr>
      </w:pPr>
    </w:p>
    <w:p w14:paraId="5D85E35F" w14:textId="77777777" w:rsidR="00B7766C" w:rsidRDefault="00B7766C" w:rsidP="008A5116">
      <w:pPr>
        <w:rPr>
          <w:b/>
        </w:rPr>
      </w:pPr>
    </w:p>
    <w:p w14:paraId="20C57B03" w14:textId="77777777" w:rsidR="00B7766C" w:rsidRDefault="00B7766C" w:rsidP="008A5116">
      <w:pPr>
        <w:rPr>
          <w:b/>
        </w:rPr>
      </w:pPr>
    </w:p>
    <w:p w14:paraId="11AF06DE" w14:textId="77777777" w:rsidR="00A1602B" w:rsidRDefault="00A1602B" w:rsidP="00A1602B">
      <w:pPr>
        <w:jc w:val="center"/>
        <w:rPr>
          <w:b/>
          <w:color w:val="000000"/>
        </w:rPr>
      </w:pPr>
      <w:bookmarkStart w:id="2" w:name="RANGE!A1:D73"/>
      <w:r>
        <w:rPr>
          <w:b/>
          <w:color w:val="000000"/>
        </w:rPr>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7E13B9">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7E13B9">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7E13B9">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7E13B9">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Form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7E13B9">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7E13B9">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r>
              <w:rPr>
                <w:rFonts w:ascii="Calibri" w:hAnsi="Calibri" w:cs="Calibri"/>
                <w:sz w:val="22"/>
                <w:szCs w:val="22"/>
              </w:rPr>
              <w:t>Processor</w:t>
            </w:r>
            <w:proofErr w:type="spellEnd"/>
            <w:r>
              <w:rPr>
                <w:rFonts w:ascii="Calibri" w:hAnsi="Calibri" w:cs="Calibri"/>
                <w:sz w:val="22"/>
                <w:szCs w:val="22"/>
              </w:rPr>
              <w:t xml:space="preserve">  21611 bodů</w:t>
            </w:r>
          </w:p>
        </w:tc>
      </w:tr>
      <w:tr w:rsidR="00A1602B" w14:paraId="3E14964F" w14:textId="77777777" w:rsidTr="007E13B9">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630C47E8" w:rsidR="00A1602B" w:rsidRDefault="00A1602B">
            <w:pPr>
              <w:rPr>
                <w:rFonts w:ascii="Calibri" w:hAnsi="Calibri" w:cs="Calibri"/>
                <w:sz w:val="22"/>
                <w:szCs w:val="22"/>
              </w:rPr>
            </w:pPr>
            <w:r>
              <w:rPr>
                <w:rFonts w:ascii="Calibri" w:hAnsi="Calibri" w:cs="Calibri"/>
                <w:sz w:val="22"/>
                <w:szCs w:val="22"/>
              </w:rPr>
              <w:t xml:space="preserve">Minimálně </w:t>
            </w:r>
            <w:r w:rsidR="0047167E">
              <w:rPr>
                <w:rFonts w:ascii="Calibri" w:hAnsi="Calibri" w:cs="Calibri"/>
                <w:sz w:val="22"/>
                <w:szCs w:val="22"/>
              </w:rPr>
              <w:t>32</w:t>
            </w:r>
            <w:r>
              <w:rPr>
                <w:rFonts w:ascii="Calibri" w:hAnsi="Calibri" w:cs="Calibri"/>
                <w:sz w:val="22"/>
                <w:szCs w:val="22"/>
              </w:rPr>
              <w:t xml:space="preserve">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538BB6A5" w:rsidR="00A1602B" w:rsidRDefault="0047167E">
            <w:pPr>
              <w:jc w:val="center"/>
              <w:rPr>
                <w:rFonts w:ascii="Calibri" w:hAnsi="Calibri" w:cs="Calibri"/>
                <w:sz w:val="22"/>
                <w:szCs w:val="22"/>
              </w:rPr>
            </w:pPr>
            <w:r>
              <w:rPr>
                <w:rFonts w:ascii="Calibri" w:hAnsi="Calibri" w:cs="Calibri"/>
                <w:sz w:val="22"/>
                <w:szCs w:val="22"/>
              </w:rPr>
              <w:t>32</w:t>
            </w:r>
            <w:r w:rsidR="00A1602B">
              <w:rPr>
                <w:rFonts w:ascii="Calibri" w:hAnsi="Calibri" w:cs="Calibri"/>
                <w:sz w:val="22"/>
                <w:szCs w:val="22"/>
              </w:rPr>
              <w:t xml:space="preserve"> GB DDR5-</w:t>
            </w:r>
            <w:r>
              <w:rPr>
                <w:rFonts w:ascii="Calibri" w:hAnsi="Calibri" w:cs="Calibri"/>
                <w:sz w:val="22"/>
                <w:szCs w:val="22"/>
              </w:rPr>
              <w:t>5200MHz (UDIMM) - (2 x 16 GB)</w:t>
            </w:r>
          </w:p>
        </w:tc>
      </w:tr>
      <w:tr w:rsidR="00A1602B" w14:paraId="10217F9D"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7E13B9">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15W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1.4a (HBR2, DSC)</w:t>
            </w:r>
            <w:r>
              <w:rPr>
                <w:rFonts w:ascii="Calibri" w:hAnsi="Calibri" w:cs="Calibri"/>
                <w:sz w:val="22"/>
                <w:szCs w:val="22"/>
              </w:rPr>
              <w:br/>
              <w:t>podpora 4K/60Hz</w:t>
            </w:r>
          </w:p>
        </w:tc>
      </w:tr>
      <w:tr w:rsidR="00A1602B" w14:paraId="1FD21789"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7E13B9">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hideMark/>
          </w:tcPr>
          <w:p w14:paraId="18C705C3" w14:textId="77777777" w:rsidR="00A1602B" w:rsidRDefault="00A1602B">
            <w:pPr>
              <w:rPr>
                <w:rFonts w:ascii="Calibri" w:hAnsi="Calibri" w:cs="Calibri"/>
                <w:sz w:val="22"/>
                <w:szCs w:val="22"/>
              </w:rPr>
            </w:pPr>
            <w:r>
              <w:rPr>
                <w:rFonts w:ascii="Calibri" w:hAnsi="Calibri" w:cs="Calibri"/>
                <w:sz w:val="22"/>
                <w:szCs w:val="22"/>
              </w:rPr>
              <w:t>Licence Windows 11 Professional CZ OEM (64-bit)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7E13B9">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7E13B9">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7E13B9">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7E13B9">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7E13B9">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7E13B9">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prostřednictvím Internetu musí umožňovat stahování </w:t>
            </w:r>
            <w:r>
              <w:rPr>
                <w:rFonts w:ascii="Calibri" w:hAnsi="Calibri" w:cs="Calibri"/>
                <w:color w:val="000000"/>
                <w:sz w:val="22"/>
                <w:szCs w:val="22"/>
              </w:rPr>
              <w:lastRenderedPageBreak/>
              <w:t>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7E13B9">
        <w:trPr>
          <w:trHeight w:val="315"/>
        </w:trPr>
        <w:tc>
          <w:tcPr>
            <w:tcW w:w="1151" w:type="pct"/>
            <w:tcBorders>
              <w:top w:val="nil"/>
              <w:left w:val="single" w:sz="8" w:space="0" w:color="auto"/>
              <w:bottom w:val="nil"/>
              <w:right w:val="nil"/>
            </w:tcBorders>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vAlign w:val="center"/>
            <w:hideMark/>
          </w:tcPr>
          <w:p w14:paraId="40F78AD1" w14:textId="77777777" w:rsidR="00A1602B" w:rsidRDefault="00A1602B">
            <w:pPr>
              <w:rPr>
                <w:sz w:val="20"/>
                <w:szCs w:val="20"/>
              </w:rPr>
            </w:pPr>
          </w:p>
        </w:tc>
        <w:tc>
          <w:tcPr>
            <w:tcW w:w="1848" w:type="pct"/>
            <w:tcBorders>
              <w:top w:val="nil"/>
              <w:left w:val="nil"/>
              <w:bottom w:val="nil"/>
              <w:right w:val="nil"/>
            </w:tcBorders>
            <w:vAlign w:val="center"/>
            <w:hideMark/>
          </w:tcPr>
          <w:p w14:paraId="7395442C" w14:textId="77777777" w:rsidR="00A1602B" w:rsidRDefault="00A1602B">
            <w:pPr>
              <w:jc w:val="center"/>
              <w:rPr>
                <w:sz w:val="20"/>
                <w:szCs w:val="20"/>
              </w:rPr>
            </w:pPr>
          </w:p>
        </w:tc>
      </w:tr>
      <w:tr w:rsidR="00A1602B" w14:paraId="32E72919" w14:textId="77777777" w:rsidTr="007E13B9">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5911810F" w14:textId="77777777" w:rsidTr="007E13B9">
        <w:trPr>
          <w:trHeight w:val="315"/>
        </w:trPr>
        <w:tc>
          <w:tcPr>
            <w:tcW w:w="1151" w:type="pct"/>
            <w:tcBorders>
              <w:top w:val="nil"/>
              <w:left w:val="single" w:sz="8" w:space="0" w:color="auto"/>
              <w:bottom w:val="nil"/>
              <w:right w:val="nil"/>
            </w:tcBorders>
            <w:noWrap/>
            <w:hideMark/>
          </w:tcPr>
          <w:p w14:paraId="1614B396" w14:textId="77777777" w:rsidR="00A1602B" w:rsidRDefault="00A1602B">
            <w:pPr>
              <w:rPr>
                <w:rFonts w:ascii="Calibri" w:hAnsi="Calibri" w:cs="Calibri"/>
                <w:sz w:val="22"/>
                <w:szCs w:val="22"/>
              </w:rPr>
            </w:pPr>
            <w:r>
              <w:rPr>
                <w:rFonts w:ascii="Calibri" w:hAnsi="Calibri" w:cs="Calibri"/>
                <w:sz w:val="22"/>
                <w:szCs w:val="22"/>
              </w:rPr>
              <w:t> </w:t>
            </w:r>
          </w:p>
          <w:p w14:paraId="7C3B5D4F" w14:textId="2DAB0CBE" w:rsidR="00947DBF" w:rsidRDefault="00947DBF">
            <w:pPr>
              <w:rPr>
                <w:rFonts w:ascii="Calibri" w:hAnsi="Calibri" w:cs="Calibri"/>
                <w:sz w:val="22"/>
                <w:szCs w:val="22"/>
              </w:rPr>
            </w:pPr>
          </w:p>
        </w:tc>
        <w:tc>
          <w:tcPr>
            <w:tcW w:w="1147" w:type="pct"/>
            <w:tcBorders>
              <w:top w:val="nil"/>
              <w:left w:val="nil"/>
              <w:bottom w:val="nil"/>
              <w:right w:val="nil"/>
            </w:tcBorders>
            <w:hideMark/>
          </w:tcPr>
          <w:p w14:paraId="0C77A167" w14:textId="77777777" w:rsidR="00A1602B" w:rsidRDefault="00A1602B">
            <w:pPr>
              <w:rPr>
                <w:rFonts w:ascii="Calibri" w:hAnsi="Calibri" w:cs="Calibri"/>
                <w:sz w:val="22"/>
                <w:szCs w:val="22"/>
              </w:rPr>
            </w:pPr>
          </w:p>
        </w:tc>
        <w:tc>
          <w:tcPr>
            <w:tcW w:w="854" w:type="pct"/>
            <w:tcBorders>
              <w:top w:val="nil"/>
              <w:left w:val="nil"/>
              <w:bottom w:val="nil"/>
              <w:right w:val="nil"/>
            </w:tcBorders>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7E13B9">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A1602B" w14:paraId="54C83809" w14:textId="77777777" w:rsidTr="007E13B9">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7E13B9">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7E13B9">
        <w:trPr>
          <w:trHeight w:val="600"/>
        </w:trPr>
        <w:tc>
          <w:tcPr>
            <w:tcW w:w="1151" w:type="pct"/>
            <w:tcBorders>
              <w:top w:val="nil"/>
              <w:left w:val="single" w:sz="8" w:space="0" w:color="auto"/>
              <w:bottom w:val="single" w:sz="4" w:space="0" w:color="auto"/>
              <w:right w:val="single" w:sz="4" w:space="0" w:color="auto"/>
            </w:tcBorders>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7E13B9">
        <w:trPr>
          <w:trHeight w:val="900"/>
        </w:trPr>
        <w:tc>
          <w:tcPr>
            <w:tcW w:w="1151" w:type="pct"/>
            <w:tcBorders>
              <w:top w:val="nil"/>
              <w:left w:val="single" w:sz="8" w:space="0" w:color="auto"/>
              <w:bottom w:val="single" w:sz="4" w:space="0" w:color="auto"/>
              <w:right w:val="single" w:sz="4" w:space="0" w:color="auto"/>
            </w:tcBorders>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7E13B9">
        <w:trPr>
          <w:trHeight w:val="600"/>
        </w:trPr>
        <w:tc>
          <w:tcPr>
            <w:tcW w:w="1151" w:type="pct"/>
            <w:tcBorders>
              <w:top w:val="nil"/>
              <w:left w:val="single" w:sz="8" w:space="0" w:color="auto"/>
              <w:bottom w:val="single" w:sz="4" w:space="0" w:color="auto"/>
              <w:right w:val="single" w:sz="4" w:space="0" w:color="auto"/>
            </w:tcBorders>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7E13B9">
        <w:trPr>
          <w:trHeight w:val="345"/>
        </w:trPr>
        <w:tc>
          <w:tcPr>
            <w:tcW w:w="1151" w:type="pct"/>
            <w:tcBorders>
              <w:top w:val="nil"/>
              <w:left w:val="single" w:sz="8" w:space="0" w:color="auto"/>
              <w:bottom w:val="single" w:sz="4" w:space="0" w:color="auto"/>
              <w:right w:val="single" w:sz="4" w:space="0" w:color="auto"/>
            </w:tcBorders>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7E13B9">
        <w:trPr>
          <w:trHeight w:val="300"/>
        </w:trPr>
        <w:tc>
          <w:tcPr>
            <w:tcW w:w="1151" w:type="pct"/>
            <w:tcBorders>
              <w:top w:val="nil"/>
              <w:left w:val="single" w:sz="8" w:space="0" w:color="auto"/>
              <w:bottom w:val="single" w:sz="4" w:space="0" w:color="auto"/>
              <w:right w:val="single" w:sz="4" w:space="0" w:color="auto"/>
            </w:tcBorders>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4B2015D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7E13B9">
        <w:trPr>
          <w:trHeight w:val="600"/>
        </w:trPr>
        <w:tc>
          <w:tcPr>
            <w:tcW w:w="1151" w:type="pct"/>
            <w:tcBorders>
              <w:top w:val="nil"/>
              <w:left w:val="single" w:sz="8" w:space="0" w:color="auto"/>
              <w:bottom w:val="single" w:sz="4" w:space="0" w:color="auto"/>
              <w:right w:val="single" w:sz="4" w:space="0" w:color="auto"/>
            </w:tcBorders>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7E13B9">
        <w:trPr>
          <w:trHeight w:val="600"/>
        </w:trPr>
        <w:tc>
          <w:tcPr>
            <w:tcW w:w="1151" w:type="pct"/>
            <w:tcBorders>
              <w:top w:val="nil"/>
              <w:left w:val="single" w:sz="8" w:space="0" w:color="auto"/>
              <w:bottom w:val="single" w:sz="4" w:space="0" w:color="auto"/>
              <w:right w:val="single" w:sz="4" w:space="0" w:color="auto"/>
            </w:tcBorders>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4FD910D3"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7E13B9">
        <w:trPr>
          <w:trHeight w:val="4200"/>
        </w:trPr>
        <w:tc>
          <w:tcPr>
            <w:tcW w:w="1151" w:type="pct"/>
            <w:tcBorders>
              <w:top w:val="nil"/>
              <w:left w:val="single" w:sz="8" w:space="0" w:color="auto"/>
              <w:bottom w:val="single" w:sz="4" w:space="0" w:color="auto"/>
              <w:right w:val="single" w:sz="4" w:space="0" w:color="auto"/>
            </w:tcBorders>
            <w:hideMark/>
          </w:tcPr>
          <w:p w14:paraId="531575BB"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7E13B9">
        <w:trPr>
          <w:trHeight w:val="300"/>
        </w:trPr>
        <w:tc>
          <w:tcPr>
            <w:tcW w:w="1151" w:type="pct"/>
            <w:tcBorders>
              <w:top w:val="nil"/>
              <w:left w:val="single" w:sz="8" w:space="0" w:color="auto"/>
              <w:bottom w:val="single" w:sz="4" w:space="0" w:color="auto"/>
              <w:right w:val="single" w:sz="4" w:space="0" w:color="auto"/>
            </w:tcBorders>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7E13B9">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7E13B9">
        <w:trPr>
          <w:trHeight w:val="600"/>
        </w:trPr>
        <w:tc>
          <w:tcPr>
            <w:tcW w:w="1151" w:type="pct"/>
            <w:tcBorders>
              <w:top w:val="nil"/>
              <w:left w:val="single" w:sz="8" w:space="0" w:color="auto"/>
              <w:bottom w:val="single" w:sz="4" w:space="0" w:color="auto"/>
              <w:right w:val="single" w:sz="4" w:space="0" w:color="auto"/>
            </w:tcBorders>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7E13B9">
        <w:trPr>
          <w:trHeight w:val="1215"/>
        </w:trPr>
        <w:tc>
          <w:tcPr>
            <w:tcW w:w="1151" w:type="pct"/>
            <w:tcBorders>
              <w:top w:val="nil"/>
              <w:left w:val="single" w:sz="8" w:space="0" w:color="auto"/>
              <w:bottom w:val="single" w:sz="8" w:space="0" w:color="auto"/>
              <w:right w:val="single" w:sz="4" w:space="0" w:color="auto"/>
            </w:tcBorders>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7E13B9">
        <w:trPr>
          <w:trHeight w:val="315"/>
        </w:trPr>
        <w:tc>
          <w:tcPr>
            <w:tcW w:w="1151" w:type="pct"/>
            <w:tcBorders>
              <w:top w:val="nil"/>
              <w:left w:val="nil"/>
              <w:bottom w:val="nil"/>
              <w:right w:val="nil"/>
            </w:tcBorders>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7E13B9">
        <w:trPr>
          <w:trHeight w:val="315"/>
        </w:trPr>
        <w:tc>
          <w:tcPr>
            <w:tcW w:w="1151" w:type="pct"/>
            <w:tcBorders>
              <w:top w:val="nil"/>
              <w:left w:val="nil"/>
              <w:bottom w:val="nil"/>
              <w:right w:val="nil"/>
            </w:tcBorders>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vAlign w:val="center"/>
            <w:hideMark/>
          </w:tcPr>
          <w:p w14:paraId="5BA7B870" w14:textId="77777777" w:rsidR="00A1602B" w:rsidRDefault="00A1602B">
            <w:pPr>
              <w:rPr>
                <w:sz w:val="20"/>
                <w:szCs w:val="20"/>
              </w:rPr>
            </w:pPr>
          </w:p>
        </w:tc>
        <w:tc>
          <w:tcPr>
            <w:tcW w:w="854" w:type="pct"/>
            <w:tcBorders>
              <w:top w:val="nil"/>
              <w:left w:val="nil"/>
              <w:bottom w:val="nil"/>
              <w:right w:val="nil"/>
            </w:tcBorders>
            <w:vAlign w:val="center"/>
            <w:hideMark/>
          </w:tcPr>
          <w:p w14:paraId="4C5B8145" w14:textId="77777777" w:rsidR="00A1602B" w:rsidRDefault="00A1602B">
            <w:pPr>
              <w:rPr>
                <w:sz w:val="20"/>
                <w:szCs w:val="20"/>
              </w:rPr>
            </w:pPr>
          </w:p>
        </w:tc>
        <w:tc>
          <w:tcPr>
            <w:tcW w:w="1848" w:type="pct"/>
            <w:tcBorders>
              <w:top w:val="nil"/>
              <w:left w:val="nil"/>
              <w:bottom w:val="nil"/>
              <w:right w:val="nil"/>
            </w:tcBorders>
            <w:vAlign w:val="center"/>
            <w:hideMark/>
          </w:tcPr>
          <w:p w14:paraId="6D7B1313" w14:textId="77777777" w:rsidR="00A1602B" w:rsidRDefault="00A1602B">
            <w:pPr>
              <w:rPr>
                <w:sz w:val="20"/>
                <w:szCs w:val="20"/>
              </w:rPr>
            </w:pPr>
          </w:p>
        </w:tc>
      </w:tr>
      <w:tr w:rsidR="00A1602B" w14:paraId="648EB424" w14:textId="77777777" w:rsidTr="007E13B9">
        <w:trPr>
          <w:trHeight w:val="315"/>
        </w:trPr>
        <w:tc>
          <w:tcPr>
            <w:tcW w:w="1151" w:type="pct"/>
            <w:tcBorders>
              <w:top w:val="nil"/>
              <w:left w:val="nil"/>
              <w:bottom w:val="nil"/>
              <w:right w:val="nil"/>
            </w:tcBorders>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7E13B9">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lastRenderedPageBreak/>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7E13B9">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7E13B9">
        <w:trPr>
          <w:trHeight w:val="1200"/>
        </w:trPr>
        <w:tc>
          <w:tcPr>
            <w:tcW w:w="1151" w:type="pct"/>
            <w:tcBorders>
              <w:top w:val="nil"/>
              <w:left w:val="single" w:sz="8" w:space="0" w:color="auto"/>
              <w:bottom w:val="single" w:sz="4" w:space="0" w:color="auto"/>
              <w:right w:val="single" w:sz="4" w:space="0" w:color="auto"/>
            </w:tcBorders>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7E13B9">
        <w:trPr>
          <w:trHeight w:val="1500"/>
        </w:trPr>
        <w:tc>
          <w:tcPr>
            <w:tcW w:w="1151" w:type="pct"/>
            <w:tcBorders>
              <w:top w:val="nil"/>
              <w:left w:val="single" w:sz="8" w:space="0" w:color="auto"/>
              <w:bottom w:val="single" w:sz="4" w:space="0" w:color="auto"/>
              <w:right w:val="single" w:sz="4" w:space="0" w:color="auto"/>
            </w:tcBorders>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7E13B9">
        <w:trPr>
          <w:trHeight w:val="300"/>
        </w:trPr>
        <w:tc>
          <w:tcPr>
            <w:tcW w:w="1151" w:type="pct"/>
            <w:tcBorders>
              <w:top w:val="nil"/>
              <w:left w:val="single" w:sz="8" w:space="0" w:color="auto"/>
              <w:bottom w:val="single" w:sz="4" w:space="0" w:color="auto"/>
              <w:right w:val="single" w:sz="4" w:space="0" w:color="auto"/>
            </w:tcBorders>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7E13B9">
        <w:trPr>
          <w:trHeight w:val="1815"/>
        </w:trPr>
        <w:tc>
          <w:tcPr>
            <w:tcW w:w="1151" w:type="pct"/>
            <w:tcBorders>
              <w:top w:val="nil"/>
              <w:left w:val="single" w:sz="8" w:space="0" w:color="auto"/>
              <w:bottom w:val="single" w:sz="8" w:space="0" w:color="auto"/>
              <w:right w:val="single" w:sz="4" w:space="0" w:color="auto"/>
            </w:tcBorders>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7E13B9">
        <w:trPr>
          <w:trHeight w:val="315"/>
        </w:trPr>
        <w:tc>
          <w:tcPr>
            <w:tcW w:w="1151" w:type="pct"/>
            <w:tcBorders>
              <w:top w:val="nil"/>
              <w:left w:val="nil"/>
              <w:bottom w:val="nil"/>
              <w:right w:val="nil"/>
            </w:tcBorders>
            <w:noWrap/>
            <w:hideMark/>
          </w:tcPr>
          <w:p w14:paraId="46531703" w14:textId="77777777" w:rsidR="00A1602B" w:rsidRDefault="00A1602B">
            <w:pPr>
              <w:rPr>
                <w:rFonts w:ascii="Calibri" w:hAnsi="Calibri" w:cs="Calibri"/>
                <w:sz w:val="22"/>
                <w:szCs w:val="22"/>
              </w:rPr>
            </w:pPr>
          </w:p>
          <w:p w14:paraId="20CA2408" w14:textId="77777777" w:rsidR="0031362B" w:rsidRDefault="0031362B">
            <w:pPr>
              <w:rPr>
                <w:rFonts w:ascii="Calibri" w:hAnsi="Calibri" w:cs="Calibri"/>
                <w:sz w:val="22"/>
                <w:szCs w:val="22"/>
              </w:rPr>
            </w:pPr>
          </w:p>
          <w:p w14:paraId="58F7B7DB" w14:textId="77777777" w:rsidR="0031362B" w:rsidRDefault="0031362B">
            <w:pPr>
              <w:rPr>
                <w:rFonts w:ascii="Calibri" w:hAnsi="Calibri" w:cs="Calibri"/>
                <w:sz w:val="22"/>
                <w:szCs w:val="22"/>
              </w:rPr>
            </w:pPr>
          </w:p>
          <w:p w14:paraId="08EB1A81" w14:textId="77777777" w:rsidR="0031362B" w:rsidRDefault="0031362B">
            <w:pPr>
              <w:rPr>
                <w:rFonts w:ascii="Calibri" w:hAnsi="Calibri" w:cs="Calibri"/>
                <w:sz w:val="22"/>
                <w:szCs w:val="22"/>
              </w:rPr>
            </w:pPr>
          </w:p>
          <w:p w14:paraId="30B321E6" w14:textId="77777777" w:rsidR="0031362B" w:rsidRDefault="0031362B">
            <w:pPr>
              <w:rPr>
                <w:rFonts w:ascii="Calibri" w:hAnsi="Calibri" w:cs="Calibri"/>
                <w:sz w:val="22"/>
                <w:szCs w:val="22"/>
              </w:rPr>
            </w:pPr>
          </w:p>
          <w:p w14:paraId="19A82925" w14:textId="77777777" w:rsidR="0031362B" w:rsidRDefault="0031362B">
            <w:pPr>
              <w:rPr>
                <w:rFonts w:ascii="Calibri" w:hAnsi="Calibri" w:cs="Calibri"/>
                <w:sz w:val="22"/>
                <w:szCs w:val="22"/>
              </w:rPr>
            </w:pPr>
          </w:p>
          <w:p w14:paraId="0B821B51" w14:textId="77777777" w:rsidR="0031362B" w:rsidRDefault="0031362B">
            <w:pPr>
              <w:rPr>
                <w:rFonts w:ascii="Calibri" w:hAnsi="Calibri" w:cs="Calibri"/>
                <w:sz w:val="22"/>
                <w:szCs w:val="22"/>
              </w:rPr>
            </w:pPr>
          </w:p>
          <w:p w14:paraId="61D280C6" w14:textId="77777777" w:rsidR="0031362B" w:rsidRDefault="0031362B">
            <w:pPr>
              <w:rPr>
                <w:rFonts w:ascii="Calibri" w:hAnsi="Calibri" w:cs="Calibri"/>
                <w:sz w:val="22"/>
                <w:szCs w:val="22"/>
              </w:rPr>
            </w:pPr>
          </w:p>
          <w:p w14:paraId="035D02FF" w14:textId="77777777" w:rsidR="0031362B" w:rsidRDefault="0031362B">
            <w:pPr>
              <w:rPr>
                <w:rFonts w:ascii="Calibri" w:hAnsi="Calibri" w:cs="Calibri"/>
                <w:sz w:val="22"/>
                <w:szCs w:val="22"/>
              </w:rPr>
            </w:pPr>
          </w:p>
          <w:p w14:paraId="58177AD8" w14:textId="77777777" w:rsidR="0031362B" w:rsidRDefault="0031362B">
            <w:pPr>
              <w:rPr>
                <w:rFonts w:ascii="Calibri" w:hAnsi="Calibri" w:cs="Calibri"/>
                <w:sz w:val="22"/>
                <w:szCs w:val="22"/>
              </w:rPr>
            </w:pPr>
          </w:p>
          <w:p w14:paraId="37763D70" w14:textId="77777777" w:rsidR="0031362B" w:rsidRDefault="0031362B">
            <w:pPr>
              <w:rPr>
                <w:rFonts w:ascii="Calibri" w:hAnsi="Calibri" w:cs="Calibri"/>
                <w:sz w:val="22"/>
                <w:szCs w:val="22"/>
              </w:rPr>
            </w:pPr>
          </w:p>
          <w:p w14:paraId="3639FB6C" w14:textId="77777777" w:rsidR="0031362B" w:rsidRDefault="0031362B">
            <w:pPr>
              <w:rPr>
                <w:rFonts w:ascii="Calibri" w:hAnsi="Calibri" w:cs="Calibri"/>
                <w:sz w:val="22"/>
                <w:szCs w:val="22"/>
              </w:rPr>
            </w:pPr>
          </w:p>
          <w:p w14:paraId="67A226C9" w14:textId="77777777" w:rsidR="0031362B" w:rsidRDefault="0031362B">
            <w:pPr>
              <w:rPr>
                <w:rFonts w:ascii="Calibri" w:hAnsi="Calibri" w:cs="Calibri"/>
                <w:sz w:val="22"/>
                <w:szCs w:val="22"/>
              </w:rPr>
            </w:pPr>
          </w:p>
          <w:p w14:paraId="49597332" w14:textId="77777777" w:rsidR="0031362B" w:rsidRDefault="0031362B">
            <w:pPr>
              <w:rPr>
                <w:rFonts w:ascii="Calibri" w:hAnsi="Calibri" w:cs="Calibri"/>
                <w:sz w:val="22"/>
                <w:szCs w:val="22"/>
              </w:rPr>
            </w:pPr>
          </w:p>
          <w:p w14:paraId="6691A4CA" w14:textId="77777777" w:rsidR="0031362B" w:rsidRDefault="0031362B">
            <w:pPr>
              <w:rPr>
                <w:rFonts w:ascii="Calibri" w:hAnsi="Calibri" w:cs="Calibri"/>
                <w:sz w:val="22"/>
                <w:szCs w:val="22"/>
              </w:rPr>
            </w:pPr>
          </w:p>
          <w:p w14:paraId="4DB8817F" w14:textId="77777777" w:rsidR="0031362B" w:rsidRDefault="0031362B">
            <w:pPr>
              <w:rPr>
                <w:rFonts w:ascii="Calibri" w:hAnsi="Calibri" w:cs="Calibri"/>
                <w:sz w:val="22"/>
                <w:szCs w:val="22"/>
              </w:rPr>
            </w:pPr>
          </w:p>
          <w:p w14:paraId="2C6158D7" w14:textId="77777777" w:rsidR="0031362B" w:rsidRDefault="0031362B">
            <w:pPr>
              <w:rPr>
                <w:rFonts w:ascii="Calibri" w:hAnsi="Calibri" w:cs="Calibri"/>
                <w:sz w:val="22"/>
                <w:szCs w:val="22"/>
              </w:rPr>
            </w:pPr>
          </w:p>
          <w:p w14:paraId="07153644" w14:textId="77777777" w:rsidR="0031362B" w:rsidRDefault="0031362B">
            <w:pPr>
              <w:rPr>
                <w:rFonts w:ascii="Calibri" w:hAnsi="Calibri" w:cs="Calibri"/>
                <w:sz w:val="22"/>
                <w:szCs w:val="22"/>
              </w:rPr>
            </w:pPr>
          </w:p>
          <w:p w14:paraId="5A9F71EF" w14:textId="77777777" w:rsidR="0031362B" w:rsidRDefault="0031362B">
            <w:pPr>
              <w:rPr>
                <w:rFonts w:ascii="Calibri" w:hAnsi="Calibri" w:cs="Calibri"/>
                <w:sz w:val="22"/>
                <w:szCs w:val="22"/>
              </w:rPr>
            </w:pPr>
          </w:p>
          <w:p w14:paraId="6344F410" w14:textId="77777777" w:rsidR="0031362B" w:rsidRDefault="0031362B">
            <w:pPr>
              <w:rPr>
                <w:rFonts w:ascii="Calibri" w:hAnsi="Calibri" w:cs="Calibri"/>
                <w:sz w:val="22"/>
                <w:szCs w:val="22"/>
              </w:rPr>
            </w:pPr>
          </w:p>
          <w:p w14:paraId="5D6AF374" w14:textId="77777777" w:rsidR="0031362B" w:rsidRDefault="0031362B">
            <w:pPr>
              <w:rPr>
                <w:rFonts w:ascii="Calibri" w:hAnsi="Calibri" w:cs="Calibri"/>
                <w:sz w:val="22"/>
                <w:szCs w:val="22"/>
              </w:rPr>
            </w:pPr>
          </w:p>
        </w:tc>
        <w:tc>
          <w:tcPr>
            <w:tcW w:w="1147" w:type="pct"/>
            <w:tcBorders>
              <w:top w:val="nil"/>
              <w:left w:val="nil"/>
              <w:bottom w:val="nil"/>
              <w:right w:val="nil"/>
            </w:tcBorders>
            <w:hideMark/>
          </w:tcPr>
          <w:p w14:paraId="28E5E723" w14:textId="77777777" w:rsidR="00A1602B" w:rsidRDefault="00A1602B">
            <w:pPr>
              <w:rPr>
                <w:sz w:val="20"/>
                <w:szCs w:val="20"/>
              </w:rPr>
            </w:pPr>
          </w:p>
          <w:p w14:paraId="355C1604" w14:textId="77777777" w:rsidR="00B94354" w:rsidRDefault="00B94354">
            <w:pPr>
              <w:rPr>
                <w:sz w:val="20"/>
                <w:szCs w:val="20"/>
              </w:rPr>
            </w:pPr>
          </w:p>
          <w:p w14:paraId="36CC5C1F" w14:textId="77777777" w:rsidR="00B94354" w:rsidRDefault="00B94354">
            <w:pPr>
              <w:rPr>
                <w:sz w:val="20"/>
                <w:szCs w:val="20"/>
              </w:rPr>
            </w:pPr>
          </w:p>
          <w:p w14:paraId="12220794" w14:textId="77777777" w:rsidR="00B94354" w:rsidRDefault="00B94354">
            <w:pPr>
              <w:rPr>
                <w:sz w:val="20"/>
                <w:szCs w:val="20"/>
              </w:rPr>
            </w:pPr>
          </w:p>
          <w:p w14:paraId="3BDBD7BC" w14:textId="77777777" w:rsidR="00B94354" w:rsidRDefault="00B94354">
            <w:pPr>
              <w:rPr>
                <w:sz w:val="20"/>
                <w:szCs w:val="20"/>
              </w:rPr>
            </w:pPr>
          </w:p>
          <w:p w14:paraId="46596BB5" w14:textId="77777777" w:rsidR="00B94354" w:rsidRDefault="00B94354">
            <w:pPr>
              <w:rPr>
                <w:sz w:val="20"/>
                <w:szCs w:val="20"/>
              </w:rPr>
            </w:pPr>
          </w:p>
          <w:p w14:paraId="7A7D2BCA" w14:textId="77777777" w:rsidR="00B94354" w:rsidRDefault="00B94354">
            <w:pPr>
              <w:rPr>
                <w:sz w:val="20"/>
                <w:szCs w:val="20"/>
              </w:rPr>
            </w:pPr>
          </w:p>
          <w:p w14:paraId="0C4DCC37" w14:textId="77777777" w:rsidR="00B94354" w:rsidRDefault="00B94354">
            <w:pPr>
              <w:rPr>
                <w:sz w:val="20"/>
                <w:szCs w:val="20"/>
              </w:rPr>
            </w:pPr>
          </w:p>
          <w:p w14:paraId="586DC77B" w14:textId="77777777" w:rsidR="00B94354" w:rsidRDefault="00B94354">
            <w:pPr>
              <w:rPr>
                <w:sz w:val="20"/>
                <w:szCs w:val="20"/>
              </w:rPr>
            </w:pPr>
          </w:p>
          <w:p w14:paraId="0C72B70E" w14:textId="77777777" w:rsidR="00B94354" w:rsidRDefault="00B94354">
            <w:pPr>
              <w:rPr>
                <w:sz w:val="20"/>
                <w:szCs w:val="20"/>
              </w:rPr>
            </w:pPr>
          </w:p>
          <w:p w14:paraId="22394E03" w14:textId="77777777" w:rsidR="00B94354" w:rsidRDefault="00B94354">
            <w:pPr>
              <w:rPr>
                <w:sz w:val="20"/>
                <w:szCs w:val="20"/>
              </w:rPr>
            </w:pPr>
          </w:p>
          <w:p w14:paraId="451B5614" w14:textId="77777777" w:rsidR="00B94354" w:rsidRDefault="00B94354">
            <w:pPr>
              <w:rPr>
                <w:sz w:val="20"/>
                <w:szCs w:val="20"/>
              </w:rPr>
            </w:pPr>
          </w:p>
          <w:p w14:paraId="623CF82A" w14:textId="77777777" w:rsidR="00B94354" w:rsidRDefault="00B94354">
            <w:pPr>
              <w:rPr>
                <w:sz w:val="20"/>
                <w:szCs w:val="20"/>
              </w:rPr>
            </w:pPr>
          </w:p>
          <w:p w14:paraId="773D0572" w14:textId="77777777" w:rsidR="00B94354" w:rsidRDefault="00B94354">
            <w:pPr>
              <w:rPr>
                <w:sz w:val="20"/>
                <w:szCs w:val="20"/>
              </w:rPr>
            </w:pPr>
          </w:p>
          <w:p w14:paraId="537F2512" w14:textId="77777777" w:rsidR="00B94354" w:rsidRDefault="00B94354">
            <w:pPr>
              <w:rPr>
                <w:sz w:val="20"/>
                <w:szCs w:val="20"/>
              </w:rPr>
            </w:pPr>
          </w:p>
          <w:p w14:paraId="4A0C9D1D" w14:textId="77777777" w:rsidR="00B94354" w:rsidRDefault="00B94354">
            <w:pPr>
              <w:rPr>
                <w:sz w:val="20"/>
                <w:szCs w:val="20"/>
              </w:rPr>
            </w:pPr>
          </w:p>
          <w:p w14:paraId="1337F354" w14:textId="77777777" w:rsidR="00B94354" w:rsidRDefault="00B94354">
            <w:pPr>
              <w:rPr>
                <w:sz w:val="20"/>
                <w:szCs w:val="20"/>
              </w:rPr>
            </w:pPr>
          </w:p>
          <w:p w14:paraId="67172BBC" w14:textId="77777777" w:rsidR="00B94354" w:rsidRDefault="00B94354">
            <w:pPr>
              <w:rPr>
                <w:sz w:val="20"/>
                <w:szCs w:val="20"/>
              </w:rPr>
            </w:pPr>
          </w:p>
          <w:p w14:paraId="35958A4B" w14:textId="77777777" w:rsidR="00B94354" w:rsidRDefault="00B94354">
            <w:pPr>
              <w:rPr>
                <w:sz w:val="20"/>
                <w:szCs w:val="20"/>
              </w:rPr>
            </w:pPr>
          </w:p>
          <w:p w14:paraId="76D343A9" w14:textId="77777777" w:rsidR="00B94354" w:rsidRDefault="00B94354">
            <w:pPr>
              <w:rPr>
                <w:sz w:val="20"/>
                <w:szCs w:val="20"/>
              </w:rPr>
            </w:pPr>
          </w:p>
          <w:p w14:paraId="6700E0A0" w14:textId="77777777" w:rsidR="00B94354" w:rsidRDefault="00B94354">
            <w:pPr>
              <w:rPr>
                <w:sz w:val="20"/>
                <w:szCs w:val="20"/>
              </w:rPr>
            </w:pPr>
          </w:p>
          <w:p w14:paraId="14E8B16A" w14:textId="77777777" w:rsidR="00B94354" w:rsidRDefault="00B94354">
            <w:pPr>
              <w:rPr>
                <w:sz w:val="20"/>
                <w:szCs w:val="20"/>
              </w:rPr>
            </w:pPr>
          </w:p>
          <w:p w14:paraId="7640D8A8" w14:textId="77777777" w:rsidR="00B94354" w:rsidRDefault="00B94354">
            <w:pPr>
              <w:rPr>
                <w:sz w:val="20"/>
                <w:szCs w:val="20"/>
              </w:rPr>
            </w:pPr>
          </w:p>
          <w:p w14:paraId="0209ABB9" w14:textId="77777777" w:rsidR="00B94354" w:rsidRDefault="00B94354">
            <w:pPr>
              <w:rPr>
                <w:sz w:val="20"/>
                <w:szCs w:val="20"/>
              </w:rPr>
            </w:pPr>
          </w:p>
          <w:p w14:paraId="6B0A8154" w14:textId="77777777" w:rsidR="00B94354" w:rsidRDefault="00B94354">
            <w:pPr>
              <w:rPr>
                <w:sz w:val="20"/>
                <w:szCs w:val="20"/>
              </w:rPr>
            </w:pPr>
          </w:p>
        </w:tc>
        <w:tc>
          <w:tcPr>
            <w:tcW w:w="854" w:type="pct"/>
            <w:tcBorders>
              <w:top w:val="nil"/>
              <w:left w:val="nil"/>
              <w:bottom w:val="nil"/>
              <w:right w:val="nil"/>
            </w:tcBorders>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noWrap/>
            <w:vAlign w:val="bottom"/>
            <w:hideMark/>
          </w:tcPr>
          <w:p w14:paraId="4A00995A" w14:textId="77777777" w:rsidR="00A1602B" w:rsidRDefault="00A1602B">
            <w:pPr>
              <w:rPr>
                <w:sz w:val="20"/>
                <w:szCs w:val="20"/>
              </w:rPr>
            </w:pPr>
          </w:p>
        </w:tc>
      </w:tr>
      <w:tr w:rsidR="00A1602B" w14:paraId="26E43F5C" w14:textId="77777777" w:rsidTr="007E13B9">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7E13B9">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lastRenderedPageBreak/>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7E13B9">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7E13B9">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7E13B9">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15BBA69D" w14:textId="77777777" w:rsidR="007A0DA8" w:rsidRDefault="007A0DA8" w:rsidP="008A5116">
      <w:pPr>
        <w:rPr>
          <w:b/>
        </w:rPr>
      </w:pPr>
    </w:p>
    <w:p w14:paraId="4AA3A874" w14:textId="77777777" w:rsidR="007A0DA8" w:rsidRDefault="007A0DA8" w:rsidP="008A5116">
      <w:pPr>
        <w:rPr>
          <w:b/>
        </w:rPr>
      </w:pPr>
    </w:p>
    <w:p w14:paraId="3726497A" w14:textId="77777777" w:rsidR="007A0DA8" w:rsidRDefault="007A0DA8" w:rsidP="008A5116">
      <w:pPr>
        <w:rPr>
          <w:b/>
        </w:rPr>
      </w:pPr>
    </w:p>
    <w:p w14:paraId="1C5CE1D4" w14:textId="77777777" w:rsidR="007A0DA8" w:rsidRDefault="007A0DA8" w:rsidP="008A5116">
      <w:pPr>
        <w:rPr>
          <w:b/>
        </w:rPr>
      </w:pPr>
    </w:p>
    <w:p w14:paraId="4B4BE6FF" w14:textId="77777777" w:rsidR="007A0DA8" w:rsidRDefault="007A0DA8" w:rsidP="008A5116">
      <w:pPr>
        <w:rPr>
          <w:b/>
        </w:rPr>
      </w:pPr>
    </w:p>
    <w:p w14:paraId="51634C26" w14:textId="77777777" w:rsidR="007A0DA8" w:rsidRDefault="007A0DA8" w:rsidP="008A5116">
      <w:pPr>
        <w:rPr>
          <w:b/>
        </w:rPr>
      </w:pPr>
    </w:p>
    <w:p w14:paraId="1C1530ED" w14:textId="77777777" w:rsidR="007A0DA8" w:rsidRDefault="007A0DA8" w:rsidP="008A5116">
      <w:pPr>
        <w:rPr>
          <w:b/>
        </w:rPr>
      </w:pPr>
    </w:p>
    <w:p w14:paraId="2664B2BF" w14:textId="77777777" w:rsidR="007A0DA8" w:rsidRDefault="007A0DA8" w:rsidP="008A5116">
      <w:pPr>
        <w:rPr>
          <w:b/>
        </w:rPr>
      </w:pPr>
    </w:p>
    <w:p w14:paraId="694054A4" w14:textId="77777777" w:rsidR="007A0DA8" w:rsidRDefault="007A0DA8" w:rsidP="008A5116">
      <w:pPr>
        <w:rPr>
          <w:b/>
        </w:rPr>
      </w:pPr>
    </w:p>
    <w:p w14:paraId="1C8A1EB7" w14:textId="77777777" w:rsidR="0031362B" w:rsidRDefault="0031362B" w:rsidP="008A5116">
      <w:pPr>
        <w:rPr>
          <w:b/>
        </w:rPr>
      </w:pPr>
    </w:p>
    <w:p w14:paraId="3365F21A" w14:textId="77777777" w:rsidR="0031362B" w:rsidRDefault="0031362B" w:rsidP="008A5116">
      <w:pPr>
        <w:rPr>
          <w:b/>
        </w:rPr>
      </w:pPr>
    </w:p>
    <w:p w14:paraId="19E89F6F" w14:textId="77777777" w:rsidR="0031362B" w:rsidRDefault="0031362B" w:rsidP="008A5116">
      <w:pPr>
        <w:rPr>
          <w:b/>
        </w:rPr>
      </w:pPr>
    </w:p>
    <w:p w14:paraId="08985E32" w14:textId="77777777" w:rsidR="0031362B" w:rsidRDefault="0031362B" w:rsidP="008A5116">
      <w:pPr>
        <w:rPr>
          <w:b/>
        </w:rPr>
      </w:pPr>
    </w:p>
    <w:p w14:paraId="5080F7F9" w14:textId="77777777" w:rsidR="0031362B" w:rsidRDefault="0031362B" w:rsidP="008A5116">
      <w:pPr>
        <w:rPr>
          <w:b/>
        </w:rPr>
      </w:pPr>
    </w:p>
    <w:p w14:paraId="23D11EC8" w14:textId="77777777" w:rsidR="0031362B" w:rsidRDefault="0031362B" w:rsidP="008A5116">
      <w:pPr>
        <w:rPr>
          <w:b/>
        </w:rPr>
      </w:pPr>
    </w:p>
    <w:p w14:paraId="37CC41D9" w14:textId="77777777" w:rsidR="0031362B" w:rsidRDefault="0031362B" w:rsidP="008A5116">
      <w:pPr>
        <w:rPr>
          <w:b/>
        </w:rPr>
      </w:pPr>
    </w:p>
    <w:p w14:paraId="4CF834F0" w14:textId="77777777" w:rsidR="0031362B" w:rsidRDefault="0031362B" w:rsidP="008A5116">
      <w:pPr>
        <w:rPr>
          <w:b/>
        </w:rPr>
      </w:pPr>
    </w:p>
    <w:p w14:paraId="342B9E2E" w14:textId="77777777" w:rsidR="0031362B" w:rsidRDefault="0031362B" w:rsidP="008A5116">
      <w:pPr>
        <w:rPr>
          <w:b/>
        </w:rPr>
      </w:pPr>
    </w:p>
    <w:p w14:paraId="6C24BE5B" w14:textId="77777777" w:rsidR="0031362B" w:rsidRDefault="0031362B" w:rsidP="008A5116">
      <w:pPr>
        <w:rPr>
          <w:b/>
        </w:rPr>
      </w:pPr>
    </w:p>
    <w:p w14:paraId="327FC7D0" w14:textId="77777777" w:rsidR="0031362B" w:rsidRDefault="0031362B" w:rsidP="008A5116">
      <w:pPr>
        <w:rPr>
          <w:b/>
        </w:rPr>
      </w:pPr>
    </w:p>
    <w:p w14:paraId="76AF0141" w14:textId="77777777" w:rsidR="0031362B" w:rsidRDefault="0031362B" w:rsidP="008A5116">
      <w:pPr>
        <w:rPr>
          <w:b/>
        </w:rPr>
      </w:pPr>
    </w:p>
    <w:p w14:paraId="58D0A4F2" w14:textId="5754CD1A" w:rsidR="009B6443" w:rsidRDefault="009B6443"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25FC03FF" w:rsidR="009B6443" w:rsidRDefault="00D24217" w:rsidP="00D24217">
            <w:pPr>
              <w:rPr>
                <w:rFonts w:ascii="Calibri" w:hAnsi="Calibri" w:cs="Calibri"/>
                <w:b/>
                <w:bCs/>
                <w:color w:val="000000"/>
                <w:sz w:val="20"/>
                <w:szCs w:val="20"/>
              </w:rPr>
            </w:pPr>
            <w:r w:rsidRPr="00D24217">
              <w:rPr>
                <w:rFonts w:ascii="Calibri" w:hAnsi="Calibri" w:cs="Calibri"/>
                <w:b/>
                <w:bCs/>
                <w:color w:val="000000"/>
                <w:sz w:val="20"/>
                <w:szCs w:val="20"/>
              </w:rPr>
              <w:t>Slovanský ústav</w:t>
            </w:r>
            <w:r>
              <w:rPr>
                <w:rFonts w:ascii="Calibri" w:hAnsi="Calibri" w:cs="Calibri"/>
                <w:b/>
                <w:bCs/>
                <w:color w:val="000000"/>
                <w:sz w:val="20"/>
                <w:szCs w:val="20"/>
              </w:rPr>
              <w:t xml:space="preserve"> </w:t>
            </w:r>
            <w:r w:rsidRPr="00D24217">
              <w:rPr>
                <w:rFonts w:ascii="Calibri" w:hAnsi="Calibri" w:cs="Calibri"/>
                <w:b/>
                <w:bCs/>
                <w:color w:val="000000"/>
                <w:sz w:val="20"/>
                <w:szCs w:val="20"/>
              </w:rPr>
              <w:t>Akademie věd ČR, v. v. i.</w:t>
            </w:r>
          </w:p>
        </w:tc>
        <w:tc>
          <w:tcPr>
            <w:tcW w:w="2552" w:type="dxa"/>
            <w:tcBorders>
              <w:top w:val="nil"/>
              <w:left w:val="nil"/>
              <w:bottom w:val="single" w:sz="4" w:space="0" w:color="auto"/>
              <w:right w:val="single" w:sz="4" w:space="0" w:color="auto"/>
            </w:tcBorders>
            <w:shd w:val="clear" w:color="auto" w:fill="FFFFFF"/>
            <w:vAlign w:val="center"/>
          </w:tcPr>
          <w:p w14:paraId="5BF07565" w14:textId="273C39BD" w:rsidR="009B6443" w:rsidRDefault="00D24217" w:rsidP="009D0DDB">
            <w:pPr>
              <w:ind w:firstLineChars="200" w:firstLine="400"/>
              <w:rPr>
                <w:rFonts w:ascii="Calibri" w:hAnsi="Calibri" w:cs="Calibri"/>
                <w:sz w:val="20"/>
                <w:szCs w:val="20"/>
              </w:rPr>
            </w:pPr>
            <w:r>
              <w:rPr>
                <w:rFonts w:ascii="Calibri" w:hAnsi="Calibri" w:cs="Calibri"/>
                <w:sz w:val="20"/>
                <w:szCs w:val="20"/>
              </w:rPr>
              <w:t>Praha 1</w:t>
            </w:r>
          </w:p>
        </w:tc>
        <w:tc>
          <w:tcPr>
            <w:tcW w:w="2409" w:type="dxa"/>
            <w:tcBorders>
              <w:top w:val="nil"/>
              <w:left w:val="nil"/>
              <w:bottom w:val="single" w:sz="4" w:space="0" w:color="auto"/>
              <w:right w:val="single" w:sz="8" w:space="0" w:color="auto"/>
            </w:tcBorders>
            <w:noWrap/>
            <w:vAlign w:val="center"/>
          </w:tcPr>
          <w:p w14:paraId="32D49A01" w14:textId="6EC29FA4" w:rsidR="009B6443" w:rsidRDefault="00D24217" w:rsidP="009D0DDB">
            <w:pPr>
              <w:rPr>
                <w:rFonts w:ascii="Calibri" w:hAnsi="Calibri" w:cs="Calibri"/>
                <w:color w:val="000000"/>
                <w:sz w:val="20"/>
                <w:szCs w:val="20"/>
              </w:rPr>
            </w:pPr>
            <w:r>
              <w:rPr>
                <w:rFonts w:ascii="Calibri" w:hAnsi="Calibri" w:cs="Calibri"/>
                <w:color w:val="000000"/>
                <w:sz w:val="20"/>
                <w:szCs w:val="20"/>
              </w:rPr>
              <w:t xml:space="preserve">Valentinská </w:t>
            </w:r>
            <w:r w:rsidR="00FF7421">
              <w:rPr>
                <w:rFonts w:ascii="Calibri" w:hAnsi="Calibri" w:cs="Calibri"/>
                <w:color w:val="000000"/>
                <w:sz w:val="20"/>
                <w:szCs w:val="20"/>
              </w:rPr>
              <w:t>91/1</w:t>
            </w:r>
          </w:p>
        </w:tc>
      </w:tr>
    </w:tbl>
    <w:p w14:paraId="59EAFE1A" w14:textId="77777777" w:rsidR="009B6443" w:rsidRDefault="009B6443" w:rsidP="009B6443">
      <w:pPr>
        <w:rPr>
          <w:b/>
        </w:rPr>
      </w:pPr>
    </w:p>
    <w:p w14:paraId="27230450" w14:textId="33EADBFC"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r w:rsidR="00F146E7">
        <w:rPr>
          <w:rFonts w:ascii="Calibri" w:hAnsi="Calibri"/>
          <w:color w:val="000000"/>
          <w:sz w:val="18"/>
          <w:szCs w:val="18"/>
        </w:rPr>
        <w:t>kontaktní osoba</w:t>
      </w:r>
      <w:r w:rsidR="002B12FF">
        <w:rPr>
          <w:rFonts w:ascii="Calibri" w:hAnsi="Calibri"/>
          <w:color w:val="000000"/>
          <w:sz w:val="18"/>
          <w:szCs w:val="18"/>
        </w:rPr>
        <w:t xml:space="preserve"> uvedená ve smlouvě </w:t>
      </w:r>
    </w:p>
    <w:p w14:paraId="6B4D5295" w14:textId="77777777" w:rsidR="009B6443" w:rsidRDefault="009B6443" w:rsidP="008A5116">
      <w:pPr>
        <w:rPr>
          <w:b/>
        </w:rPr>
      </w:pPr>
    </w:p>
    <w:sectPr w:rsidR="009B6443" w:rsidSect="00215A80">
      <w:headerReference w:type="default" r:id="rId8"/>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561C" w14:textId="77777777" w:rsidR="0034740A" w:rsidRDefault="0034740A" w:rsidP="00A1602B">
      <w:r>
        <w:separator/>
      </w:r>
    </w:p>
  </w:endnote>
  <w:endnote w:type="continuationSeparator" w:id="0">
    <w:p w14:paraId="1DF8E138" w14:textId="77777777" w:rsidR="0034740A" w:rsidRDefault="0034740A"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EADC" w14:textId="77777777" w:rsidR="0034740A" w:rsidRDefault="0034740A" w:rsidP="00A1602B">
      <w:r>
        <w:separator/>
      </w:r>
    </w:p>
  </w:footnote>
  <w:footnote w:type="continuationSeparator" w:id="0">
    <w:p w14:paraId="16D24F30" w14:textId="77777777" w:rsidR="0034740A" w:rsidRDefault="0034740A" w:rsidP="00A1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1C2" w14:textId="0C1CEE39" w:rsidR="000468DA" w:rsidRPr="00612128" w:rsidRDefault="00612128">
    <w:pPr>
      <w:pStyle w:val="Zhlav"/>
      <w:rPr>
        <w:i/>
        <w:iCs/>
      </w:rPr>
    </w:pPr>
    <w:r>
      <w:tab/>
    </w:r>
    <w:r>
      <w:tab/>
    </w:r>
    <w:r w:rsidRPr="00612128">
      <w:rPr>
        <w:i/>
        <w:iCs/>
        <w:sz w:val="20"/>
        <w:szCs w:val="20"/>
        <w:lang w:eastAsia="en-US"/>
      </w:rPr>
      <w:t>Výzva 11-2025</w:t>
    </w:r>
    <w:r w:rsidRPr="00612128">
      <w:rPr>
        <w:i/>
        <w:iCs/>
      </w:rPr>
      <w:tab/>
    </w:r>
    <w:r w:rsidRPr="00612128">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707491628">
    <w:abstractNumId w:val="1"/>
  </w:num>
  <w:num w:numId="2" w16cid:durableId="71534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587120">
    <w:abstractNumId w:val="1"/>
  </w:num>
  <w:num w:numId="4" w16cid:durableId="1776290443">
    <w:abstractNumId w:val="1"/>
  </w:num>
  <w:num w:numId="5" w16cid:durableId="278727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68DA"/>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955F2"/>
    <w:rsid w:val="000A1C3E"/>
    <w:rsid w:val="000A3387"/>
    <w:rsid w:val="000A4C0F"/>
    <w:rsid w:val="000A6E83"/>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311A"/>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1D5F"/>
    <w:rsid w:val="00232B81"/>
    <w:rsid w:val="00236DAB"/>
    <w:rsid w:val="00240C6D"/>
    <w:rsid w:val="00242E7F"/>
    <w:rsid w:val="00246783"/>
    <w:rsid w:val="00246AC6"/>
    <w:rsid w:val="00247815"/>
    <w:rsid w:val="00252046"/>
    <w:rsid w:val="0025536D"/>
    <w:rsid w:val="00265854"/>
    <w:rsid w:val="00275CD4"/>
    <w:rsid w:val="0028634E"/>
    <w:rsid w:val="00286FDA"/>
    <w:rsid w:val="00291B83"/>
    <w:rsid w:val="00293654"/>
    <w:rsid w:val="002944B5"/>
    <w:rsid w:val="00295C85"/>
    <w:rsid w:val="00296196"/>
    <w:rsid w:val="0029641C"/>
    <w:rsid w:val="002A56FE"/>
    <w:rsid w:val="002A5F02"/>
    <w:rsid w:val="002A6536"/>
    <w:rsid w:val="002A6F32"/>
    <w:rsid w:val="002A7144"/>
    <w:rsid w:val="002B12FF"/>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362B"/>
    <w:rsid w:val="00316CC8"/>
    <w:rsid w:val="003203D5"/>
    <w:rsid w:val="0032159D"/>
    <w:rsid w:val="003226F9"/>
    <w:rsid w:val="0032313E"/>
    <w:rsid w:val="00324015"/>
    <w:rsid w:val="003257EA"/>
    <w:rsid w:val="0033012D"/>
    <w:rsid w:val="00330437"/>
    <w:rsid w:val="00331982"/>
    <w:rsid w:val="0033228A"/>
    <w:rsid w:val="003322B0"/>
    <w:rsid w:val="00332B9F"/>
    <w:rsid w:val="00332E8A"/>
    <w:rsid w:val="00336A21"/>
    <w:rsid w:val="00337AA8"/>
    <w:rsid w:val="00340F98"/>
    <w:rsid w:val="003438E6"/>
    <w:rsid w:val="003458F0"/>
    <w:rsid w:val="0034740A"/>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B77BE"/>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0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167E"/>
    <w:rsid w:val="004767DE"/>
    <w:rsid w:val="00485A16"/>
    <w:rsid w:val="004877F9"/>
    <w:rsid w:val="00491D73"/>
    <w:rsid w:val="0049396A"/>
    <w:rsid w:val="0049676F"/>
    <w:rsid w:val="00497828"/>
    <w:rsid w:val="004A1D38"/>
    <w:rsid w:val="004B5285"/>
    <w:rsid w:val="004B6EB9"/>
    <w:rsid w:val="004C173B"/>
    <w:rsid w:val="004C23BC"/>
    <w:rsid w:val="004D09D6"/>
    <w:rsid w:val="004D1CCA"/>
    <w:rsid w:val="004D48A5"/>
    <w:rsid w:val="004E00C7"/>
    <w:rsid w:val="004E16E9"/>
    <w:rsid w:val="004E5DFD"/>
    <w:rsid w:val="004F027F"/>
    <w:rsid w:val="004F23CA"/>
    <w:rsid w:val="004F36C9"/>
    <w:rsid w:val="004F3DB6"/>
    <w:rsid w:val="00500435"/>
    <w:rsid w:val="00500501"/>
    <w:rsid w:val="005006C7"/>
    <w:rsid w:val="00501ED9"/>
    <w:rsid w:val="00501F78"/>
    <w:rsid w:val="005042A4"/>
    <w:rsid w:val="00505425"/>
    <w:rsid w:val="005137B2"/>
    <w:rsid w:val="005172F7"/>
    <w:rsid w:val="005178F4"/>
    <w:rsid w:val="00520702"/>
    <w:rsid w:val="00524663"/>
    <w:rsid w:val="005274F5"/>
    <w:rsid w:val="00531E53"/>
    <w:rsid w:val="00535F16"/>
    <w:rsid w:val="00543FFF"/>
    <w:rsid w:val="00544028"/>
    <w:rsid w:val="0054574D"/>
    <w:rsid w:val="00546F14"/>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3EFC"/>
    <w:rsid w:val="005D79AD"/>
    <w:rsid w:val="005E0B69"/>
    <w:rsid w:val="005E1B12"/>
    <w:rsid w:val="005E5674"/>
    <w:rsid w:val="005F5660"/>
    <w:rsid w:val="006000AF"/>
    <w:rsid w:val="00600506"/>
    <w:rsid w:val="00600996"/>
    <w:rsid w:val="0060109E"/>
    <w:rsid w:val="00606027"/>
    <w:rsid w:val="00606876"/>
    <w:rsid w:val="0061040D"/>
    <w:rsid w:val="00612128"/>
    <w:rsid w:val="006135FA"/>
    <w:rsid w:val="00616B2D"/>
    <w:rsid w:val="00617840"/>
    <w:rsid w:val="00621139"/>
    <w:rsid w:val="006218A6"/>
    <w:rsid w:val="0062299B"/>
    <w:rsid w:val="00623DBD"/>
    <w:rsid w:val="00626E8C"/>
    <w:rsid w:val="006400CA"/>
    <w:rsid w:val="00641979"/>
    <w:rsid w:val="00642033"/>
    <w:rsid w:val="0064524C"/>
    <w:rsid w:val="006525D4"/>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A4B93"/>
    <w:rsid w:val="006B28F4"/>
    <w:rsid w:val="006B5CC3"/>
    <w:rsid w:val="006C3BA5"/>
    <w:rsid w:val="006D0EB5"/>
    <w:rsid w:val="006D15C2"/>
    <w:rsid w:val="006D59E8"/>
    <w:rsid w:val="006E029A"/>
    <w:rsid w:val="006E3E0E"/>
    <w:rsid w:val="006F1161"/>
    <w:rsid w:val="006F14B9"/>
    <w:rsid w:val="006F5FC9"/>
    <w:rsid w:val="006F6772"/>
    <w:rsid w:val="006F751A"/>
    <w:rsid w:val="006F7A7D"/>
    <w:rsid w:val="006F7DFF"/>
    <w:rsid w:val="0071232F"/>
    <w:rsid w:val="007205BF"/>
    <w:rsid w:val="00722531"/>
    <w:rsid w:val="00722D6D"/>
    <w:rsid w:val="00722FF2"/>
    <w:rsid w:val="007239D7"/>
    <w:rsid w:val="007267A7"/>
    <w:rsid w:val="00726D50"/>
    <w:rsid w:val="007300D9"/>
    <w:rsid w:val="00730107"/>
    <w:rsid w:val="007357C2"/>
    <w:rsid w:val="00743A31"/>
    <w:rsid w:val="00744255"/>
    <w:rsid w:val="007447E1"/>
    <w:rsid w:val="007503DE"/>
    <w:rsid w:val="00751116"/>
    <w:rsid w:val="00756A40"/>
    <w:rsid w:val="00760D92"/>
    <w:rsid w:val="007635B7"/>
    <w:rsid w:val="00766125"/>
    <w:rsid w:val="0076655B"/>
    <w:rsid w:val="00773C11"/>
    <w:rsid w:val="00773CD0"/>
    <w:rsid w:val="00774281"/>
    <w:rsid w:val="00776D2B"/>
    <w:rsid w:val="00780354"/>
    <w:rsid w:val="007820A3"/>
    <w:rsid w:val="00787EB6"/>
    <w:rsid w:val="00791967"/>
    <w:rsid w:val="007975F2"/>
    <w:rsid w:val="00797BC0"/>
    <w:rsid w:val="007A0DA8"/>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13B9"/>
    <w:rsid w:val="007E32AA"/>
    <w:rsid w:val="007F3302"/>
    <w:rsid w:val="007F3376"/>
    <w:rsid w:val="007F37FD"/>
    <w:rsid w:val="007F6ADB"/>
    <w:rsid w:val="00805003"/>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B709E"/>
    <w:rsid w:val="008C1355"/>
    <w:rsid w:val="008C19D9"/>
    <w:rsid w:val="008C233F"/>
    <w:rsid w:val="008C3C00"/>
    <w:rsid w:val="008D1606"/>
    <w:rsid w:val="008D2D0B"/>
    <w:rsid w:val="008D42CA"/>
    <w:rsid w:val="008D4908"/>
    <w:rsid w:val="008E26F9"/>
    <w:rsid w:val="008E4D82"/>
    <w:rsid w:val="008E62AD"/>
    <w:rsid w:val="008E6AF3"/>
    <w:rsid w:val="008F4300"/>
    <w:rsid w:val="008F6E38"/>
    <w:rsid w:val="00900D84"/>
    <w:rsid w:val="00902194"/>
    <w:rsid w:val="009023C1"/>
    <w:rsid w:val="00910EF7"/>
    <w:rsid w:val="00912ACE"/>
    <w:rsid w:val="0092255F"/>
    <w:rsid w:val="00923166"/>
    <w:rsid w:val="009256C5"/>
    <w:rsid w:val="009273BC"/>
    <w:rsid w:val="00934A99"/>
    <w:rsid w:val="0093575C"/>
    <w:rsid w:val="00935C15"/>
    <w:rsid w:val="00936EE7"/>
    <w:rsid w:val="00937134"/>
    <w:rsid w:val="0094120B"/>
    <w:rsid w:val="009424B7"/>
    <w:rsid w:val="00943C85"/>
    <w:rsid w:val="009454F8"/>
    <w:rsid w:val="0094754A"/>
    <w:rsid w:val="00947863"/>
    <w:rsid w:val="00947DBF"/>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0B8"/>
    <w:rsid w:val="00A15715"/>
    <w:rsid w:val="00A158C4"/>
    <w:rsid w:val="00A1602B"/>
    <w:rsid w:val="00A160E3"/>
    <w:rsid w:val="00A17D9B"/>
    <w:rsid w:val="00A20738"/>
    <w:rsid w:val="00A31C5A"/>
    <w:rsid w:val="00A346A5"/>
    <w:rsid w:val="00A34C09"/>
    <w:rsid w:val="00A3575D"/>
    <w:rsid w:val="00A362DD"/>
    <w:rsid w:val="00A36D2F"/>
    <w:rsid w:val="00A45F24"/>
    <w:rsid w:val="00A51692"/>
    <w:rsid w:val="00A522C5"/>
    <w:rsid w:val="00A53741"/>
    <w:rsid w:val="00A61131"/>
    <w:rsid w:val="00A73369"/>
    <w:rsid w:val="00A737C1"/>
    <w:rsid w:val="00A80C7E"/>
    <w:rsid w:val="00A821F1"/>
    <w:rsid w:val="00A828DB"/>
    <w:rsid w:val="00A903D2"/>
    <w:rsid w:val="00A90F2E"/>
    <w:rsid w:val="00A9218A"/>
    <w:rsid w:val="00A9322F"/>
    <w:rsid w:val="00A963AF"/>
    <w:rsid w:val="00AA27AE"/>
    <w:rsid w:val="00AA5461"/>
    <w:rsid w:val="00AB26BB"/>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7766C"/>
    <w:rsid w:val="00B81722"/>
    <w:rsid w:val="00B81A4B"/>
    <w:rsid w:val="00B81FC7"/>
    <w:rsid w:val="00B83825"/>
    <w:rsid w:val="00B83AC2"/>
    <w:rsid w:val="00B84604"/>
    <w:rsid w:val="00B8532A"/>
    <w:rsid w:val="00B90AAE"/>
    <w:rsid w:val="00B94354"/>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2B9D"/>
    <w:rsid w:val="00C23BC6"/>
    <w:rsid w:val="00C24911"/>
    <w:rsid w:val="00C26FF8"/>
    <w:rsid w:val="00C31013"/>
    <w:rsid w:val="00C352F5"/>
    <w:rsid w:val="00C40292"/>
    <w:rsid w:val="00C402C9"/>
    <w:rsid w:val="00C402DF"/>
    <w:rsid w:val="00C44F16"/>
    <w:rsid w:val="00C473DB"/>
    <w:rsid w:val="00C47C32"/>
    <w:rsid w:val="00C51D0C"/>
    <w:rsid w:val="00C520EE"/>
    <w:rsid w:val="00C56D68"/>
    <w:rsid w:val="00C5716D"/>
    <w:rsid w:val="00C60BF7"/>
    <w:rsid w:val="00C62BFD"/>
    <w:rsid w:val="00C71DD2"/>
    <w:rsid w:val="00C72174"/>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266"/>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217"/>
    <w:rsid w:val="00D24481"/>
    <w:rsid w:val="00D245A3"/>
    <w:rsid w:val="00D25917"/>
    <w:rsid w:val="00D26C1D"/>
    <w:rsid w:val="00D34A55"/>
    <w:rsid w:val="00D36842"/>
    <w:rsid w:val="00D36DAD"/>
    <w:rsid w:val="00D3792F"/>
    <w:rsid w:val="00D427A1"/>
    <w:rsid w:val="00D430A9"/>
    <w:rsid w:val="00D4343D"/>
    <w:rsid w:val="00D43908"/>
    <w:rsid w:val="00D443A2"/>
    <w:rsid w:val="00D44592"/>
    <w:rsid w:val="00D53FD8"/>
    <w:rsid w:val="00D54DE3"/>
    <w:rsid w:val="00D55C99"/>
    <w:rsid w:val="00D561B0"/>
    <w:rsid w:val="00D5641A"/>
    <w:rsid w:val="00D57006"/>
    <w:rsid w:val="00D63223"/>
    <w:rsid w:val="00D72F8D"/>
    <w:rsid w:val="00D7753A"/>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1111"/>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86135"/>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46E7"/>
    <w:rsid w:val="00F15752"/>
    <w:rsid w:val="00F208C4"/>
    <w:rsid w:val="00F335E1"/>
    <w:rsid w:val="00F41AFC"/>
    <w:rsid w:val="00F443B8"/>
    <w:rsid w:val="00F459AC"/>
    <w:rsid w:val="00F465B6"/>
    <w:rsid w:val="00F47F11"/>
    <w:rsid w:val="00F53E64"/>
    <w:rsid w:val="00F55DE2"/>
    <w:rsid w:val="00F56801"/>
    <w:rsid w:val="00F63745"/>
    <w:rsid w:val="00F638BF"/>
    <w:rsid w:val="00F65297"/>
    <w:rsid w:val="00F6561D"/>
    <w:rsid w:val="00F668E4"/>
    <w:rsid w:val="00F67040"/>
    <w:rsid w:val="00F73DF9"/>
    <w:rsid w:val="00F77A39"/>
    <w:rsid w:val="00F8331E"/>
    <w:rsid w:val="00F85222"/>
    <w:rsid w:val="00F8522D"/>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 w:val="00FF74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72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62096297">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17944356">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7093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8</TotalTime>
  <Pages>18</Pages>
  <Words>4832</Words>
  <Characters>28163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Jolana Krotilová</cp:lastModifiedBy>
  <cp:revision>3</cp:revision>
  <cp:lastPrinted>2025-07-23T09:41:00Z</cp:lastPrinted>
  <dcterms:created xsi:type="dcterms:W3CDTF">2025-08-26T14:00:00Z</dcterms:created>
  <dcterms:modified xsi:type="dcterms:W3CDTF">2025-08-26T14:08:00Z</dcterms:modified>
</cp:coreProperties>
</file>