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6" w:type="pct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1656"/>
        <w:gridCol w:w="1188"/>
        <w:gridCol w:w="1417"/>
        <w:gridCol w:w="1554"/>
      </w:tblGrid>
      <w:tr w:rsidR="002F5212" w:rsidRPr="00AD72D6" w14:paraId="6B8FB0B6" w14:textId="77777777" w:rsidTr="009744BF">
        <w:trPr>
          <w:trHeight w:val="52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906D0C" w14:textId="185FB1FE" w:rsidR="00391A88" w:rsidRDefault="00391A88" w:rsidP="005D6AF1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KVANTIFIKACE ÚPRAVY ROZSAHU SLUŽEB KONZULTANTA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 xml:space="preserve"> NA ZÁKLADĚ S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MLOUVY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O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POSKYTOVÁNÍ SLUŽEB SPRÁVCEM STAVBY</w:t>
            </w:r>
          </w:p>
          <w:p w14:paraId="5DC43108" w14:textId="277302B1" w:rsidR="002F5212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(č. </w:t>
            </w:r>
            <w:r w:rsidR="0091539B" w:rsidRPr="0091539B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S/ŘVC/167/R/</w:t>
            </w:r>
            <w:proofErr w:type="spellStart"/>
            <w:r w:rsidR="0091539B" w:rsidRPr="0091539B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PřS</w:t>
            </w:r>
            <w:proofErr w:type="spellEnd"/>
            <w:r w:rsidR="0091539B" w:rsidRPr="0091539B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/2022</w:t>
            </w: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;</w:t>
            </w:r>
            <w:r w:rsidR="00CD183B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r w:rsidR="0091539B" w:rsidRPr="0091539B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S/KCB/2023/101</w:t>
            </w: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)</w:t>
            </w:r>
          </w:p>
          <w:p w14:paraId="54D6BC3B" w14:textId="739B3563" w:rsidR="005D3246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ZMĚNA PŘÍLOHY 1: ROZSAH SLUŽEB</w:t>
            </w:r>
            <w:r w:rsidR="00C66F5C"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(Tabulka v </w:t>
            </w:r>
            <w:r w:rsidR="0091539B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čl</w:t>
            </w:r>
            <w:r w:rsidR="00C66F5C"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. 3)</w:t>
            </w:r>
          </w:p>
          <w:p w14:paraId="77B4BBA5" w14:textId="6D8F532E" w:rsidR="005D3246" w:rsidRPr="00134993" w:rsidRDefault="006147C2" w:rsidP="00D61DBF">
            <w:pPr>
              <w:spacing w:before="120" w:after="120" w:line="22" w:lineRule="atLeast"/>
              <w:jc w:val="center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,,</w:t>
            </w:r>
            <w:r w:rsidR="0091539B" w:rsidRPr="0091539B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Rekreační přístav Kamýk nad Vltavou – Správce stavby</w:t>
            </w: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‘‘</w:t>
            </w:r>
          </w:p>
        </w:tc>
      </w:tr>
      <w:tr w:rsidR="002F5212" w:rsidRPr="00AD72D6" w14:paraId="59DB71A7" w14:textId="77777777" w:rsidTr="009744BF">
        <w:trPr>
          <w:trHeight w:val="32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88D90" w14:textId="77777777" w:rsidR="002F5212" w:rsidRPr="00AD72D6" w:rsidRDefault="002F5212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</w:p>
        </w:tc>
      </w:tr>
      <w:tr w:rsidR="00A310A3" w:rsidRPr="00AD72D6" w14:paraId="6BD0167E" w14:textId="77777777" w:rsidTr="0093596B">
        <w:trPr>
          <w:trHeight w:val="214"/>
        </w:trPr>
        <w:tc>
          <w:tcPr>
            <w:tcW w:w="21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81768F" w14:textId="2B49C0F6" w:rsidR="00D6246C" w:rsidRPr="00276EC7" w:rsidRDefault="00D6246C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46188527"/>
            <w:bookmarkStart w:id="1" w:name="_Hlk63250464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AE43D6" w14:textId="5520E481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06D3431" w14:textId="653163FB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87838A1" w14:textId="0B54955A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77E6C993" w14:textId="45286B85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AD72D6" w14:paraId="1EFC6E51" w14:textId="77777777" w:rsidTr="0093596B">
        <w:trPr>
          <w:trHeight w:val="547"/>
        </w:trPr>
        <w:tc>
          <w:tcPr>
            <w:tcW w:w="215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70E348D" w14:textId="77777777" w:rsidR="00D61DBF" w:rsidRPr="00276EC7" w:rsidRDefault="00D61DBF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702F756" w14:textId="77D944CD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27D79096" w14:textId="450C7E42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tcBorders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13D28504" w14:textId="3B597373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E45989D" w14:textId="699CA38B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AD72D6" w14:paraId="5A26FEC6" w14:textId="77777777" w:rsidTr="0093596B">
        <w:trPr>
          <w:trHeight w:val="270"/>
        </w:trPr>
        <w:tc>
          <w:tcPr>
            <w:tcW w:w="215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E52AB6A" w14:textId="77777777" w:rsidR="00D61DBF" w:rsidRPr="00276EC7" w:rsidRDefault="00D61DBF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486B881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F611325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6A282398" w14:textId="7E3065EC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20EA5E0E" w14:textId="0E54E332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bookmarkEnd w:id="0"/>
      <w:tr w:rsidR="00AD72D6" w:rsidRPr="00AD72D6" w14:paraId="3CDB85E9" w14:textId="77777777" w:rsidTr="00745A64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4373644C" w14:textId="539489AB" w:rsidR="00AD72D6" w:rsidRPr="00276EC7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Přípravná etapa (</w:t>
            </w:r>
            <w:proofErr w:type="gramStart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– C</w:t>
            </w:r>
            <w:proofErr w:type="gramEnd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AD72D6" w:rsidRPr="00AD72D6" w14:paraId="260CF402" w14:textId="77777777" w:rsidTr="00745A64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CAD0E5D" w14:textId="139220B6" w:rsidR="00AD72D6" w:rsidRPr="0091539B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A </w:t>
            </w:r>
            <w:r w:rsidR="0032497C"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>R</w:t>
            </w:r>
            <w:r w:rsidRPr="0091539B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evize projektové dokumentace ve stupni DSP – </w:t>
            </w:r>
            <w:r w:rsidRPr="0091539B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 xml:space="preserve">Běžné služby </w:t>
            </w:r>
          </w:p>
        </w:tc>
      </w:tr>
      <w:bookmarkEnd w:id="1"/>
      <w:tr w:rsidR="0091539B" w:rsidRPr="00AD72D6" w14:paraId="4CF5E8C1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59F9AB9E" w14:textId="2CDEB4AC" w:rsidR="0091539B" w:rsidRPr="0091539B" w:rsidRDefault="0091539B" w:rsidP="00A310A3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91539B">
              <w:rPr>
                <w:rFonts w:ascii="Calibri" w:eastAsia="Times New Roman" w:hAnsi="Calibri" w:cs="Calibri"/>
                <w:lang w:eastAsia="cs-CZ"/>
              </w:rPr>
              <w:t>Poskytování služeb při revizi projektové dokumentace ve stupni DSP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A39C3C2" w14:textId="726B4762" w:rsidR="0091539B" w:rsidRPr="0091539B" w:rsidRDefault="0091539B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91539B">
              <w:rPr>
                <w:rFonts w:ascii="Calibri" w:eastAsia="Times New Roman" w:hAnsi="Calibri" w:cs="Calibri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517D0E0" w14:textId="77777777" w:rsidR="0091539B" w:rsidRPr="0091539B" w:rsidRDefault="0091539B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1539B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DB514B1" w14:textId="2AC4E3AD" w:rsidR="0091539B" w:rsidRPr="0091539B" w:rsidRDefault="00794E07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16E792C2" w14:textId="6FF76D83" w:rsidR="0091539B" w:rsidRPr="0091539B" w:rsidRDefault="00794E07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3D72E143" w14:textId="77777777" w:rsidTr="00745A64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0EF0A82" w14:textId="4ED761E6" w:rsidR="00A4609C" w:rsidRPr="00375994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A </w:t>
            </w:r>
            <w:r w:rsidR="0032497C"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>R</w:t>
            </w:r>
            <w:r w:rsidRPr="0091539B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evize projektové dokumentace ve stupni DSP – </w:t>
            </w:r>
            <w:r w:rsidRPr="0091539B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 věcně</w:t>
            </w:r>
          </w:p>
        </w:tc>
      </w:tr>
      <w:tr w:rsidR="0091539B" w:rsidRPr="00AD72D6" w14:paraId="1AA22C5E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B389E7A" w14:textId="77777777" w:rsidR="0091539B" w:rsidRPr="00276EC7" w:rsidRDefault="0091539B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91539B">
              <w:rPr>
                <w:rFonts w:ascii="Calibri" w:eastAsia="Times New Roman" w:hAnsi="Calibri" w:cs="Calibri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24B80A" w14:textId="29BB9C36" w:rsidR="0091539B" w:rsidRPr="00276EC7" w:rsidRDefault="0091539B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9B52C15" w14:textId="46777D9A" w:rsidR="0091539B" w:rsidRPr="00276EC7" w:rsidRDefault="0091539B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668C9F2" w14:textId="10A85049" w:rsidR="0091539B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7D17F1BF" w14:textId="12D92B91" w:rsidR="0091539B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66EACCC2" w14:textId="77777777" w:rsidTr="00745A64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A8CCEEA" w14:textId="37D3A40C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B </w:t>
            </w:r>
            <w:r w:rsidR="0032497C"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>R</w:t>
            </w:r>
            <w:r w:rsidRPr="00276EC7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evize projektové dokumentace ve stupni DPS – </w:t>
            </w:r>
            <w:r w:rsidRPr="00276EC7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Běžné služby</w:t>
            </w:r>
          </w:p>
        </w:tc>
      </w:tr>
      <w:tr w:rsidR="00A310A3" w:rsidRPr="00AD72D6" w14:paraId="04108600" w14:textId="77777777" w:rsidTr="007E2943">
        <w:trPr>
          <w:trHeight w:val="964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8" w:space="0" w:color="000000"/>
            </w:tcBorders>
            <w:vAlign w:val="center"/>
          </w:tcPr>
          <w:p w14:paraId="58BE21F1" w14:textId="28FB81DF" w:rsidR="00A4609C" w:rsidRPr="00276EC7" w:rsidRDefault="007D2CC3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7D2CC3">
              <w:rPr>
                <w:rFonts w:ascii="Calibri" w:eastAsia="Times New Roman" w:hAnsi="Calibri" w:cs="Calibri"/>
                <w:lang w:eastAsia="cs-CZ"/>
              </w:rPr>
              <w:t>Poskytování služeb při revizi projektové dokumentace ve stupni Dok. pro provádění stavby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vAlign w:val="center"/>
          </w:tcPr>
          <w:p w14:paraId="1128F0DF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vAlign w:val="center"/>
          </w:tcPr>
          <w:p w14:paraId="6AAD5813" w14:textId="77777777" w:rsidR="00A4609C" w:rsidRPr="00276EC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92D050"/>
            <w:vAlign w:val="center"/>
          </w:tcPr>
          <w:p w14:paraId="1718D288" w14:textId="1BF0B636" w:rsidR="00A4609C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bottom w:val="single" w:sz="24" w:space="0" w:color="FF0000"/>
              <w:right w:val="single" w:sz="12" w:space="0" w:color="auto"/>
            </w:tcBorders>
            <w:vAlign w:val="center"/>
          </w:tcPr>
          <w:p w14:paraId="2E516806" w14:textId="1008B83A" w:rsidR="00A4609C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2E88DEC1" w14:textId="77777777" w:rsidTr="007E2943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auto"/>
              <w:right w:val="single" w:sz="24" w:space="0" w:color="FF0000"/>
            </w:tcBorders>
            <w:shd w:val="clear" w:color="auto" w:fill="FFC000"/>
            <w:vAlign w:val="center"/>
          </w:tcPr>
          <w:p w14:paraId="08F15CFC" w14:textId="16C39FA6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B </w:t>
            </w:r>
            <w:r w:rsidR="0032497C" w:rsidRPr="003E752E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– </w:t>
            </w:r>
            <w:r w:rsidR="007D2CC3" w:rsidRPr="007D2CC3">
              <w:rPr>
                <w:rFonts w:ascii="Calibri" w:eastAsia="Times New Roman" w:hAnsi="Calibri" w:cs="Calibri"/>
                <w:bCs/>
                <w:i/>
                <w:lang w:eastAsia="cs-CZ"/>
              </w:rPr>
              <w:t>Revize projektové dokumentace ve stupni Dokumentace pro provádění stavby</w:t>
            </w:r>
            <w:r w:rsidRPr="00276EC7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– </w:t>
            </w:r>
            <w:r w:rsidRPr="00276EC7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 xml:space="preserve">Dodatečné služby </w:t>
            </w:r>
          </w:p>
        </w:tc>
      </w:tr>
      <w:tr w:rsidR="0091539B" w:rsidRPr="00AD72D6" w14:paraId="42254B07" w14:textId="77777777" w:rsidTr="007E2943">
        <w:trPr>
          <w:trHeight w:val="340"/>
        </w:trPr>
        <w:tc>
          <w:tcPr>
            <w:tcW w:w="2152" w:type="pct"/>
            <w:vMerge w:val="restart"/>
            <w:tcBorders>
              <w:top w:val="single" w:sz="12" w:space="0" w:color="auto"/>
              <w:left w:val="single" w:sz="24" w:space="0" w:color="FF0000"/>
              <w:right w:val="single" w:sz="8" w:space="0" w:color="000000"/>
            </w:tcBorders>
            <w:vAlign w:val="center"/>
          </w:tcPr>
          <w:p w14:paraId="53D65639" w14:textId="77777777" w:rsidR="0091539B" w:rsidRPr="00276EC7" w:rsidRDefault="0091539B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0B6A6D1" w14:textId="6F87E151" w:rsidR="0091539B" w:rsidRPr="00276EC7" w:rsidRDefault="0091539B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A2A7F29" w14:textId="477D7F32" w:rsidR="0091539B" w:rsidRPr="00276EC7" w:rsidRDefault="0091539B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  <w:r w:rsidRPr="00276EC7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B5D1C91" w14:textId="561F17C5" w:rsidR="0091539B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vMerge w:val="restart"/>
            <w:tcBorders>
              <w:top w:val="single" w:sz="12" w:space="0" w:color="auto"/>
              <w:left w:val="single" w:sz="8" w:space="0" w:color="000000"/>
              <w:right w:val="single" w:sz="24" w:space="0" w:color="FF0000"/>
            </w:tcBorders>
            <w:vAlign w:val="center"/>
          </w:tcPr>
          <w:p w14:paraId="2E1DA3E5" w14:textId="5627B487" w:rsidR="0091539B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91539B" w:rsidRPr="00AD72D6" w14:paraId="3D58B472" w14:textId="77777777" w:rsidTr="007E2943">
        <w:trPr>
          <w:trHeight w:val="51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000000"/>
            </w:tcBorders>
            <w:vAlign w:val="center"/>
          </w:tcPr>
          <w:p w14:paraId="433FD95D" w14:textId="77777777" w:rsidR="0091539B" w:rsidRPr="00276EC7" w:rsidRDefault="0091539B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1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828BF9" w14:textId="65A14FBE" w:rsidR="0091539B" w:rsidRPr="00276EC7" w:rsidRDefault="0091539B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30BB4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2407200" w14:textId="77777777" w:rsidR="0091539B" w:rsidRPr="00276EC7" w:rsidRDefault="0091539B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4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3D6239B9" w14:textId="77777777" w:rsidR="0091539B" w:rsidRPr="00276EC7" w:rsidRDefault="0091539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auto"/>
              <w:right w:val="single" w:sz="24" w:space="0" w:color="FF0000"/>
            </w:tcBorders>
            <w:vAlign w:val="center"/>
          </w:tcPr>
          <w:p w14:paraId="7C4D523C" w14:textId="77777777" w:rsidR="0091539B" w:rsidRPr="00276EC7" w:rsidRDefault="0091539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91539B" w:rsidRPr="00AD72D6" w14:paraId="401DA981" w14:textId="77777777" w:rsidTr="007E2943">
        <w:trPr>
          <w:trHeight w:val="34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000000"/>
            </w:tcBorders>
            <w:vAlign w:val="center"/>
          </w:tcPr>
          <w:p w14:paraId="1FE659DA" w14:textId="77777777" w:rsidR="0091539B" w:rsidRPr="00276EC7" w:rsidRDefault="0091539B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311D131" w14:textId="2C872FDF" w:rsidR="0091539B" w:rsidRPr="00521BFC" w:rsidRDefault="0091539B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21BFC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D932C34" w14:textId="6B5FA891" w:rsidR="0091539B" w:rsidRPr="009744BF" w:rsidRDefault="009744BF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b/>
                <w:bCs/>
                <w:lang w:eastAsia="cs-CZ"/>
              </w:rPr>
              <w:t>85</w:t>
            </w:r>
          </w:p>
        </w:tc>
        <w:tc>
          <w:tcPr>
            <w:tcW w:w="694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521393D7" w14:textId="4208E919" w:rsidR="0091539B" w:rsidRPr="00521BFC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541B8DD9" w14:textId="50CFE90E" w:rsidR="0091539B" w:rsidRPr="009744BF" w:rsidRDefault="00E221F3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xxx</w:t>
            </w:r>
            <w:proofErr w:type="spellEnd"/>
          </w:p>
        </w:tc>
      </w:tr>
      <w:tr w:rsidR="0091539B" w:rsidRPr="00AD72D6" w14:paraId="6F24B93A" w14:textId="77777777" w:rsidTr="007E2943">
        <w:trPr>
          <w:trHeight w:val="51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000000"/>
            </w:tcBorders>
            <w:vAlign w:val="center"/>
          </w:tcPr>
          <w:p w14:paraId="27AF7404" w14:textId="77777777" w:rsidR="0091539B" w:rsidRPr="00276EC7" w:rsidRDefault="0091539B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1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10276DA" w14:textId="1752633B" w:rsidR="0091539B" w:rsidRPr="00276EC7" w:rsidRDefault="0091539B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30BB4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69641EB" w14:textId="77777777" w:rsidR="0091539B" w:rsidRPr="00276EC7" w:rsidRDefault="0091539B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4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D6B9B1A" w14:textId="77777777" w:rsidR="0091539B" w:rsidRPr="00276EC7" w:rsidRDefault="0091539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542A2044" w14:textId="77777777" w:rsidR="0091539B" w:rsidRPr="00276EC7" w:rsidRDefault="0091539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91539B" w:rsidRPr="00AD72D6" w14:paraId="726490B4" w14:textId="77777777" w:rsidTr="007E2943">
        <w:trPr>
          <w:trHeight w:val="34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000000"/>
            </w:tcBorders>
            <w:vAlign w:val="center"/>
          </w:tcPr>
          <w:p w14:paraId="701DDCCB" w14:textId="77777777" w:rsidR="0091539B" w:rsidRPr="00276EC7" w:rsidRDefault="0091539B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4AC4418" w14:textId="59444C29" w:rsidR="0091539B" w:rsidRPr="00521BFC" w:rsidRDefault="0091539B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21BFC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FBD195F" w14:textId="34673FAD" w:rsidR="0091539B" w:rsidRPr="009744BF" w:rsidRDefault="009744BF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105</w:t>
            </w:r>
          </w:p>
        </w:tc>
        <w:tc>
          <w:tcPr>
            <w:tcW w:w="694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34832462" w14:textId="14053A77" w:rsidR="0091539B" w:rsidRPr="00521BFC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000000"/>
              <w:right w:val="single" w:sz="24" w:space="0" w:color="FF0000"/>
            </w:tcBorders>
            <w:shd w:val="clear" w:color="auto" w:fill="FFF2CC" w:themeFill="accent4" w:themeFillTint="33"/>
            <w:vAlign w:val="center"/>
          </w:tcPr>
          <w:p w14:paraId="26179965" w14:textId="6C92C867" w:rsidR="0091539B" w:rsidRPr="009744BF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xxx</w:t>
            </w:r>
            <w:proofErr w:type="spellEnd"/>
          </w:p>
        </w:tc>
      </w:tr>
      <w:tr w:rsidR="0091539B" w:rsidRPr="00AD72D6" w14:paraId="297E2335" w14:textId="77777777" w:rsidTr="007E2943">
        <w:trPr>
          <w:trHeight w:val="510"/>
        </w:trPr>
        <w:tc>
          <w:tcPr>
            <w:tcW w:w="2152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vAlign w:val="center"/>
          </w:tcPr>
          <w:p w14:paraId="457EEC7B" w14:textId="77777777" w:rsidR="0091539B" w:rsidRPr="00276EC7" w:rsidRDefault="0091539B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11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1430187" w14:textId="467DA470" w:rsidR="0091539B" w:rsidRPr="0091539B" w:rsidRDefault="0091539B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30BB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729E5F86" w14:textId="77777777" w:rsidR="0091539B" w:rsidRPr="00276EC7" w:rsidRDefault="0091539B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4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0C37C75" w14:textId="77777777" w:rsidR="0091539B" w:rsidRPr="00276EC7" w:rsidRDefault="0091539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  <w:vAlign w:val="center"/>
          </w:tcPr>
          <w:p w14:paraId="268A7A2F" w14:textId="77777777" w:rsidR="0091539B" w:rsidRPr="00276EC7" w:rsidRDefault="0091539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6C1570B8" w14:textId="77777777" w:rsidTr="007E2943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12" w:space="0" w:color="auto"/>
              <w:bottom w:val="single" w:sz="12" w:space="0" w:color="FF0000"/>
              <w:right w:val="single" w:sz="12" w:space="0" w:color="auto"/>
            </w:tcBorders>
            <w:shd w:val="clear" w:color="auto" w:fill="FFC000"/>
            <w:vAlign w:val="center"/>
          </w:tcPr>
          <w:p w14:paraId="2BBC2648" w14:textId="0EE87594" w:rsidR="00A4609C" w:rsidRPr="009744BF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C </w:t>
            </w:r>
            <w:r w:rsidR="0032497C"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– </w:t>
            </w:r>
            <w:r w:rsidRPr="009744BF">
              <w:rPr>
                <w:rFonts w:ascii="Calibri" w:eastAsia="Times New Roman" w:hAnsi="Calibri" w:cs="Calibri"/>
                <w:i/>
                <w:lang w:eastAsia="cs-CZ"/>
              </w:rPr>
              <w:t xml:space="preserve">Revize kompletní dokumentace a dokladů pro realizaci stavby – </w:t>
            </w:r>
            <w:r w:rsidRPr="009744BF">
              <w:rPr>
                <w:rFonts w:ascii="Calibri" w:eastAsia="Times New Roman" w:hAnsi="Calibri" w:cs="Calibri"/>
                <w:b/>
                <w:i/>
                <w:lang w:eastAsia="cs-CZ"/>
              </w:rPr>
              <w:t>Běžné služby</w:t>
            </w:r>
          </w:p>
        </w:tc>
      </w:tr>
      <w:tr w:rsidR="00745A64" w:rsidRPr="00AD72D6" w14:paraId="6E456EE3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D923783" w14:textId="77777777" w:rsidR="00745A64" w:rsidRPr="009744BF" w:rsidRDefault="00745A64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84906" w14:textId="76F669C9" w:rsidR="00745A64" w:rsidRPr="009744BF" w:rsidRDefault="00745A6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63A01" w14:textId="77777777" w:rsidR="00745A64" w:rsidRPr="009744BF" w:rsidRDefault="00745A64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bCs/>
                <w:iCs/>
                <w:lang w:eastAsia="cs-CZ"/>
              </w:rPr>
              <w:t>1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3AC1580" w14:textId="33C5FBC1" w:rsidR="00745A64" w:rsidRPr="009744BF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1BC1A0E0" w14:textId="387FDDBB" w:rsidR="00745A64" w:rsidRPr="009744BF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5F471B63" w14:textId="77777777" w:rsidTr="00A471C5">
        <w:trPr>
          <w:trHeight w:val="68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8BBFF89" w14:textId="06F3762D" w:rsidR="00A4609C" w:rsidRPr="009744BF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C </w:t>
            </w:r>
            <w:r w:rsidR="0032497C"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– </w:t>
            </w:r>
            <w:r w:rsidRPr="009744BF">
              <w:rPr>
                <w:rFonts w:ascii="Calibri" w:eastAsia="Times New Roman" w:hAnsi="Calibri" w:cs="Calibri"/>
                <w:i/>
                <w:lang w:eastAsia="cs-CZ"/>
              </w:rPr>
              <w:t xml:space="preserve">Revize kompletní dokumentace a dokladů pro realizaci stavby – </w:t>
            </w:r>
            <w:r w:rsidRPr="009744BF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 věcně odpovídající Běžným</w:t>
            </w:r>
            <w:r w:rsidR="00A471C5">
              <w:rPr>
                <w:rFonts w:ascii="Calibri" w:eastAsia="Times New Roman" w:hAnsi="Calibri" w:cs="Calibri"/>
                <w:b/>
                <w:i/>
                <w:lang w:eastAsia="cs-CZ"/>
              </w:rPr>
              <w:t> </w:t>
            </w:r>
            <w:r w:rsidRPr="009744BF">
              <w:rPr>
                <w:rFonts w:ascii="Calibri" w:eastAsia="Times New Roman" w:hAnsi="Calibri" w:cs="Calibri"/>
                <w:b/>
                <w:i/>
                <w:lang w:eastAsia="cs-CZ"/>
              </w:rPr>
              <w:t>službám</w:t>
            </w:r>
          </w:p>
        </w:tc>
      </w:tr>
      <w:tr w:rsidR="00745A64" w:rsidRPr="00AD72D6" w14:paraId="570A25A3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27F1B" w14:textId="77777777" w:rsidR="00745A64" w:rsidRPr="00276EC7" w:rsidRDefault="00745A6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302F5FF" w14:textId="77256281" w:rsidR="00745A64" w:rsidRPr="00276EC7" w:rsidRDefault="00745A6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3DA2E" w14:textId="4BA07CDC" w:rsidR="00745A64" w:rsidRPr="00276EC7" w:rsidRDefault="00745A6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FF5E66F" w14:textId="582E638E" w:rsidR="00745A64" w:rsidRPr="00276EC7" w:rsidRDefault="00794E07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7962B5A" w14:textId="4B41D159" w:rsidR="00745A64" w:rsidRPr="00276EC7" w:rsidRDefault="00794E07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9744BF" w:rsidRPr="00276EC7" w14:paraId="4BFAF99F" w14:textId="77777777" w:rsidTr="007E2943">
        <w:trPr>
          <w:trHeight w:val="924"/>
        </w:trPr>
        <w:tc>
          <w:tcPr>
            <w:tcW w:w="2152" w:type="pct"/>
            <w:tcBorders>
              <w:top w:val="single" w:sz="12" w:space="0" w:color="auto"/>
            </w:tcBorders>
            <w:vAlign w:val="center"/>
          </w:tcPr>
          <w:p w14:paraId="73E4D575" w14:textId="77777777" w:rsidR="009744BF" w:rsidRPr="00276EC7" w:rsidRDefault="009744BF" w:rsidP="0097304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top w:val="single" w:sz="12" w:space="0" w:color="auto"/>
            </w:tcBorders>
            <w:noWrap/>
            <w:vAlign w:val="center"/>
          </w:tcPr>
          <w:p w14:paraId="2CDDEA4F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81" w:type="pct"/>
            <w:tcBorders>
              <w:top w:val="single" w:sz="12" w:space="0" w:color="auto"/>
            </w:tcBorders>
            <w:noWrap/>
            <w:vAlign w:val="center"/>
          </w:tcPr>
          <w:p w14:paraId="58729577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694" w:type="pct"/>
            <w:tcBorders>
              <w:top w:val="single" w:sz="12" w:space="0" w:color="auto"/>
            </w:tcBorders>
            <w:vAlign w:val="center"/>
          </w:tcPr>
          <w:p w14:paraId="3EDCDBFC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761" w:type="pct"/>
            <w:tcBorders>
              <w:top w:val="single" w:sz="12" w:space="0" w:color="auto"/>
            </w:tcBorders>
            <w:noWrap/>
            <w:vAlign w:val="center"/>
          </w:tcPr>
          <w:p w14:paraId="39F01FA6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471C5" w:rsidRPr="00276EC7" w14:paraId="19EECB31" w14:textId="77777777" w:rsidTr="00AF793C">
        <w:trPr>
          <w:trHeight w:val="214"/>
        </w:trPr>
        <w:tc>
          <w:tcPr>
            <w:tcW w:w="21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B37083" w14:textId="77777777" w:rsidR="009744BF" w:rsidRPr="00276EC7" w:rsidRDefault="009744BF" w:rsidP="0097304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F01028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0A89BB5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F6A4C0A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3BF3FAF1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471C5" w:rsidRPr="00276EC7" w14:paraId="15F846EC" w14:textId="77777777" w:rsidTr="00AF793C">
        <w:trPr>
          <w:trHeight w:val="547"/>
        </w:trPr>
        <w:tc>
          <w:tcPr>
            <w:tcW w:w="215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8F5CFE5" w14:textId="77777777" w:rsidR="009744BF" w:rsidRPr="00276EC7" w:rsidRDefault="009744BF" w:rsidP="0097304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9356DC5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61C0CF7E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tcBorders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CE50611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3926863B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471C5" w:rsidRPr="00276EC7" w14:paraId="248903A0" w14:textId="77777777" w:rsidTr="00AF793C">
        <w:trPr>
          <w:trHeight w:val="270"/>
        </w:trPr>
        <w:tc>
          <w:tcPr>
            <w:tcW w:w="215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0C59C21" w14:textId="77777777" w:rsidR="009744BF" w:rsidRPr="00276EC7" w:rsidRDefault="009744BF" w:rsidP="0097304D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8039A5E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6D45F611" w14:textId="77777777" w:rsidR="009744BF" w:rsidRPr="00276EC7" w:rsidRDefault="009744BF" w:rsidP="0097304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2FFDD5ED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3804A05E" w14:textId="77777777" w:rsidR="009744BF" w:rsidRPr="00276EC7" w:rsidRDefault="009744BF" w:rsidP="0097304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71BBE81D" w14:textId="77777777" w:rsidTr="00745A64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52C77D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Etapa zadávacího řízení na Zhotovitele </w:t>
            </w:r>
            <w:proofErr w:type="gramStart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Díla  (D – G</w:t>
            </w:r>
            <w:proofErr w:type="gramEnd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A4609C" w:rsidRPr="00AD72D6" w14:paraId="21884DB8" w14:textId="77777777" w:rsidTr="00745A64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FF0000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0C49B58" w14:textId="77777777" w:rsidR="00A4609C" w:rsidRPr="009744BF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>D, E, F a G –</w:t>
            </w:r>
            <w:r w:rsidRPr="009744BF">
              <w:rPr>
                <w:rFonts w:ascii="Calibri" w:eastAsia="Times New Roman" w:hAnsi="Calibri" w:cs="Calibri"/>
                <w:i/>
                <w:lang w:eastAsia="cs-CZ"/>
              </w:rPr>
              <w:t xml:space="preserve"> Poradenské a konzultační služby a další činnosti – </w:t>
            </w:r>
            <w:r w:rsidRPr="009744BF">
              <w:rPr>
                <w:rFonts w:ascii="Calibri" w:eastAsia="Times New Roman" w:hAnsi="Calibri" w:cs="Calibri"/>
                <w:b/>
                <w:i/>
                <w:lang w:eastAsia="cs-CZ"/>
              </w:rPr>
              <w:t>Běžné služby</w:t>
            </w:r>
          </w:p>
        </w:tc>
      </w:tr>
      <w:tr w:rsidR="009744BF" w:rsidRPr="00AD72D6" w14:paraId="29D7E4AE" w14:textId="77777777" w:rsidTr="0093596B">
        <w:trPr>
          <w:trHeight w:val="1191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1A6204" w14:textId="0573D68C" w:rsidR="009744BF" w:rsidRPr="003E752E" w:rsidRDefault="009744BF" w:rsidP="000F29AF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lang w:eastAsia="cs-CZ"/>
              </w:rPr>
              <w:t xml:space="preserve">D </w:t>
            </w:r>
            <w:r w:rsidR="000F29AF" w:rsidRPr="003E752E">
              <w:rPr>
                <w:rFonts w:cstheme="minorHAnsi"/>
                <w:i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lang w:eastAsia="cs-CZ"/>
              </w:rPr>
              <w:t>Poradenské a konzultační služby při přípravě odpovědí Objednatele na žádosti o</w:t>
            </w:r>
            <w:r w:rsidR="000F29AF" w:rsidRPr="003E752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E752E">
              <w:rPr>
                <w:rFonts w:ascii="Calibri" w:eastAsia="Times New Roman" w:hAnsi="Calibri" w:cs="Calibri"/>
                <w:lang w:eastAsia="cs-CZ"/>
              </w:rPr>
              <w:t>dodatečné informace účastníků zadávacího řízení na Zhotovitele Díla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02EE295" w14:textId="4FA20E2C" w:rsidR="009744BF" w:rsidRPr="009744BF" w:rsidRDefault="009744BF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B751A3" w14:textId="331E5A54" w:rsidR="009744BF" w:rsidRPr="009744BF" w:rsidRDefault="00C04312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30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0C39614" w14:textId="0FF69263" w:rsidR="009744BF" w:rsidRPr="009744BF" w:rsidRDefault="00E221F3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61827E" w14:textId="1865F69A" w:rsidR="009744BF" w:rsidRPr="009744BF" w:rsidRDefault="00E221F3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9744BF" w:rsidRPr="00AD72D6" w14:paraId="47B8F1AC" w14:textId="77777777" w:rsidTr="0093596B">
        <w:trPr>
          <w:trHeight w:val="907"/>
        </w:trPr>
        <w:tc>
          <w:tcPr>
            <w:tcW w:w="21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6CB6EF" w14:textId="6E208525" w:rsidR="009744BF" w:rsidRPr="003E752E" w:rsidRDefault="009744BF" w:rsidP="000F29AF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lang w:eastAsia="cs-CZ"/>
              </w:rPr>
              <w:t xml:space="preserve">E </w:t>
            </w:r>
            <w:r w:rsidR="000F29AF" w:rsidRPr="003E752E">
              <w:rPr>
                <w:rFonts w:cstheme="minorHAnsi"/>
                <w:i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lang w:eastAsia="cs-CZ"/>
              </w:rPr>
              <w:t>Poradenské a konzultační služby při posouzení kvalifikace a hodnocení nabídek v</w:t>
            </w:r>
            <w:r w:rsidR="000F29AF" w:rsidRPr="003E752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E752E">
              <w:rPr>
                <w:rFonts w:ascii="Calibri" w:eastAsia="Times New Roman" w:hAnsi="Calibri" w:cs="Calibri"/>
                <w:lang w:eastAsia="cs-CZ"/>
              </w:rPr>
              <w:t>rámci zadávacího řízení na Zhotovitele Díla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7B2D2DB" w14:textId="696D1EEA" w:rsidR="009744BF" w:rsidRPr="009744BF" w:rsidRDefault="009744BF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4FE1D7" w14:textId="53DA2062" w:rsidR="009744BF" w:rsidRPr="009744BF" w:rsidRDefault="00C04312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D97DD7C" w14:textId="7AE9F119" w:rsidR="009744BF" w:rsidRPr="009744BF" w:rsidRDefault="00E221F3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189280" w14:textId="0AAAA06D" w:rsidR="009744BF" w:rsidRPr="009744BF" w:rsidRDefault="00E221F3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9744BF" w:rsidRPr="00AD72D6" w14:paraId="47A83F8C" w14:textId="77777777" w:rsidTr="0093596B">
        <w:trPr>
          <w:trHeight w:val="2041"/>
        </w:trPr>
        <w:tc>
          <w:tcPr>
            <w:tcW w:w="21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1C1DAA" w14:textId="63E9F637" w:rsidR="009744BF" w:rsidRPr="003E752E" w:rsidRDefault="009744BF" w:rsidP="000F29AF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lang w:eastAsia="cs-CZ"/>
              </w:rPr>
              <w:t xml:space="preserve">F </w:t>
            </w:r>
            <w:r w:rsidR="000F29AF" w:rsidRPr="003E752E">
              <w:rPr>
                <w:rFonts w:cstheme="minorHAnsi"/>
                <w:i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lang w:eastAsia="cs-CZ"/>
              </w:rPr>
              <w:t>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AAAD5DA" w14:textId="61A95843" w:rsidR="009744BF" w:rsidRPr="009744BF" w:rsidRDefault="009744BF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6DAF6E4" w14:textId="0773AFC4" w:rsidR="009744BF" w:rsidRPr="009744BF" w:rsidRDefault="00C04312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93E7BD7" w14:textId="6E5DB379" w:rsidR="009744BF" w:rsidRPr="009744BF" w:rsidRDefault="00E221F3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D21E056" w14:textId="727FF2ED" w:rsidR="009744BF" w:rsidRPr="009744BF" w:rsidRDefault="00E221F3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9744BF" w:rsidRPr="00AD72D6" w14:paraId="7ABDE324" w14:textId="77777777" w:rsidTr="0093596B">
        <w:trPr>
          <w:trHeight w:val="1191"/>
        </w:trPr>
        <w:tc>
          <w:tcPr>
            <w:tcW w:w="21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9AC4E3" w14:textId="61B70BBB" w:rsidR="009744BF" w:rsidRPr="003E752E" w:rsidRDefault="009744BF" w:rsidP="000F29AF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lang w:eastAsia="cs-CZ"/>
              </w:rPr>
              <w:t xml:space="preserve">G </w:t>
            </w:r>
            <w:r w:rsidR="000F29AF" w:rsidRPr="003E752E">
              <w:rPr>
                <w:rFonts w:cstheme="minorHAnsi"/>
                <w:i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lang w:eastAsia="cs-CZ"/>
              </w:rPr>
              <w:t>Další činnosti, které zadavatel požaduje po Konzultantovi v souladu s jeho kvalifikací a</w:t>
            </w:r>
            <w:r w:rsidR="000F29AF" w:rsidRPr="003E752E">
              <w:rPr>
                <w:rFonts w:ascii="Calibri" w:eastAsia="Times New Roman" w:hAnsi="Calibri" w:cs="Calibri"/>
                <w:lang w:eastAsia="cs-CZ"/>
              </w:rPr>
              <w:t> </w:t>
            </w:r>
            <w:r w:rsidRPr="003E752E">
              <w:rPr>
                <w:rFonts w:ascii="Calibri" w:eastAsia="Times New Roman" w:hAnsi="Calibri" w:cs="Calibri"/>
                <w:lang w:eastAsia="cs-CZ"/>
              </w:rPr>
              <w:t>zkušenostmi ve vztahu k zadání veřejné zakázky na zhotovení Díla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88008EF" w14:textId="50854E52" w:rsidR="009744BF" w:rsidRPr="009744BF" w:rsidRDefault="009744BF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2E3BC2C" w14:textId="7BF9484B" w:rsidR="009744BF" w:rsidRPr="009744BF" w:rsidRDefault="00C04312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5B6CDDB" w14:textId="3F3A275B" w:rsidR="009744BF" w:rsidRPr="009744BF" w:rsidRDefault="00E221F3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043DA6" w14:textId="6E2B3F32" w:rsidR="009744BF" w:rsidRPr="009744BF" w:rsidRDefault="00E221F3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17393614" w14:textId="77777777" w:rsidTr="00A471C5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1BFD41D" w14:textId="6D9431AF" w:rsidR="00A4609C" w:rsidRPr="009744BF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>D,</w:t>
            </w:r>
            <w:r w:rsidR="007E2943"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 </w:t>
            </w: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>E,</w:t>
            </w:r>
            <w:r w:rsidR="007E2943"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 </w:t>
            </w: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>F</w:t>
            </w:r>
            <w:r w:rsidR="007E2943"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 a </w:t>
            </w:r>
            <w:r w:rsidR="007E023D"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G – </w:t>
            </w:r>
            <w:r w:rsidR="007E023D" w:rsidRPr="009744BF">
              <w:rPr>
                <w:rFonts w:ascii="Calibri" w:eastAsia="Times New Roman" w:hAnsi="Calibri" w:cs="Calibri"/>
                <w:i/>
                <w:lang w:eastAsia="cs-CZ"/>
              </w:rPr>
              <w:t>Poradenské</w:t>
            </w:r>
            <w:r w:rsidRPr="009744BF">
              <w:rPr>
                <w:rFonts w:ascii="Calibri" w:eastAsia="Times New Roman" w:hAnsi="Calibri" w:cs="Calibri"/>
                <w:i/>
                <w:lang w:eastAsia="cs-CZ"/>
              </w:rPr>
              <w:t xml:space="preserve"> a konzultační služby a další činnosti – </w:t>
            </w:r>
            <w:r w:rsidRPr="009744BF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</w:t>
            </w:r>
          </w:p>
        </w:tc>
      </w:tr>
      <w:tr w:rsidR="009744BF" w:rsidRPr="00AD72D6" w14:paraId="40245727" w14:textId="77777777" w:rsidTr="0093596B">
        <w:trPr>
          <w:trHeight w:val="907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DC5311" w14:textId="77777777" w:rsidR="009744BF" w:rsidRPr="009744BF" w:rsidRDefault="009744BF" w:rsidP="000F29AF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Poradenské a konzultační služby a další činnosti a další činnosti v rámci Etapy zadávacího řízení na Zhotovitele Díla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76B76B1" w14:textId="4D0D90FE" w:rsidR="009744BF" w:rsidRPr="009744BF" w:rsidRDefault="009744BF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744BF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0B50AAA" w14:textId="44862C9F" w:rsidR="009744BF" w:rsidRPr="009744BF" w:rsidRDefault="00C04312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C66F598" w14:textId="6E2D0693" w:rsidR="009744BF" w:rsidRPr="009744BF" w:rsidRDefault="00E221F3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4E8C042" w14:textId="5CFF0640" w:rsidR="009744BF" w:rsidRPr="009744BF" w:rsidRDefault="00E221F3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626B6415" w14:textId="77777777" w:rsidTr="00A471C5">
        <w:trPr>
          <w:trHeight w:hRule="exact" w:val="283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FCF2A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4609C" w:rsidRPr="00AD72D6" w14:paraId="72A0500D" w14:textId="77777777" w:rsidTr="00A471C5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51603363" w14:textId="14F1876D" w:rsidR="00A4609C" w:rsidRPr="00C04312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výkonu činnosti správce stavby (Realizační fáze)</w:t>
            </w:r>
          </w:p>
        </w:tc>
      </w:tr>
      <w:tr w:rsidR="00A4609C" w:rsidRPr="00AD72D6" w14:paraId="32790FD8" w14:textId="77777777" w:rsidTr="00A471C5">
        <w:trPr>
          <w:trHeight w:val="68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0B2C02EE" w14:textId="55496F7E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 xml:space="preserve">H </w:t>
            </w:r>
            <w:r w:rsidR="000F29AF" w:rsidRPr="003E752E">
              <w:rPr>
                <w:rFonts w:cstheme="minorHAnsi"/>
                <w:i/>
              </w:rPr>
              <w:t xml:space="preserve">– </w:t>
            </w:r>
            <w:r w:rsidRPr="003E752E">
              <w:rPr>
                <w:rFonts w:ascii="Calibri" w:eastAsia="Times New Roman" w:hAnsi="Calibri" w:cs="Calibri"/>
                <w:i/>
                <w:lang w:eastAsia="cs-CZ"/>
              </w:rPr>
              <w:t>Č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innost Správce stavby v rozsahu, v jakém ji vymezuje smlouva Zhotovitele Díla (RED BOOK FIDIC) a </w:t>
            </w:r>
            <w:r w:rsidRPr="00FE3B8F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výkon stálého technického dozoru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 stavebníka nad prováděním stavby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Běžné služby</w:t>
            </w:r>
          </w:p>
        </w:tc>
      </w:tr>
      <w:tr w:rsidR="00A310A3" w:rsidRPr="00AD72D6" w14:paraId="40084E01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B1D3" w14:textId="77777777" w:rsidR="00A4609C" w:rsidRPr="00276EC7" w:rsidRDefault="00A4609C" w:rsidP="00745A64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 týmu Správce stavby ve fázi před zahájením vlastních stavebních prací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EFDC1E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3DC5D65" w14:textId="68343129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7F78DC9" w14:textId="0E7547CF" w:rsidR="00A4609C" w:rsidRPr="00276EC7" w:rsidRDefault="00E221F3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07244C" w14:textId="16B25B9A" w:rsidR="00A4609C" w:rsidRPr="00276EC7" w:rsidRDefault="00E221F3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310A3" w:rsidRPr="00AD72D6" w14:paraId="5A08E6C8" w14:textId="77777777" w:rsidTr="00EB615B">
        <w:trPr>
          <w:trHeight w:val="737"/>
        </w:trPr>
        <w:tc>
          <w:tcPr>
            <w:tcW w:w="215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4067" w14:textId="24F11302" w:rsidR="00A4609C" w:rsidRPr="00276EC7" w:rsidRDefault="00A4609C" w:rsidP="00745A64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 týmu Správce stavby ve fázi průběhu stavebních prací a zkušebníh</w:t>
            </w:r>
            <w:r w:rsidR="00FE3B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 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provozu</w:t>
            </w:r>
          </w:p>
          <w:p w14:paraId="73A46032" w14:textId="77777777" w:rsidR="00A4609C" w:rsidRPr="00276EC7" w:rsidRDefault="00A4609C" w:rsidP="00745A64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40B4186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EDD5FC3" w14:textId="3E144B62" w:rsidR="00A4609C" w:rsidRPr="00276EC7" w:rsidRDefault="00C04312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DAF8A84" w14:textId="68EF18D6" w:rsidR="00A4609C" w:rsidRPr="00276EC7" w:rsidRDefault="00E221F3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261B927" w14:textId="687E233A" w:rsidR="00A4609C" w:rsidRPr="00276EC7" w:rsidRDefault="00E221F3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310A3" w:rsidRPr="00AD72D6" w14:paraId="5D2F027A" w14:textId="77777777" w:rsidTr="00EB615B">
        <w:trPr>
          <w:trHeight w:val="964"/>
        </w:trPr>
        <w:tc>
          <w:tcPr>
            <w:tcW w:w="21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8A69CA" w14:textId="6CE1C564" w:rsidR="00A4609C" w:rsidRPr="00276EC7" w:rsidRDefault="00A4609C" w:rsidP="00FE3B8F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 týmu Správce stavby ve fázi po dokončení stavebních prací</w:t>
            </w:r>
            <w:r w:rsidR="00FE3B8F">
              <w:t xml:space="preserve"> </w:t>
            </w:r>
            <w:r w:rsidR="00FE3B8F" w:rsidRPr="00FE3B8F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FE3B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E3B8F" w:rsidRPr="00FE3B8F">
              <w:rPr>
                <w:rFonts w:ascii="Calibri" w:eastAsia="Times New Roman" w:hAnsi="Calibri" w:cs="Calibri"/>
                <w:color w:val="000000"/>
                <w:lang w:eastAsia="cs-CZ"/>
              </w:rPr>
              <w:t>zkušebního provozu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30929C6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01945E09" w14:textId="37EDB24B" w:rsidR="00A4609C" w:rsidRPr="00276EC7" w:rsidRDefault="00C04312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3E82F3A" w14:textId="1D5F2F99" w:rsidR="00A4609C" w:rsidRPr="00276EC7" w:rsidRDefault="00E221F3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D688123" w14:textId="0977736C" w:rsidR="00A4609C" w:rsidRPr="00276EC7" w:rsidRDefault="00E221F3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310A3" w:rsidRPr="00276EC7" w14:paraId="4B2358D5" w14:textId="77777777" w:rsidTr="00A471C5">
        <w:trPr>
          <w:trHeight w:val="1917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626EAE58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276EC7" w14:paraId="7D4759FF" w14:textId="77777777" w:rsidTr="00AF793C">
        <w:trPr>
          <w:trHeight w:val="214"/>
        </w:trPr>
        <w:tc>
          <w:tcPr>
            <w:tcW w:w="21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1B3D101" w14:textId="77777777" w:rsidR="00A310A3" w:rsidRPr="00276EC7" w:rsidRDefault="00A310A3" w:rsidP="00FB1A62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65BC59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BF789E2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27194FE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1A6DB1B6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276EC7" w14:paraId="2ABBAC77" w14:textId="77777777" w:rsidTr="00AF793C">
        <w:trPr>
          <w:trHeight w:val="547"/>
        </w:trPr>
        <w:tc>
          <w:tcPr>
            <w:tcW w:w="215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5548565" w14:textId="77777777" w:rsidR="00A310A3" w:rsidRPr="00276EC7" w:rsidRDefault="00A310A3" w:rsidP="00FB1A62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68E53FA" w14:textId="77777777" w:rsidR="00A310A3" w:rsidRPr="00276EC7" w:rsidRDefault="00A310A3" w:rsidP="00794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D3860F5" w14:textId="77777777" w:rsidR="00A310A3" w:rsidRPr="00276EC7" w:rsidRDefault="00A310A3" w:rsidP="00794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tcBorders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16EC6741" w14:textId="77777777" w:rsidR="00A310A3" w:rsidRPr="00276EC7" w:rsidRDefault="00A310A3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641F0B3" w14:textId="77777777" w:rsidR="00A310A3" w:rsidRPr="00276EC7" w:rsidRDefault="00A310A3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276EC7" w14:paraId="7E2BD03C" w14:textId="77777777" w:rsidTr="007E2943">
        <w:trPr>
          <w:trHeight w:val="270"/>
        </w:trPr>
        <w:tc>
          <w:tcPr>
            <w:tcW w:w="2152" w:type="pct"/>
            <w:vMerge/>
            <w:tcBorders>
              <w:left w:val="single" w:sz="12" w:space="0" w:color="auto"/>
              <w:bottom w:val="single" w:sz="24" w:space="0" w:color="FF0000"/>
              <w:right w:val="single" w:sz="8" w:space="0" w:color="auto"/>
            </w:tcBorders>
            <w:shd w:val="clear" w:color="000000" w:fill="C0C0C0"/>
            <w:vAlign w:val="center"/>
          </w:tcPr>
          <w:p w14:paraId="7CD415DD" w14:textId="77777777" w:rsidR="00A310A3" w:rsidRPr="00276EC7" w:rsidRDefault="00A310A3" w:rsidP="00FB1A62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F57A7CF" w14:textId="77777777" w:rsidR="00A310A3" w:rsidRPr="00276EC7" w:rsidRDefault="00A310A3" w:rsidP="00794E0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24" w:space="0" w:color="FF0000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0CD9907" w14:textId="77777777" w:rsidR="00A310A3" w:rsidRPr="00276EC7" w:rsidRDefault="00A310A3" w:rsidP="00794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3A745984" w14:textId="77777777" w:rsidR="00A310A3" w:rsidRPr="00276EC7" w:rsidRDefault="00A310A3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24" w:space="0" w:color="FF0000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1C9AEABB" w14:textId="77777777" w:rsidR="00A310A3" w:rsidRPr="00276EC7" w:rsidRDefault="00A310A3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7462F970" w14:textId="77777777" w:rsidTr="007E2943">
        <w:trPr>
          <w:trHeight w:val="680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auto"/>
              <w:right w:val="single" w:sz="24" w:space="0" w:color="FF0000"/>
            </w:tcBorders>
            <w:shd w:val="clear" w:color="auto" w:fill="FFFF00"/>
            <w:vAlign w:val="center"/>
          </w:tcPr>
          <w:p w14:paraId="6F7EF3FC" w14:textId="47088F62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H </w:t>
            </w:r>
            <w:r w:rsidR="000F29AF" w:rsidRPr="0094499D">
              <w:rPr>
                <w:rFonts w:cstheme="minorHAnsi"/>
                <w:i/>
              </w:rPr>
              <w:t>–</w:t>
            </w:r>
            <w:r w:rsidR="000F29AF">
              <w:rPr>
                <w:rFonts w:cstheme="minorHAnsi"/>
                <w:i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Činnost Správce stavby v rozsahu, v jakém ji vymezuje smlouva Zhotovitele Díla (RED BOOK FIDIC) a </w:t>
            </w:r>
            <w:r w:rsidRPr="005F3A9C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v</w:t>
            </w:r>
            <w:r w:rsidRPr="00EB615B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ýkon stálého technického dozoru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 stavebníka nad prováděním stavby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</w:t>
            </w:r>
          </w:p>
        </w:tc>
      </w:tr>
      <w:tr w:rsidR="00F34404" w:rsidRPr="00AD72D6" w14:paraId="0EE288B0" w14:textId="77777777" w:rsidTr="007E2943">
        <w:trPr>
          <w:trHeight w:val="340"/>
        </w:trPr>
        <w:tc>
          <w:tcPr>
            <w:tcW w:w="2152" w:type="pct"/>
            <w:vMerge w:val="restart"/>
            <w:tcBorders>
              <w:top w:val="single" w:sz="12" w:space="0" w:color="auto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408374D" w14:textId="66BEFA4F" w:rsidR="00F34404" w:rsidRPr="00276EC7" w:rsidRDefault="00F34404" w:rsidP="00745A64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Činnosti týmu Správce stavby poskytované v</w:t>
            </w:r>
            <w:r w:rsidR="00745A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rámci Etapy výkonu činnosti správce stavby (Realizační fáze)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A3E30F5" w14:textId="088D121B" w:rsidR="00F34404" w:rsidRPr="00276EC7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5EE8F261" w14:textId="45B62A46" w:rsidR="00F34404" w:rsidRPr="00276EC7" w:rsidRDefault="00C04312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40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9A7691A" w14:textId="08C045F7" w:rsidR="00F34404" w:rsidRPr="00276EC7" w:rsidRDefault="00794E07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vMerge w:val="restart"/>
            <w:tcBorders>
              <w:top w:val="single" w:sz="12" w:space="0" w:color="auto"/>
              <w:left w:val="single" w:sz="8" w:space="0" w:color="auto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1677D993" w14:textId="45804BD3" w:rsidR="00F34404" w:rsidRPr="00276EC7" w:rsidRDefault="00794E07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F34404" w:rsidRPr="00AD72D6" w14:paraId="48D6DB38" w14:textId="77777777" w:rsidTr="007E2943">
        <w:trPr>
          <w:trHeight w:val="51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7212B5D" w14:textId="77777777" w:rsidR="00F34404" w:rsidRPr="00276EC7" w:rsidRDefault="00F34404" w:rsidP="00F3440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6E894E06" w14:textId="26FC428B" w:rsidR="00F34404" w:rsidRPr="00276EC7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30BB4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248321B6" w14:textId="77777777" w:rsidR="00F34404" w:rsidRPr="00276EC7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55B0FB63" w14:textId="77777777" w:rsidR="00F34404" w:rsidRPr="00276EC7" w:rsidRDefault="00F34404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auto"/>
              <w:bottom w:val="single" w:sz="8" w:space="0" w:color="auto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01A8EE9E" w14:textId="77777777" w:rsidR="00F34404" w:rsidRPr="00276EC7" w:rsidRDefault="00F34404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F34404" w:rsidRPr="00AD72D6" w14:paraId="52DB40D4" w14:textId="77777777" w:rsidTr="007E2943">
        <w:trPr>
          <w:trHeight w:val="34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7A54664" w14:textId="77777777" w:rsidR="00F34404" w:rsidRPr="00276EC7" w:rsidRDefault="00F34404" w:rsidP="00F3440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A8A1E67" w14:textId="369192D5" w:rsidR="00F34404" w:rsidRPr="002E7DC1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E7DC1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FBD3879" w14:textId="1A836F8C" w:rsidR="00F34404" w:rsidRPr="00521BFC" w:rsidRDefault="00A471C5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21BFC">
              <w:rPr>
                <w:rFonts w:ascii="Calibri" w:eastAsia="Times New Roman" w:hAnsi="Calibri" w:cs="Calibri"/>
                <w:b/>
                <w:bCs/>
                <w:lang w:eastAsia="cs-CZ"/>
              </w:rPr>
              <w:t>960</w:t>
            </w:r>
          </w:p>
        </w:tc>
        <w:tc>
          <w:tcPr>
            <w:tcW w:w="69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292C58BE" w14:textId="0FF24110" w:rsidR="00F34404" w:rsidRPr="00276EC7" w:rsidRDefault="00794E07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2555423F" w14:textId="42BC1CBE" w:rsidR="00F34404" w:rsidRPr="00521BFC" w:rsidRDefault="00794E07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lang w:eastAsia="cs-CZ"/>
              </w:rPr>
              <w:t>xxx</w:t>
            </w:r>
            <w:proofErr w:type="spellEnd"/>
          </w:p>
        </w:tc>
      </w:tr>
      <w:tr w:rsidR="00F34404" w:rsidRPr="00AD72D6" w14:paraId="19EBCB41" w14:textId="77777777" w:rsidTr="007E2943">
        <w:trPr>
          <w:trHeight w:val="51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5032ACF" w14:textId="77777777" w:rsidR="00F34404" w:rsidRPr="00276EC7" w:rsidRDefault="00F34404" w:rsidP="00F3440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58E15F4" w14:textId="09BAC209" w:rsidR="00F34404" w:rsidRPr="00276EC7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30BB4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(HODNOTA NAVÝŠENÍ POLOŽKY)</w:t>
            </w: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36ECE172" w14:textId="77777777" w:rsidR="00F34404" w:rsidRPr="00276EC7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3891A7E8" w14:textId="77777777" w:rsidR="00F34404" w:rsidRPr="00276EC7" w:rsidRDefault="00F34404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auto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46E352C9" w14:textId="77777777" w:rsidR="00F34404" w:rsidRPr="00276EC7" w:rsidRDefault="00F34404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F34404" w:rsidRPr="00AD72D6" w14:paraId="7FA76C7C" w14:textId="77777777" w:rsidTr="007E2943">
        <w:trPr>
          <w:trHeight w:val="340"/>
        </w:trPr>
        <w:tc>
          <w:tcPr>
            <w:tcW w:w="2152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E612C0B" w14:textId="77777777" w:rsidR="00F34404" w:rsidRPr="00276EC7" w:rsidRDefault="00F34404" w:rsidP="00F3440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40E35D31" w14:textId="5CB27FC7" w:rsidR="00F34404" w:rsidRPr="002E7DC1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E7DC1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6D7AE74E" w14:textId="14E255A8" w:rsidR="00F34404" w:rsidRPr="002E7DC1" w:rsidRDefault="00A471C5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2E7DC1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1 000</w:t>
            </w:r>
          </w:p>
        </w:tc>
        <w:tc>
          <w:tcPr>
            <w:tcW w:w="69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1F08989E" w14:textId="4104D290" w:rsidR="00F34404" w:rsidRPr="00276EC7" w:rsidRDefault="00794E07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FF0000"/>
            </w:tcBorders>
            <w:shd w:val="clear" w:color="auto" w:fill="FFF2CC" w:themeFill="accent4" w:themeFillTint="33"/>
            <w:noWrap/>
            <w:vAlign w:val="center"/>
          </w:tcPr>
          <w:p w14:paraId="27D3B3DA" w14:textId="28EBB496" w:rsidR="00F34404" w:rsidRPr="002E7DC1" w:rsidRDefault="00794E07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xxx</w:t>
            </w:r>
            <w:proofErr w:type="spellEnd"/>
          </w:p>
        </w:tc>
      </w:tr>
      <w:tr w:rsidR="00F34404" w:rsidRPr="00AD72D6" w14:paraId="678095D0" w14:textId="77777777" w:rsidTr="007E2943">
        <w:trPr>
          <w:trHeight w:val="510"/>
        </w:trPr>
        <w:tc>
          <w:tcPr>
            <w:tcW w:w="2152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F3999FB" w14:textId="77777777" w:rsidR="00F34404" w:rsidRPr="00276EC7" w:rsidRDefault="00F34404" w:rsidP="00F3440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top w:val="dotted" w:sz="4" w:space="0" w:color="auto"/>
              <w:left w:val="single" w:sz="8" w:space="0" w:color="auto"/>
              <w:bottom w:val="single" w:sz="24" w:space="0" w:color="FF0000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5FD51F81" w14:textId="46DCCB16" w:rsidR="00F34404" w:rsidRPr="00276EC7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30BB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24" w:space="0" w:color="FF0000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0E26724E" w14:textId="77777777" w:rsidR="00F34404" w:rsidRPr="00276EC7" w:rsidRDefault="00F34404" w:rsidP="00F3440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4" w:type="pct"/>
            <w:vMerge/>
            <w:tcBorders>
              <w:left w:val="single" w:sz="8" w:space="0" w:color="auto"/>
              <w:bottom w:val="single" w:sz="24" w:space="0" w:color="FF0000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73FBD706" w14:textId="77777777" w:rsidR="00F34404" w:rsidRPr="00276EC7" w:rsidRDefault="00F34404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1" w:type="pct"/>
            <w:vMerge/>
            <w:tcBorders>
              <w:left w:val="single" w:sz="8" w:space="0" w:color="auto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  <w:noWrap/>
            <w:vAlign w:val="center"/>
          </w:tcPr>
          <w:p w14:paraId="1F750654" w14:textId="77777777" w:rsidR="00F34404" w:rsidRPr="00276EC7" w:rsidRDefault="00F34404" w:rsidP="00F3440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06D6BF88" w14:textId="77777777" w:rsidTr="007E2943">
        <w:trPr>
          <w:trHeight w:val="680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23A288D4" w14:textId="1DDB1388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H </w:t>
            </w:r>
            <w:r w:rsidR="000F29AF" w:rsidRPr="0094499D">
              <w:rPr>
                <w:rFonts w:cstheme="minorHAnsi"/>
                <w:i/>
              </w:rPr>
              <w:t>–</w:t>
            </w:r>
            <w:r w:rsidR="000F29AF">
              <w:rPr>
                <w:rFonts w:cstheme="minorHAnsi"/>
                <w:i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Činnost Správce stavby v rozsahu, v jakém ji vymezuje smlouva Zhotovitele Díla (RED BOOK FIDIC) a </w:t>
            </w:r>
            <w:r w:rsidRPr="005F3A9C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v</w:t>
            </w:r>
            <w:r w:rsidRPr="00EB615B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ýkon stálého technického dozoru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 stavebníka nad prováděním stavby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</w:t>
            </w:r>
            <w:r w:rsidRPr="00276EC7" w:rsidDel="007B76CB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poskytované dalšími osobami</w:t>
            </w:r>
          </w:p>
          <w:p w14:paraId="2D67EC08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A310A3" w:rsidRPr="00AD72D6" w14:paraId="3CC3204E" w14:textId="77777777" w:rsidTr="0093596B">
        <w:trPr>
          <w:trHeight w:val="102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7E88F6" w14:textId="77777777" w:rsidR="00A4609C" w:rsidRPr="00276EC7" w:rsidRDefault="00A4609C" w:rsidP="00745A64">
            <w:pPr>
              <w:spacing w:after="0" w:line="22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C594D49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8F6D68B" w14:textId="7B574561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100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9150FC" w14:textId="0B2B7C57" w:rsidR="00A4609C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DCC01E" w14:textId="10EA20FC" w:rsidR="00A4609C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3C11493A" w14:textId="77777777" w:rsidTr="0093596B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4BB2F46" w14:textId="1454EA2C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I </w:t>
            </w:r>
            <w:r w:rsidR="000F29AF" w:rsidRPr="0094499D">
              <w:rPr>
                <w:rFonts w:cstheme="minorHAnsi"/>
                <w:i/>
              </w:rPr>
              <w:t>–</w:t>
            </w:r>
            <w:r w:rsidR="000F29AF">
              <w:rPr>
                <w:rFonts w:cstheme="minorHAnsi"/>
                <w:i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Činnost </w:t>
            </w:r>
            <w:r w:rsidRPr="00C04312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 xml:space="preserve">koordinátora </w:t>
            </w:r>
            <w:r w:rsidR="00C04312" w:rsidRPr="00C04312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(BOZP)</w:t>
            </w:r>
          </w:p>
        </w:tc>
      </w:tr>
      <w:tr w:rsidR="00A310A3" w:rsidRPr="00AD72D6" w14:paraId="5AF874DE" w14:textId="77777777" w:rsidTr="0093596B">
        <w:trPr>
          <w:trHeight w:val="454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3303C4" w14:textId="1AB02310" w:rsidR="00A4609C" w:rsidRPr="00276EC7" w:rsidDel="00BC65B7" w:rsidRDefault="00C04312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4312">
              <w:rPr>
                <w:rFonts w:ascii="Calibri" w:eastAsia="Times New Roman" w:hAnsi="Calibri" w:cs="Calibri"/>
                <w:color w:val="000000"/>
                <w:lang w:eastAsia="cs-CZ"/>
              </w:rPr>
              <w:t>Činnosti týmu Správce stavby v realizační fázi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06248445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41F30D87" w14:textId="1558A085" w:rsidR="00A4609C" w:rsidRPr="00276EC7" w:rsidRDefault="00C04312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45AD24E" w14:textId="4B33A622" w:rsidR="00A4609C" w:rsidRPr="00276EC7" w:rsidRDefault="00794E07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42C125" w14:textId="0A098788" w:rsidR="002827D8" w:rsidRPr="00C04312" w:rsidRDefault="00794E07" w:rsidP="00C56FA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35CBF2B6" w14:textId="77777777" w:rsidTr="0093596B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3B9DF4FA" w14:textId="373B9BE9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I </w:t>
            </w:r>
            <w:r w:rsidR="000F29AF" w:rsidRPr="0094499D">
              <w:rPr>
                <w:rFonts w:cstheme="minorHAnsi"/>
                <w:i/>
              </w:rPr>
              <w:t>–</w:t>
            </w:r>
            <w:r w:rsidR="000F29AF">
              <w:rPr>
                <w:rFonts w:cstheme="minorHAnsi"/>
                <w:i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Činnost </w:t>
            </w:r>
            <w:r w:rsidR="00C04312" w:rsidRPr="00C04312">
              <w:rPr>
                <w:rFonts w:ascii="Calibri" w:eastAsia="Times New Roman" w:hAnsi="Calibri" w:cs="Calibri"/>
                <w:i/>
                <w:lang w:eastAsia="cs-CZ"/>
              </w:rPr>
              <w:t xml:space="preserve">specialisty pro </w:t>
            </w:r>
            <w:r w:rsidR="00C04312" w:rsidRPr="00C04312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kontrolu nátěrového systému</w:t>
            </w:r>
          </w:p>
        </w:tc>
      </w:tr>
      <w:tr w:rsidR="00C04312" w:rsidRPr="00AD72D6" w14:paraId="6E8AC8AD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B0C6D" w14:textId="55D9B397" w:rsidR="00C04312" w:rsidRPr="00276EC7" w:rsidDel="00CF206F" w:rsidRDefault="00C04312" w:rsidP="00C04312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4312">
              <w:rPr>
                <w:rFonts w:ascii="Calibri" w:eastAsia="Times New Roman" w:hAnsi="Calibri" w:cs="Calibri"/>
                <w:color w:val="000000"/>
                <w:lang w:eastAsia="cs-CZ"/>
              </w:rPr>
              <w:t>Činnosti I) v rámci Etapy výkonu činnosti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04312">
              <w:rPr>
                <w:rFonts w:ascii="Calibri" w:eastAsia="Times New Roman" w:hAnsi="Calibri" w:cs="Calibri"/>
                <w:color w:val="000000"/>
                <w:lang w:eastAsia="cs-CZ"/>
              </w:rPr>
              <w:t>správce stavby (Realizační fáze)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4A88A968" w14:textId="15668097" w:rsidR="00C04312" w:rsidRPr="00276EC7" w:rsidRDefault="00C04312" w:rsidP="00C0431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77D7E5B3" w14:textId="7BB672B5" w:rsidR="00C04312" w:rsidRPr="00276EC7" w:rsidRDefault="00C04312" w:rsidP="00C0431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0940BF3" w14:textId="5BE92133" w:rsidR="00C04312" w:rsidRPr="00276EC7" w:rsidRDefault="00794E07" w:rsidP="00C0431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9B2FEF" w14:textId="1830002B" w:rsidR="00C04312" w:rsidRPr="00276EC7" w:rsidRDefault="00794E07" w:rsidP="00C0431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A4609C" w:rsidRPr="00AD72D6" w14:paraId="350EC75B" w14:textId="77777777" w:rsidTr="0093596B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00"/>
            <w:vAlign w:val="center"/>
          </w:tcPr>
          <w:p w14:paraId="5D41816B" w14:textId="60357C3B" w:rsidR="00A4609C" w:rsidRPr="00276EC7" w:rsidRDefault="00C04312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>I</w:t>
            </w:r>
            <w:r w:rsidR="000F29AF">
              <w:rPr>
                <w:rFonts w:ascii="Calibri" w:eastAsia="Times New Roman" w:hAnsi="Calibri" w:cs="Calibri"/>
                <w:i/>
                <w:lang w:eastAsia="cs-CZ"/>
              </w:rPr>
              <w:t xml:space="preserve"> </w:t>
            </w:r>
            <w:r w:rsidR="000F29AF" w:rsidRPr="0094499D">
              <w:rPr>
                <w:rFonts w:cstheme="minorHAnsi"/>
                <w:i/>
              </w:rPr>
              <w:t>–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 Činnost </w:t>
            </w:r>
            <w:r w:rsidRPr="00C04312">
              <w:rPr>
                <w:rFonts w:ascii="Calibri" w:eastAsia="Times New Roman" w:hAnsi="Calibri" w:cs="Calibri"/>
                <w:i/>
                <w:lang w:eastAsia="cs-CZ"/>
              </w:rPr>
              <w:t>specialisty</w:t>
            </w:r>
            <w:r w:rsidRPr="00C04312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 xml:space="preserve"> kontroly svárů</w:t>
            </w:r>
          </w:p>
        </w:tc>
      </w:tr>
      <w:tr w:rsidR="00C04312" w:rsidRPr="00AD72D6" w14:paraId="01DA30C7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2AD9A" w14:textId="1F36811D" w:rsidR="00C04312" w:rsidRPr="00276EC7" w:rsidRDefault="00C04312" w:rsidP="00C04312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4312">
              <w:rPr>
                <w:rFonts w:ascii="Calibri" w:eastAsia="Times New Roman" w:hAnsi="Calibri" w:cs="Calibri"/>
                <w:color w:val="000000"/>
                <w:lang w:eastAsia="cs-CZ"/>
              </w:rPr>
              <w:t>Činnosti I) v rámci Etapy výkonu činnosti správce stavby (Realizační fáze)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68CAA19E" w14:textId="2F01C945" w:rsidR="00C04312" w:rsidRPr="00276EC7" w:rsidRDefault="00C04312" w:rsidP="00C0431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40A71ED6" w14:textId="1196B8D7" w:rsidR="00C04312" w:rsidRPr="00276EC7" w:rsidRDefault="00C04312" w:rsidP="00C0431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656DBEB" w14:textId="3D02E16F" w:rsidR="00C04312" w:rsidRPr="00276EC7" w:rsidRDefault="00794E07" w:rsidP="00C0431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3FC0F5" w14:textId="0C1DF365" w:rsidR="00C04312" w:rsidRPr="00276EC7" w:rsidRDefault="00794E07" w:rsidP="00C0431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C04312" w:rsidRPr="00AD72D6" w14:paraId="3AB791DA" w14:textId="77777777" w:rsidTr="0093596B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6C33AE6" w14:textId="59C42349" w:rsidR="00C04312" w:rsidRDefault="00C04312" w:rsidP="00C04312">
            <w:pPr>
              <w:spacing w:after="0" w:line="22" w:lineRule="atLeast"/>
              <w:rPr>
                <w:rFonts w:ascii="Calibri" w:eastAsia="Times New Roman" w:hAnsi="Calibri" w:cs="Calibri"/>
                <w:bCs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I </w:t>
            </w:r>
            <w:r w:rsidR="000F29AF" w:rsidRPr="0094499D">
              <w:rPr>
                <w:rFonts w:cstheme="minorHAnsi"/>
                <w:i/>
              </w:rPr>
              <w:t>–</w:t>
            </w:r>
            <w:r w:rsidR="000F29AF">
              <w:rPr>
                <w:rFonts w:cstheme="minorHAnsi"/>
                <w:i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Činnost </w:t>
            </w:r>
            <w:r w:rsidRPr="00C04312">
              <w:rPr>
                <w:rFonts w:ascii="Calibri" w:eastAsia="Times New Roman" w:hAnsi="Calibri" w:cs="Calibri"/>
                <w:i/>
                <w:lang w:eastAsia="cs-CZ"/>
              </w:rPr>
              <w:t>specialisty</w:t>
            </w:r>
            <w:r w:rsidRPr="00C04312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– biologa</w:t>
            </w:r>
          </w:p>
        </w:tc>
      </w:tr>
      <w:tr w:rsidR="00C04312" w:rsidRPr="00AD72D6" w14:paraId="08F1387D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9E6FC7" w14:textId="7ED52B81" w:rsidR="00C04312" w:rsidRPr="00C04312" w:rsidRDefault="00C04312" w:rsidP="00C04312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4312">
              <w:rPr>
                <w:rFonts w:ascii="Calibri" w:eastAsia="Times New Roman" w:hAnsi="Calibri" w:cs="Calibri"/>
                <w:color w:val="000000"/>
                <w:lang w:eastAsia="cs-CZ"/>
              </w:rPr>
              <w:t>Činnosti I) v rámci Etapy výkonu činnosti správce stavby (Realizační fáze)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673317B5" w14:textId="52F2F26B" w:rsidR="00C04312" w:rsidRPr="00276EC7" w:rsidRDefault="00C04312" w:rsidP="00C0431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2E21629B" w14:textId="1FBFF8E9" w:rsidR="00C04312" w:rsidRDefault="000F29AF" w:rsidP="00C0431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1D0A4B5" w14:textId="0AD4E620" w:rsidR="00C04312" w:rsidRDefault="00794E07" w:rsidP="00C0431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4B89C5" w14:textId="7F613CFF" w:rsidR="00C04312" w:rsidRDefault="00794E07" w:rsidP="00C0431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C04312" w:rsidRPr="00AD72D6" w14:paraId="044CD94E" w14:textId="77777777" w:rsidTr="0093596B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C9DFF02" w14:textId="56A02BFB" w:rsidR="00C04312" w:rsidRDefault="000F29AF" w:rsidP="00C04312">
            <w:pPr>
              <w:spacing w:after="0" w:line="22" w:lineRule="atLeast"/>
              <w:rPr>
                <w:rFonts w:ascii="Calibri" w:eastAsia="Times New Roman" w:hAnsi="Calibri" w:cs="Calibri"/>
                <w:bCs/>
                <w:lang w:eastAsia="cs-CZ"/>
              </w:rPr>
            </w:pPr>
            <w:r w:rsidRPr="0094499D">
              <w:rPr>
                <w:rFonts w:cstheme="minorHAnsi"/>
                <w:i/>
              </w:rPr>
              <w:t>J –</w:t>
            </w:r>
            <w:r>
              <w:rPr>
                <w:rFonts w:cstheme="minorHAnsi"/>
                <w:i/>
              </w:rPr>
              <w:t xml:space="preserve"> </w:t>
            </w:r>
            <w:r w:rsidRPr="0094499D">
              <w:rPr>
                <w:rFonts w:cstheme="minorHAnsi"/>
                <w:i/>
              </w:rPr>
              <w:t xml:space="preserve">Činnost specialisty kontroly výkazů výměr a jiných dokumentů v </w:t>
            </w:r>
            <w:r w:rsidRPr="0094499D">
              <w:rPr>
                <w:rFonts w:cstheme="minorHAnsi"/>
                <w:b/>
                <w:bCs/>
                <w:i/>
              </w:rPr>
              <w:t>XC4</w:t>
            </w:r>
          </w:p>
        </w:tc>
      </w:tr>
      <w:tr w:rsidR="000F29AF" w:rsidRPr="00AD72D6" w14:paraId="4D6EB530" w14:textId="77777777" w:rsidTr="0093596B">
        <w:trPr>
          <w:trHeight w:val="907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DF2A7C" w14:textId="67C868A7" w:rsidR="000F29AF" w:rsidRPr="00C04312" w:rsidRDefault="000F29AF" w:rsidP="000F29AF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29AF">
              <w:rPr>
                <w:rFonts w:ascii="Calibri" w:eastAsia="Times New Roman" w:hAnsi="Calibri" w:cs="Calibri"/>
                <w:color w:val="000000"/>
                <w:lang w:eastAsia="cs-CZ"/>
              </w:rPr>
              <w:t>Činnosti správce informací (Realizační fáze) v</w:t>
            </w:r>
            <w:r w:rsidR="00745A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0F29AF">
              <w:rPr>
                <w:rFonts w:ascii="Calibri" w:eastAsia="Times New Roman" w:hAnsi="Calibri" w:cs="Calibri"/>
                <w:color w:val="000000"/>
                <w:lang w:eastAsia="cs-CZ"/>
              </w:rPr>
              <w:t>rámci Etapy výkonu činnosti správce stavby (Realizační fáze)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526DE33D" w14:textId="407B91C1" w:rsidR="000F29AF" w:rsidRPr="00276EC7" w:rsidRDefault="000F29AF" w:rsidP="000F29A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5CB36F4E" w14:textId="5F936696" w:rsidR="000F29AF" w:rsidRDefault="000F29AF" w:rsidP="000F29A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AC1DC80" w14:textId="52D5EE4E" w:rsidR="000F29AF" w:rsidRDefault="00794E07" w:rsidP="000F29A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34FA2F" w14:textId="46BB55C1" w:rsidR="000F29AF" w:rsidRDefault="00794E07" w:rsidP="000F29A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0F29AF" w:rsidRPr="00AD72D6" w14:paraId="0D193466" w14:textId="77777777" w:rsidTr="0093596B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7204C3A" w14:textId="33187B30" w:rsidR="000F29AF" w:rsidRDefault="000F29AF" w:rsidP="000F29AF">
            <w:pPr>
              <w:spacing w:after="0" w:line="22" w:lineRule="atLeast"/>
              <w:rPr>
                <w:rFonts w:ascii="Calibri" w:eastAsia="Times New Roman" w:hAnsi="Calibri" w:cs="Calibri"/>
                <w:bCs/>
                <w:lang w:eastAsia="cs-CZ"/>
              </w:rPr>
            </w:pPr>
            <w:r w:rsidRPr="0094499D">
              <w:rPr>
                <w:rFonts w:cstheme="minorHAnsi"/>
                <w:i/>
              </w:rPr>
              <w:t>K1 – Činnost d</w:t>
            </w:r>
            <w:r w:rsidRPr="0094499D">
              <w:rPr>
                <w:rFonts w:cstheme="minorHAnsi"/>
                <w:b/>
                <w:bCs/>
                <w:i/>
              </w:rPr>
              <w:t>atového (informačního) specialisty</w:t>
            </w:r>
            <w:r w:rsidRPr="0094499D">
              <w:rPr>
                <w:rFonts w:cstheme="minorHAnsi"/>
                <w:i/>
              </w:rPr>
              <w:t xml:space="preserve"> – správce datových informací BIM</w:t>
            </w:r>
          </w:p>
        </w:tc>
      </w:tr>
      <w:tr w:rsidR="00745A64" w:rsidRPr="00AD72D6" w14:paraId="65FF3280" w14:textId="77777777" w:rsidTr="0093596B">
        <w:trPr>
          <w:trHeight w:val="680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8940CD" w14:textId="07EC930D" w:rsidR="00745A64" w:rsidRPr="00C04312" w:rsidRDefault="00745A64" w:rsidP="00745A6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499D">
              <w:rPr>
                <w:rFonts w:cstheme="minorHAnsi"/>
              </w:rPr>
              <w:t>Činnost datového (informačního) specialisty – správce datových informací BIM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3C87DBC1" w14:textId="2C148B8B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43064870" w14:textId="2B3A2D1D" w:rsidR="00745A64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315DBE8" w14:textId="0792A07C" w:rsidR="00745A64" w:rsidRDefault="00794E07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A250B6" w14:textId="406E24EE" w:rsidR="00745A64" w:rsidRDefault="00794E07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745A64" w:rsidRPr="00AD72D6" w14:paraId="7895DDE0" w14:textId="77777777" w:rsidTr="0093596B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2119BE2" w14:textId="3F914F4A" w:rsidR="00745A64" w:rsidRDefault="00745A64" w:rsidP="00745A64">
            <w:pPr>
              <w:spacing w:after="0" w:line="22" w:lineRule="atLeast"/>
              <w:rPr>
                <w:rFonts w:ascii="Calibri" w:eastAsia="Times New Roman" w:hAnsi="Calibri" w:cs="Calibri"/>
                <w:bCs/>
                <w:lang w:eastAsia="cs-CZ"/>
              </w:rPr>
            </w:pPr>
            <w:r w:rsidRPr="0094499D">
              <w:rPr>
                <w:rFonts w:cstheme="minorHAnsi"/>
                <w:i/>
              </w:rPr>
              <w:t>K</w:t>
            </w:r>
            <w:r>
              <w:rPr>
                <w:rFonts w:cstheme="minorHAnsi"/>
                <w:i/>
              </w:rPr>
              <w:t>2</w:t>
            </w:r>
            <w:r w:rsidRPr="0094499D">
              <w:rPr>
                <w:rFonts w:cstheme="minorHAnsi"/>
                <w:i/>
              </w:rPr>
              <w:t xml:space="preserve"> –</w:t>
            </w:r>
            <w:r>
              <w:rPr>
                <w:rFonts w:cstheme="minorHAnsi"/>
                <w:i/>
              </w:rPr>
              <w:t xml:space="preserve"> Neobsazeno</w:t>
            </w:r>
          </w:p>
        </w:tc>
      </w:tr>
      <w:tr w:rsidR="00745A64" w:rsidRPr="00AD72D6" w14:paraId="022EA608" w14:textId="77777777" w:rsidTr="0093596B">
        <w:trPr>
          <w:trHeight w:val="454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6A4ECB" w14:textId="77777777" w:rsidR="00745A64" w:rsidRPr="0094499D" w:rsidRDefault="00745A64" w:rsidP="00745A64">
            <w:pPr>
              <w:spacing w:after="0" w:line="22" w:lineRule="atLeast"/>
              <w:rPr>
                <w:rFonts w:cstheme="minorHAnsi"/>
              </w:rPr>
            </w:pP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095D7381" w14:textId="64F4D799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6124C05A" w14:textId="497F96BD" w:rsidR="00745A64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9F433A5" w14:textId="3EC6AA33" w:rsidR="00745A64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0</w:t>
            </w: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6E152A" w14:textId="667C42B0" w:rsidR="00745A64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0</w:t>
            </w:r>
          </w:p>
        </w:tc>
      </w:tr>
      <w:tr w:rsidR="00745A64" w:rsidRPr="00AD72D6" w14:paraId="1AF20F1C" w14:textId="77777777" w:rsidTr="0093596B">
        <w:trPr>
          <w:trHeight w:val="454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9E0690A" w14:textId="7F531FAE" w:rsidR="00745A64" w:rsidRPr="0094499D" w:rsidRDefault="00745A64" w:rsidP="00745A64">
            <w:pPr>
              <w:spacing w:after="0" w:line="22" w:lineRule="atLeast"/>
              <w:rPr>
                <w:rFonts w:cstheme="minorHAnsi"/>
              </w:rPr>
            </w:pPr>
            <w:r w:rsidRPr="0094499D">
              <w:rPr>
                <w:rFonts w:cstheme="minorHAnsi"/>
                <w:i/>
              </w:rPr>
              <w:lastRenderedPageBreak/>
              <w:t>K</w:t>
            </w:r>
            <w:r w:rsidR="00B074FF">
              <w:rPr>
                <w:rFonts w:cstheme="minorHAnsi"/>
                <w:i/>
              </w:rPr>
              <w:t>3</w:t>
            </w:r>
            <w:r w:rsidRPr="0094499D">
              <w:rPr>
                <w:rFonts w:cstheme="minorHAnsi"/>
                <w:i/>
              </w:rPr>
              <w:t xml:space="preserve"> –</w:t>
            </w:r>
            <w:r>
              <w:rPr>
                <w:rFonts w:cstheme="minorHAnsi"/>
                <w:i/>
              </w:rPr>
              <w:t xml:space="preserve"> Neobsazeno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612A98FF" w14:textId="6DE467BB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3A3C4BD9" w14:textId="6E6C6346" w:rsidR="00745A64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6369C2C" w14:textId="4F295576" w:rsidR="00745A64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0</w:t>
            </w: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81223BE" w14:textId="7FC07265" w:rsidR="00745A64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0</w:t>
            </w:r>
          </w:p>
        </w:tc>
      </w:tr>
      <w:tr w:rsidR="00745A64" w:rsidRPr="00276EC7" w14:paraId="35D17CBA" w14:textId="77777777" w:rsidTr="00AF793C">
        <w:trPr>
          <w:trHeight w:val="227"/>
        </w:trPr>
        <w:tc>
          <w:tcPr>
            <w:tcW w:w="21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A0A01F" w14:textId="77777777" w:rsidR="00745A64" w:rsidRPr="00276EC7" w:rsidRDefault="00745A64" w:rsidP="00745A64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2BBD12" w14:textId="77777777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7014677" w14:textId="77777777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6F8FE6D" w14:textId="77777777" w:rsidR="00745A64" w:rsidRPr="00276EC7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3945621B" w14:textId="77777777" w:rsidR="00745A64" w:rsidRPr="00276EC7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745A64" w:rsidRPr="00276EC7" w14:paraId="6C5A8352" w14:textId="77777777" w:rsidTr="00AF793C">
        <w:trPr>
          <w:trHeight w:val="547"/>
        </w:trPr>
        <w:tc>
          <w:tcPr>
            <w:tcW w:w="215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0AABA05" w14:textId="77777777" w:rsidR="00745A64" w:rsidRPr="00276EC7" w:rsidRDefault="00745A64" w:rsidP="00745A64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0AF3279" w14:textId="77777777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0C3031F0" w14:textId="77777777" w:rsidR="00745A64" w:rsidRPr="00276EC7" w:rsidRDefault="00745A64" w:rsidP="00794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4" w:type="pct"/>
            <w:tcBorders>
              <w:left w:val="nil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2FF87FE8" w14:textId="77777777" w:rsidR="00745A64" w:rsidRPr="00276EC7" w:rsidRDefault="00745A64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1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6B4FB834" w14:textId="77777777" w:rsidR="00745A64" w:rsidRPr="00276EC7" w:rsidRDefault="00745A64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745A64" w:rsidRPr="00276EC7" w14:paraId="35514E60" w14:textId="77777777" w:rsidTr="00AF793C">
        <w:trPr>
          <w:trHeight w:val="270"/>
        </w:trPr>
        <w:tc>
          <w:tcPr>
            <w:tcW w:w="215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676CD84C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1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5B2D105" w14:textId="77777777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48099EDB" w14:textId="77777777" w:rsidR="00745A64" w:rsidRPr="00276EC7" w:rsidRDefault="00745A64" w:rsidP="00794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342022EF" w14:textId="77777777" w:rsidR="00745A64" w:rsidRPr="00276EC7" w:rsidRDefault="00745A64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4FE8E977" w14:textId="77777777" w:rsidR="00745A64" w:rsidRPr="00276EC7" w:rsidRDefault="00745A64" w:rsidP="00794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745A64" w:rsidRPr="00AD72D6" w14:paraId="2D0B900A" w14:textId="77777777" w:rsidTr="00B609A2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A8DF77E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poradenských a kontrolních služeb v době trvání záruční doby Díla (</w:t>
            </w:r>
            <w:proofErr w:type="gramStart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 – M</w:t>
            </w:r>
            <w:proofErr w:type="gramEnd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  <w:p w14:paraId="235C7545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5A64" w:rsidRPr="00AD72D6" w14:paraId="09DF597C" w14:textId="77777777" w:rsidTr="00B609A2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FA19D69" w14:textId="43ECC8B1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L </w:t>
            </w:r>
            <w:r w:rsidR="00211DEB" w:rsidRPr="0094499D">
              <w:rPr>
                <w:rFonts w:cstheme="minorHAnsi"/>
                <w:i/>
              </w:rPr>
              <w:t>–</w:t>
            </w:r>
            <w:r w:rsidR="00211DEB">
              <w:rPr>
                <w:rFonts w:cstheme="minorHAnsi"/>
                <w:i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Vyřízení reklamací Díla, M Závěrečná prohlídka Díla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Běžné služby</w:t>
            </w:r>
          </w:p>
          <w:p w14:paraId="66208D73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745A64" w:rsidRPr="00AD72D6" w14:paraId="0958EC13" w14:textId="77777777" w:rsidTr="00D46839">
        <w:trPr>
          <w:trHeight w:val="907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78A251" w14:textId="77777777" w:rsidR="00745A64" w:rsidRPr="00276EC7" w:rsidRDefault="00745A64" w:rsidP="00D46839">
            <w:pPr>
              <w:spacing w:after="0" w:line="22" w:lineRule="atLeast"/>
              <w:ind w:right="67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6F7E714" w14:textId="77777777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F68A217" w14:textId="3AF2C9C8" w:rsidR="00745A64" w:rsidRPr="00276EC7" w:rsidRDefault="0093596B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  <w:r w:rsidR="00745A64" w:rsidRPr="00276EC7">
              <w:rPr>
                <w:rFonts w:ascii="Calibri" w:eastAsia="Times New Roman" w:hAnsi="Calibri" w:cs="Calibri"/>
                <w:lang w:eastAsia="cs-CZ"/>
              </w:rPr>
              <w:t>00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1F0C32" w14:textId="2E25A674" w:rsidR="00745A64" w:rsidRPr="00276EC7" w:rsidRDefault="00794E07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23AAB7" w14:textId="3BA01A0B" w:rsidR="00745A64" w:rsidRPr="00276EC7" w:rsidRDefault="00794E07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745A64" w:rsidRPr="00AD72D6" w14:paraId="6B9E58C2" w14:textId="77777777" w:rsidTr="00D46839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3655438" w14:textId="2EDA8B9C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L </w:t>
            </w:r>
            <w:r w:rsidR="00211DEB" w:rsidRPr="0094499D">
              <w:rPr>
                <w:rFonts w:cstheme="minorHAnsi"/>
                <w:i/>
              </w:rPr>
              <w:t>–</w:t>
            </w:r>
            <w:r w:rsidR="00211DEB">
              <w:rPr>
                <w:rFonts w:cstheme="minorHAnsi"/>
                <w:i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Vyřízení reklamací Díla, M  Závěrečná prohlídka Díla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</w:t>
            </w:r>
            <w:r w:rsidRPr="00276EC7" w:rsidDel="007B76CB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poskytované dalšími osobami</w:t>
            </w:r>
          </w:p>
          <w:p w14:paraId="515CAE7A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745A64" w:rsidRPr="00AD72D6" w14:paraId="351FA439" w14:textId="77777777" w:rsidTr="00D46839">
        <w:trPr>
          <w:trHeight w:val="1134"/>
        </w:trPr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BFED88" w14:textId="77777777" w:rsidR="00745A64" w:rsidRPr="00276EC7" w:rsidDel="00CF206F" w:rsidRDefault="00745A64" w:rsidP="00D46839">
            <w:pPr>
              <w:spacing w:after="0" w:line="22" w:lineRule="atLeast"/>
              <w:ind w:right="67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Činnosti Konzultanta v rámci Etapy poradenských a kontrolních služeb v době trvání záruční doby Díla poskytované dalšími osobami</w:t>
            </w:r>
            <w:r w:rsidRPr="00276EC7" w:rsidDel="004D58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085957" w14:textId="77777777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5583DC3" w14:textId="507D903A" w:rsidR="00745A64" w:rsidRPr="00276EC7" w:rsidRDefault="0093596B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  <w:r w:rsidR="00745A64" w:rsidRPr="00276EC7">
              <w:rPr>
                <w:rFonts w:ascii="Calibri" w:eastAsia="Times New Roman" w:hAnsi="Calibri" w:cs="Calibri"/>
                <w:lang w:eastAsia="cs-CZ"/>
              </w:rPr>
              <w:t>00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54655E8" w14:textId="397C6618" w:rsidR="00745A64" w:rsidRPr="00276EC7" w:rsidRDefault="00794E07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5A669E" w14:textId="75E6AFB1" w:rsidR="00745A64" w:rsidRPr="00276EC7" w:rsidRDefault="00794E07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lang w:eastAsia="cs-CZ"/>
              </w:rPr>
              <w:t>xxx</w:t>
            </w:r>
            <w:proofErr w:type="spellEnd"/>
          </w:p>
        </w:tc>
      </w:tr>
      <w:tr w:rsidR="00745A64" w:rsidRPr="00276EC7" w14:paraId="2DCFA037" w14:textId="77777777" w:rsidTr="005A4026">
        <w:trPr>
          <w:trHeight w:hRule="exact" w:val="227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A3568" w14:textId="77777777" w:rsidR="00745A64" w:rsidRPr="00276EC7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745A64" w:rsidRPr="00276EC7" w14:paraId="32227EF5" w14:textId="77777777" w:rsidTr="009744BF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14228C3" w14:textId="296FC52E" w:rsidR="00745A64" w:rsidRPr="00276EC7" w:rsidRDefault="00745A64" w:rsidP="00745A64">
            <w:pPr>
              <w:spacing w:after="0" w:line="22" w:lineRule="atLeast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PŮVODNÍ SMLUVNÍ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DLE SMLOUVY O POSKYTOVÁNÍ SLUŽEB</w:t>
            </w:r>
          </w:p>
        </w:tc>
      </w:tr>
      <w:tr w:rsidR="00745A64" w:rsidRPr="00276EC7" w14:paraId="631C3218" w14:textId="77777777" w:rsidTr="009744BF">
        <w:trPr>
          <w:trHeight w:val="454"/>
        </w:trPr>
        <w:tc>
          <w:tcPr>
            <w:tcW w:w="3545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6D46BB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(bez DPH)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B3F69F2" w14:textId="489E6D1A" w:rsidR="00745A64" w:rsidRPr="00276EC7" w:rsidRDefault="00745A64" w:rsidP="00745A6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AD0460D" w14:textId="310D8B29" w:rsidR="00745A64" w:rsidRPr="00276EC7" w:rsidRDefault="008E3FC6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</w:pPr>
            <w:r w:rsidRPr="008E3FC6">
              <w:rPr>
                <w:rFonts w:ascii="Calibri" w:eastAsia="Times New Roman" w:hAnsi="Calibri" w:cs="Calibri"/>
                <w:b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Pr="008E3FC6">
              <w:rPr>
                <w:rFonts w:ascii="Calibri" w:eastAsia="Times New Roman" w:hAnsi="Calibri" w:cs="Calibri"/>
                <w:b/>
                <w:lang w:eastAsia="cs-CZ"/>
              </w:rPr>
              <w:t>456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Pr="008E3FC6">
              <w:rPr>
                <w:rFonts w:ascii="Calibri" w:eastAsia="Times New Roman" w:hAnsi="Calibri" w:cs="Calibri"/>
                <w:b/>
                <w:lang w:eastAsia="cs-CZ"/>
              </w:rPr>
              <w:t>200</w:t>
            </w:r>
            <w:r w:rsidR="00745A64" w:rsidRPr="00EB429F">
              <w:rPr>
                <w:rFonts w:ascii="Calibri" w:eastAsia="Times New Roman" w:hAnsi="Calibri" w:cs="Calibri"/>
                <w:b/>
                <w:lang w:eastAsia="cs-CZ"/>
              </w:rPr>
              <w:t>,00</w:t>
            </w:r>
          </w:p>
        </w:tc>
      </w:tr>
      <w:tr w:rsidR="00745A64" w:rsidRPr="00276EC7" w14:paraId="637B7980" w14:textId="77777777" w:rsidTr="009744BF">
        <w:trPr>
          <w:trHeight w:val="454"/>
        </w:trPr>
        <w:tc>
          <w:tcPr>
            <w:tcW w:w="4239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BAA699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52961A4A" w14:textId="3A7FB67F" w:rsidR="00745A64" w:rsidRPr="00EB429F" w:rsidRDefault="008E3FC6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E3FC6">
              <w:rPr>
                <w:rFonts w:ascii="Calibri" w:eastAsia="Times New Roman" w:hAnsi="Calibri" w:cs="Calibri"/>
                <w:lang w:eastAsia="cs-CZ"/>
              </w:rPr>
              <w:t>935</w:t>
            </w:r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8E3FC6">
              <w:rPr>
                <w:rFonts w:ascii="Calibri" w:eastAsia="Times New Roman" w:hAnsi="Calibri" w:cs="Calibri"/>
                <w:lang w:eastAsia="cs-CZ"/>
              </w:rPr>
              <w:t>802</w:t>
            </w:r>
            <w:r w:rsidR="00745A64" w:rsidRPr="00EB429F">
              <w:rPr>
                <w:rFonts w:ascii="Calibri" w:eastAsia="Times New Roman" w:hAnsi="Calibri" w:cs="Calibri"/>
                <w:lang w:eastAsia="cs-CZ"/>
              </w:rPr>
              <w:t>,00</w:t>
            </w:r>
          </w:p>
        </w:tc>
      </w:tr>
      <w:tr w:rsidR="00745A64" w:rsidRPr="00276EC7" w14:paraId="21D0EEDB" w14:textId="77777777" w:rsidTr="009744BF">
        <w:trPr>
          <w:trHeight w:val="454"/>
        </w:trPr>
        <w:tc>
          <w:tcPr>
            <w:tcW w:w="4239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2F0FD91" w14:textId="77777777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vč. DPH</w:t>
            </w:r>
          </w:p>
        </w:tc>
        <w:tc>
          <w:tcPr>
            <w:tcW w:w="7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423C63E4" w14:textId="05707354" w:rsidR="00745A64" w:rsidRPr="00EB429F" w:rsidRDefault="008E3FC6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8E3FC6">
              <w:rPr>
                <w:rFonts w:ascii="Calibri" w:eastAsia="Times New Roman" w:hAnsi="Calibri" w:cs="Calibri"/>
                <w:b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Pr="008E3FC6">
              <w:rPr>
                <w:rFonts w:ascii="Calibri" w:eastAsia="Times New Roman" w:hAnsi="Calibri" w:cs="Calibri"/>
                <w:b/>
                <w:lang w:eastAsia="cs-CZ"/>
              </w:rPr>
              <w:t>392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Pr="008E3FC6">
              <w:rPr>
                <w:rFonts w:ascii="Calibri" w:eastAsia="Times New Roman" w:hAnsi="Calibri" w:cs="Calibri"/>
                <w:b/>
                <w:lang w:eastAsia="cs-CZ"/>
              </w:rPr>
              <w:t>002</w:t>
            </w:r>
            <w:r w:rsidR="00745A64" w:rsidRPr="00EB429F">
              <w:rPr>
                <w:rFonts w:ascii="Calibri" w:eastAsia="Times New Roman" w:hAnsi="Calibri" w:cs="Calibri"/>
                <w:b/>
                <w:lang w:eastAsia="cs-CZ"/>
              </w:rPr>
              <w:t>,00</w:t>
            </w:r>
          </w:p>
        </w:tc>
      </w:tr>
      <w:tr w:rsidR="00745A64" w:rsidRPr="00276EC7" w14:paraId="1F43A9D6" w14:textId="77777777" w:rsidTr="005A4026">
        <w:trPr>
          <w:trHeight w:hRule="exact" w:val="227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6816E8" w14:textId="77777777" w:rsidR="00745A64" w:rsidRPr="00276EC7" w:rsidRDefault="00745A64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745A64" w:rsidRPr="00AD72D6" w14:paraId="28E39F1C" w14:textId="77777777" w:rsidTr="00E75C14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auto"/>
              <w:right w:val="single" w:sz="24" w:space="0" w:color="FF0000"/>
            </w:tcBorders>
            <w:shd w:val="clear" w:color="auto" w:fill="FFD966" w:themeFill="accent4" w:themeFillTint="99"/>
            <w:vAlign w:val="center"/>
          </w:tcPr>
          <w:p w14:paraId="39345D14" w14:textId="230102FE" w:rsidR="00745A64" w:rsidRPr="00276EC7" w:rsidRDefault="00745A64" w:rsidP="00745A64">
            <w:pPr>
              <w:spacing w:after="0" w:line="22" w:lineRule="atLeas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 xml:space="preserve">NÁVRH NOVÉ SMLUVNÍ CENY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V RÁMCI DODATKU č.1 (ZL č.01)</w:t>
            </w:r>
          </w:p>
        </w:tc>
      </w:tr>
      <w:tr w:rsidR="00745A64" w:rsidRPr="00AD72D6" w14:paraId="268BAAD0" w14:textId="77777777" w:rsidTr="00E75C14">
        <w:trPr>
          <w:trHeight w:val="454"/>
        </w:trPr>
        <w:tc>
          <w:tcPr>
            <w:tcW w:w="3545" w:type="pct"/>
            <w:gridSpan w:val="3"/>
            <w:tcBorders>
              <w:top w:val="single" w:sz="12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693F9A1" w14:textId="3E103D94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Hodnota Dodatku č.1 (Kč bez DPH)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5DC4DC2" w14:textId="247CDCFD" w:rsidR="00745A64" w:rsidRPr="00276EC7" w:rsidRDefault="001660CE" w:rsidP="00745A64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  <w:r w:rsidR="00745A64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  <w:r w:rsidR="00745A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2F9FF520" w14:textId="0048A7E1" w:rsidR="00745A64" w:rsidRPr="00C76816" w:rsidRDefault="001660CE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731</w:t>
            </w:r>
            <w:r w:rsidR="00745A64" w:rsidRPr="00C76816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5</w:t>
            </w:r>
            <w:r w:rsidR="00745A64" w:rsidRPr="00C76816">
              <w:rPr>
                <w:rFonts w:ascii="Calibri" w:eastAsia="Times New Roman" w:hAnsi="Calibri" w:cs="Calibri"/>
                <w:b/>
                <w:lang w:eastAsia="cs-CZ"/>
              </w:rPr>
              <w:t>00,00</w:t>
            </w:r>
          </w:p>
        </w:tc>
      </w:tr>
      <w:tr w:rsidR="00745A64" w:rsidRPr="00AD72D6" w14:paraId="7C12C78B" w14:textId="77777777" w:rsidTr="00E75C14">
        <w:trPr>
          <w:trHeight w:val="454"/>
        </w:trPr>
        <w:tc>
          <w:tcPr>
            <w:tcW w:w="3545" w:type="pct"/>
            <w:gridSpan w:val="3"/>
            <w:tcBorders>
              <w:top w:val="single" w:sz="8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7984C4" w14:textId="02864F84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smluvní cena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včetně Dodatku č.1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Kč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DPH)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598C729" w14:textId="1C69AB8E" w:rsidR="00745A64" w:rsidRPr="00276EC7" w:rsidRDefault="00745A64" w:rsidP="00745A64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1660C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1660CE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2EE75774" w14:textId="59E31FC9" w:rsidR="00745A64" w:rsidRPr="00C76816" w:rsidRDefault="001660CE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5</w:t>
            </w:r>
            <w:r w:rsidR="00745A64" w:rsidRPr="00C76816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187</w:t>
            </w:r>
            <w:r w:rsidR="00745A64" w:rsidRPr="00C76816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7</w:t>
            </w:r>
            <w:r w:rsidR="00745A64" w:rsidRPr="00C76816">
              <w:rPr>
                <w:rFonts w:ascii="Calibri" w:eastAsia="Times New Roman" w:hAnsi="Calibri" w:cs="Calibri"/>
                <w:b/>
                <w:lang w:eastAsia="cs-CZ"/>
              </w:rPr>
              <w:t>00,00</w:t>
            </w:r>
          </w:p>
        </w:tc>
      </w:tr>
      <w:tr w:rsidR="00745A64" w:rsidRPr="00AD72D6" w14:paraId="47F7FCCF" w14:textId="77777777" w:rsidTr="00E75C14">
        <w:trPr>
          <w:trHeight w:val="454"/>
        </w:trPr>
        <w:tc>
          <w:tcPr>
            <w:tcW w:w="4239" w:type="pct"/>
            <w:gridSpan w:val="4"/>
            <w:tcBorders>
              <w:top w:val="nil"/>
              <w:left w:val="single" w:sz="24" w:space="0" w:color="FF0000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77E077E" w14:textId="16EAE1F3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(Kč)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FF2CC" w:themeFill="accent4" w:themeFillTint="33"/>
            <w:noWrap/>
            <w:vAlign w:val="center"/>
          </w:tcPr>
          <w:p w14:paraId="38F27179" w14:textId="53B3BF5D" w:rsidR="00745A64" w:rsidRPr="00276EC7" w:rsidRDefault="001660CE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1660CE">
              <w:rPr>
                <w:rFonts w:ascii="Calibri" w:eastAsia="Times New Roman" w:hAnsi="Calibri" w:cs="Calibri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1660CE">
              <w:rPr>
                <w:rFonts w:ascii="Calibri" w:eastAsia="Times New Roman" w:hAnsi="Calibri" w:cs="Calibri"/>
                <w:lang w:eastAsia="cs-CZ"/>
              </w:rPr>
              <w:t>089</w:t>
            </w:r>
            <w:r>
              <w:rPr>
                <w:rFonts w:ascii="Calibri" w:eastAsia="Times New Roman" w:hAnsi="Calibri" w:cs="Calibri"/>
                <w:lang w:eastAsia="cs-CZ"/>
              </w:rPr>
              <w:t>.</w:t>
            </w:r>
            <w:r w:rsidRPr="001660CE">
              <w:rPr>
                <w:rFonts w:ascii="Calibri" w:eastAsia="Times New Roman" w:hAnsi="Calibri" w:cs="Calibri"/>
                <w:lang w:eastAsia="cs-CZ"/>
              </w:rPr>
              <w:t>417</w:t>
            </w:r>
            <w:r w:rsidR="00745A64" w:rsidRPr="00C76816">
              <w:rPr>
                <w:rFonts w:ascii="Calibri" w:eastAsia="Times New Roman" w:hAnsi="Calibri" w:cs="Calibri"/>
                <w:lang w:eastAsia="cs-CZ"/>
              </w:rPr>
              <w:t>,00</w:t>
            </w:r>
          </w:p>
        </w:tc>
      </w:tr>
      <w:tr w:rsidR="00745A64" w:rsidRPr="00AD72D6" w14:paraId="4556A724" w14:textId="77777777" w:rsidTr="00E75C14">
        <w:trPr>
          <w:trHeight w:val="454"/>
        </w:trPr>
        <w:tc>
          <w:tcPr>
            <w:tcW w:w="4239" w:type="pct"/>
            <w:gridSpan w:val="4"/>
            <w:tcBorders>
              <w:top w:val="nil"/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AA607A" w14:textId="272B2DC1" w:rsidR="00745A64" w:rsidRPr="00276EC7" w:rsidRDefault="00745A64" w:rsidP="00745A64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smluvní cena včetně Dodatku č.1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(Kč vč.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  <w:noWrap/>
            <w:vAlign w:val="center"/>
          </w:tcPr>
          <w:p w14:paraId="1643E28B" w14:textId="4EA6DBE8" w:rsidR="00745A64" w:rsidRPr="00276EC7" w:rsidRDefault="001660CE" w:rsidP="00745A6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</w:pPr>
            <w:r w:rsidRPr="001660CE">
              <w:rPr>
                <w:rFonts w:ascii="Calibri" w:eastAsia="Times New Roman" w:hAnsi="Calibri" w:cs="Calibri"/>
                <w:b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Pr="001660CE">
              <w:rPr>
                <w:rFonts w:ascii="Calibri" w:eastAsia="Times New Roman" w:hAnsi="Calibri" w:cs="Calibri"/>
                <w:b/>
                <w:lang w:eastAsia="cs-CZ"/>
              </w:rPr>
              <w:t>277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Pr="001660CE">
              <w:rPr>
                <w:rFonts w:ascii="Calibri" w:eastAsia="Times New Roman" w:hAnsi="Calibri" w:cs="Calibri"/>
                <w:b/>
                <w:lang w:eastAsia="cs-CZ"/>
              </w:rPr>
              <w:t>117</w:t>
            </w:r>
            <w:r w:rsidR="00745A64" w:rsidRPr="00C76816">
              <w:rPr>
                <w:rFonts w:ascii="Calibri" w:eastAsia="Times New Roman" w:hAnsi="Calibri" w:cs="Calibri"/>
                <w:b/>
                <w:lang w:eastAsia="cs-CZ"/>
              </w:rPr>
              <w:t>,00</w:t>
            </w:r>
          </w:p>
        </w:tc>
      </w:tr>
    </w:tbl>
    <w:p w14:paraId="4FDAFC36" w14:textId="77777777" w:rsidR="00DE7A9B" w:rsidRDefault="00DE7A9B" w:rsidP="00C56FA6"/>
    <w:sectPr w:rsidR="00DE7A9B" w:rsidSect="00A310A3">
      <w:headerReference w:type="default" r:id="rId7"/>
      <w:footerReference w:type="default" r:id="rId8"/>
      <w:pgSz w:w="11906" w:h="16838"/>
      <w:pgMar w:top="851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A989" w14:textId="77777777" w:rsidR="00252AA1" w:rsidRDefault="00252AA1" w:rsidP="00424748">
      <w:pPr>
        <w:spacing w:after="0" w:line="240" w:lineRule="auto"/>
      </w:pPr>
      <w:r>
        <w:separator/>
      </w:r>
    </w:p>
  </w:endnote>
  <w:endnote w:type="continuationSeparator" w:id="0">
    <w:p w14:paraId="11215E98" w14:textId="77777777" w:rsidR="00252AA1" w:rsidRDefault="00252AA1" w:rsidP="0042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536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5D3DB0" w14:textId="7509F35B" w:rsidR="00424748" w:rsidRDefault="004247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FCB0" w14:textId="77777777" w:rsidR="00252AA1" w:rsidRDefault="00252AA1" w:rsidP="00424748">
      <w:pPr>
        <w:spacing w:after="0" w:line="240" w:lineRule="auto"/>
      </w:pPr>
      <w:r>
        <w:separator/>
      </w:r>
    </w:p>
  </w:footnote>
  <w:footnote w:type="continuationSeparator" w:id="0">
    <w:p w14:paraId="5D443803" w14:textId="77777777" w:rsidR="00252AA1" w:rsidRDefault="00252AA1" w:rsidP="0042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8CDD" w14:textId="517F129A" w:rsidR="00134993" w:rsidRDefault="00134993" w:rsidP="00C56FA6">
    <w:pPr>
      <w:pStyle w:val="Zhlav"/>
      <w:tabs>
        <w:tab w:val="clear" w:pos="9072"/>
        <w:tab w:val="right" w:pos="10204"/>
      </w:tabs>
      <w:rPr>
        <w:rFonts w:cstheme="minorHAnsi"/>
      </w:rPr>
    </w:pPr>
    <w:r w:rsidRPr="00F06A06">
      <w:rPr>
        <w:rFonts w:cstheme="minorHAnsi"/>
      </w:rPr>
      <w:t>Příloha č.</w:t>
    </w:r>
    <w:r>
      <w:rPr>
        <w:rFonts w:cstheme="minorHAnsi"/>
      </w:rPr>
      <w:t>2</w:t>
    </w:r>
    <w:r w:rsidRPr="00F06A06">
      <w:rPr>
        <w:rFonts w:cstheme="minorHAnsi"/>
      </w:rPr>
      <w:t xml:space="preserve"> Změnového listu č.0</w:t>
    </w:r>
    <w:r w:rsidR="0091539B">
      <w:rPr>
        <w:rFonts w:cstheme="minorHAnsi"/>
      </w:rPr>
      <w:t>1</w:t>
    </w:r>
    <w:r w:rsidR="00C56FA6" w:rsidRPr="00C56FA6">
      <w:t xml:space="preserve"> </w:t>
    </w:r>
    <w:r w:rsidR="00C56FA6">
      <w:tab/>
    </w:r>
    <w:r w:rsidR="00C56FA6">
      <w:tab/>
    </w:r>
    <w:r w:rsidR="00C56FA6" w:rsidRPr="00C56FA6">
      <w:rPr>
        <w:rFonts w:cstheme="minorHAnsi"/>
      </w:rPr>
      <w:t>Rekreační přístav Kamýk nad Vltavou – Správce stavby</w:t>
    </w:r>
  </w:p>
  <w:p w14:paraId="506EBCB1" w14:textId="77777777" w:rsidR="005D6AF1" w:rsidRPr="005D6AF1" w:rsidRDefault="005D6AF1" w:rsidP="00134993">
    <w:pPr>
      <w:pStyle w:val="Zhlav"/>
      <w:rPr>
        <w:rFonts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6"/>
    <w:rsid w:val="00042240"/>
    <w:rsid w:val="00053350"/>
    <w:rsid w:val="00055F88"/>
    <w:rsid w:val="000573B0"/>
    <w:rsid w:val="000645BE"/>
    <w:rsid w:val="00081FE1"/>
    <w:rsid w:val="00083ACD"/>
    <w:rsid w:val="000960CA"/>
    <w:rsid w:val="000B12A1"/>
    <w:rsid w:val="000C74FD"/>
    <w:rsid w:val="000E0C42"/>
    <w:rsid w:val="000F29AF"/>
    <w:rsid w:val="00110123"/>
    <w:rsid w:val="00116A0C"/>
    <w:rsid w:val="00134993"/>
    <w:rsid w:val="001450E3"/>
    <w:rsid w:val="001510B0"/>
    <w:rsid w:val="001660CE"/>
    <w:rsid w:val="00176FEF"/>
    <w:rsid w:val="00192BB0"/>
    <w:rsid w:val="001B7BA7"/>
    <w:rsid w:val="001C10FB"/>
    <w:rsid w:val="001C5299"/>
    <w:rsid w:val="001D0C29"/>
    <w:rsid w:val="002024D7"/>
    <w:rsid w:val="0020756B"/>
    <w:rsid w:val="00211DEB"/>
    <w:rsid w:val="002253B9"/>
    <w:rsid w:val="002257BE"/>
    <w:rsid w:val="00236502"/>
    <w:rsid w:val="002519C2"/>
    <w:rsid w:val="00252AA1"/>
    <w:rsid w:val="00257A39"/>
    <w:rsid w:val="002608FC"/>
    <w:rsid w:val="00272642"/>
    <w:rsid w:val="00276EC7"/>
    <w:rsid w:val="002827D8"/>
    <w:rsid w:val="00290F1E"/>
    <w:rsid w:val="002A0F77"/>
    <w:rsid w:val="002B229F"/>
    <w:rsid w:val="002E7DC1"/>
    <w:rsid w:val="002F5212"/>
    <w:rsid w:val="00313BDC"/>
    <w:rsid w:val="00314EA1"/>
    <w:rsid w:val="0032497C"/>
    <w:rsid w:val="00330630"/>
    <w:rsid w:val="00343297"/>
    <w:rsid w:val="0036153C"/>
    <w:rsid w:val="00374D2B"/>
    <w:rsid w:val="00375994"/>
    <w:rsid w:val="0037689C"/>
    <w:rsid w:val="00391A88"/>
    <w:rsid w:val="003A61BA"/>
    <w:rsid w:val="003C0D6E"/>
    <w:rsid w:val="003D6EDC"/>
    <w:rsid w:val="003E5064"/>
    <w:rsid w:val="003E539C"/>
    <w:rsid w:val="003E752E"/>
    <w:rsid w:val="004215D3"/>
    <w:rsid w:val="00424748"/>
    <w:rsid w:val="0043599A"/>
    <w:rsid w:val="0043749A"/>
    <w:rsid w:val="00444FE2"/>
    <w:rsid w:val="00450333"/>
    <w:rsid w:val="00492F24"/>
    <w:rsid w:val="004C03EB"/>
    <w:rsid w:val="004C0DF6"/>
    <w:rsid w:val="004D7A69"/>
    <w:rsid w:val="004E5E8F"/>
    <w:rsid w:val="004F0013"/>
    <w:rsid w:val="0051122C"/>
    <w:rsid w:val="00521BFC"/>
    <w:rsid w:val="00530BB4"/>
    <w:rsid w:val="005324B6"/>
    <w:rsid w:val="00543652"/>
    <w:rsid w:val="005731BE"/>
    <w:rsid w:val="00580A2C"/>
    <w:rsid w:val="005A4026"/>
    <w:rsid w:val="005B2F6B"/>
    <w:rsid w:val="005C0291"/>
    <w:rsid w:val="005D1FFC"/>
    <w:rsid w:val="005D3246"/>
    <w:rsid w:val="005D6AF1"/>
    <w:rsid w:val="005F19D5"/>
    <w:rsid w:val="005F3A9C"/>
    <w:rsid w:val="006105B6"/>
    <w:rsid w:val="006147C2"/>
    <w:rsid w:val="0062326A"/>
    <w:rsid w:val="00654EC1"/>
    <w:rsid w:val="006554F0"/>
    <w:rsid w:val="006577C5"/>
    <w:rsid w:val="00670130"/>
    <w:rsid w:val="0069642B"/>
    <w:rsid w:val="006B2F58"/>
    <w:rsid w:val="006E4047"/>
    <w:rsid w:val="006F2C56"/>
    <w:rsid w:val="00701E1C"/>
    <w:rsid w:val="007036A1"/>
    <w:rsid w:val="00723903"/>
    <w:rsid w:val="00727224"/>
    <w:rsid w:val="00741FBD"/>
    <w:rsid w:val="00742548"/>
    <w:rsid w:val="00745A64"/>
    <w:rsid w:val="00757AD1"/>
    <w:rsid w:val="007829E4"/>
    <w:rsid w:val="00794E07"/>
    <w:rsid w:val="007A5CE0"/>
    <w:rsid w:val="007C7B45"/>
    <w:rsid w:val="007D2CC3"/>
    <w:rsid w:val="007D3C6A"/>
    <w:rsid w:val="007E023D"/>
    <w:rsid w:val="007E2943"/>
    <w:rsid w:val="00806DB7"/>
    <w:rsid w:val="00822831"/>
    <w:rsid w:val="008326BE"/>
    <w:rsid w:val="00850D55"/>
    <w:rsid w:val="00856DEE"/>
    <w:rsid w:val="008609B3"/>
    <w:rsid w:val="00884B27"/>
    <w:rsid w:val="008914E2"/>
    <w:rsid w:val="008A1C62"/>
    <w:rsid w:val="008A77C5"/>
    <w:rsid w:val="008C06E0"/>
    <w:rsid w:val="008E3677"/>
    <w:rsid w:val="008E3FC6"/>
    <w:rsid w:val="008F6BF4"/>
    <w:rsid w:val="0090641B"/>
    <w:rsid w:val="00907B7A"/>
    <w:rsid w:val="0091035B"/>
    <w:rsid w:val="0091539B"/>
    <w:rsid w:val="0093596B"/>
    <w:rsid w:val="009744BF"/>
    <w:rsid w:val="00975676"/>
    <w:rsid w:val="00983C4B"/>
    <w:rsid w:val="009D32B8"/>
    <w:rsid w:val="009D66A4"/>
    <w:rsid w:val="009E7C3C"/>
    <w:rsid w:val="009E7EDE"/>
    <w:rsid w:val="009F7FD5"/>
    <w:rsid w:val="00A068F9"/>
    <w:rsid w:val="00A16579"/>
    <w:rsid w:val="00A310A3"/>
    <w:rsid w:val="00A417B5"/>
    <w:rsid w:val="00A4609C"/>
    <w:rsid w:val="00A471C5"/>
    <w:rsid w:val="00A615B1"/>
    <w:rsid w:val="00A70B53"/>
    <w:rsid w:val="00A72F0C"/>
    <w:rsid w:val="00AA5519"/>
    <w:rsid w:val="00AB4C1A"/>
    <w:rsid w:val="00AB62E6"/>
    <w:rsid w:val="00AC00DC"/>
    <w:rsid w:val="00AC2420"/>
    <w:rsid w:val="00AC48C0"/>
    <w:rsid w:val="00AD0B14"/>
    <w:rsid w:val="00AD3130"/>
    <w:rsid w:val="00AD72D6"/>
    <w:rsid w:val="00AD7564"/>
    <w:rsid w:val="00AE0FDE"/>
    <w:rsid w:val="00AF793C"/>
    <w:rsid w:val="00B074FF"/>
    <w:rsid w:val="00B1305E"/>
    <w:rsid w:val="00B306E7"/>
    <w:rsid w:val="00B427CD"/>
    <w:rsid w:val="00B609A2"/>
    <w:rsid w:val="00BA200B"/>
    <w:rsid w:val="00BB0215"/>
    <w:rsid w:val="00BC067F"/>
    <w:rsid w:val="00BC54E1"/>
    <w:rsid w:val="00BE007C"/>
    <w:rsid w:val="00BE49E8"/>
    <w:rsid w:val="00BF1ADB"/>
    <w:rsid w:val="00C04312"/>
    <w:rsid w:val="00C35022"/>
    <w:rsid w:val="00C46F07"/>
    <w:rsid w:val="00C50B8D"/>
    <w:rsid w:val="00C56FA6"/>
    <w:rsid w:val="00C65076"/>
    <w:rsid w:val="00C66F5C"/>
    <w:rsid w:val="00C76816"/>
    <w:rsid w:val="00CB56F5"/>
    <w:rsid w:val="00CC1A20"/>
    <w:rsid w:val="00CC748B"/>
    <w:rsid w:val="00CD0E4F"/>
    <w:rsid w:val="00CD183B"/>
    <w:rsid w:val="00CF3954"/>
    <w:rsid w:val="00D034B6"/>
    <w:rsid w:val="00D06C16"/>
    <w:rsid w:val="00D24898"/>
    <w:rsid w:val="00D25E97"/>
    <w:rsid w:val="00D31C13"/>
    <w:rsid w:val="00D4024B"/>
    <w:rsid w:val="00D46839"/>
    <w:rsid w:val="00D61DBF"/>
    <w:rsid w:val="00D6246C"/>
    <w:rsid w:val="00D75685"/>
    <w:rsid w:val="00D94DC8"/>
    <w:rsid w:val="00DB4595"/>
    <w:rsid w:val="00DC107E"/>
    <w:rsid w:val="00DE5C9D"/>
    <w:rsid w:val="00DE7A9B"/>
    <w:rsid w:val="00DF031F"/>
    <w:rsid w:val="00DF4EBC"/>
    <w:rsid w:val="00DF7B8E"/>
    <w:rsid w:val="00E0071B"/>
    <w:rsid w:val="00E15B03"/>
    <w:rsid w:val="00E20FC1"/>
    <w:rsid w:val="00E221F3"/>
    <w:rsid w:val="00E31D69"/>
    <w:rsid w:val="00E518D8"/>
    <w:rsid w:val="00E75C14"/>
    <w:rsid w:val="00E77463"/>
    <w:rsid w:val="00E87E7D"/>
    <w:rsid w:val="00EB23D5"/>
    <w:rsid w:val="00EB429F"/>
    <w:rsid w:val="00EB4E20"/>
    <w:rsid w:val="00EB615B"/>
    <w:rsid w:val="00ED76C0"/>
    <w:rsid w:val="00EE0C79"/>
    <w:rsid w:val="00EE690E"/>
    <w:rsid w:val="00EF2CB6"/>
    <w:rsid w:val="00EF3BDA"/>
    <w:rsid w:val="00F03F8B"/>
    <w:rsid w:val="00F124AF"/>
    <w:rsid w:val="00F17EC5"/>
    <w:rsid w:val="00F213E1"/>
    <w:rsid w:val="00F34404"/>
    <w:rsid w:val="00F95E42"/>
    <w:rsid w:val="00FA0F1F"/>
    <w:rsid w:val="00FB6ED8"/>
    <w:rsid w:val="00FB7B94"/>
    <w:rsid w:val="00FE3B8F"/>
    <w:rsid w:val="00FE5CE7"/>
    <w:rsid w:val="00FE6CFE"/>
    <w:rsid w:val="00FF1AF3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FE42"/>
  <w15:chartTrackingRefBased/>
  <w15:docId w15:val="{EE88B347-E984-4CD9-9FA8-18A53B6F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748"/>
  </w:style>
  <w:style w:type="paragraph" w:styleId="Zpat">
    <w:name w:val="footer"/>
    <w:basedOn w:val="Normln"/>
    <w:link w:val="Zpat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8737-1C00-4FB0-84A1-510BB613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921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Koncept CB spol. s r.o.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Kvantifikace úpravy rozsahu služeb SpSt</dc:subject>
  <dc:creator>Radek Pártl</dc:creator>
  <cp:keywords/>
  <dc:description/>
  <cp:lastModifiedBy>Jana Mullerová</cp:lastModifiedBy>
  <cp:revision>5</cp:revision>
  <cp:lastPrinted>2025-08-06T07:59:00Z</cp:lastPrinted>
  <dcterms:created xsi:type="dcterms:W3CDTF">2025-08-26T12:50:00Z</dcterms:created>
  <dcterms:modified xsi:type="dcterms:W3CDTF">2025-08-26T12:56:00Z</dcterms:modified>
</cp:coreProperties>
</file>