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4B727" w14:textId="77777777" w:rsidR="00097C2D" w:rsidRPr="001B016C" w:rsidRDefault="00097C2D" w:rsidP="00097C2D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1B016C">
        <w:rPr>
          <w:rFonts w:asciiTheme="minorHAnsi" w:hAnsiTheme="minorHAnsi" w:cstheme="minorHAnsi"/>
          <w:b/>
          <w:sz w:val="28"/>
          <w:szCs w:val="28"/>
        </w:rPr>
        <w:t>Příkazní smlouva</w:t>
      </w:r>
    </w:p>
    <w:p w14:paraId="51133446" w14:textId="77777777" w:rsidR="00097C2D" w:rsidRPr="001B016C" w:rsidRDefault="00097C2D" w:rsidP="00097C2D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016C">
        <w:rPr>
          <w:rFonts w:asciiTheme="minorHAnsi" w:hAnsiTheme="minorHAnsi" w:cstheme="minorHAnsi"/>
          <w:b/>
          <w:sz w:val="28"/>
          <w:szCs w:val="28"/>
        </w:rPr>
        <w:t>o výkonu technického dozoru stavebníka</w:t>
      </w:r>
    </w:p>
    <w:p w14:paraId="68C94ADA" w14:textId="77777777" w:rsidR="00097C2D" w:rsidRPr="001B016C" w:rsidRDefault="00097C2D" w:rsidP="00097C2D">
      <w:pPr>
        <w:spacing w:after="0"/>
        <w:jc w:val="center"/>
        <w:rPr>
          <w:rFonts w:asciiTheme="minorHAnsi" w:hAnsiTheme="minorHAnsi" w:cstheme="minorHAnsi"/>
          <w:b/>
        </w:rPr>
      </w:pPr>
    </w:p>
    <w:p w14:paraId="0D497CD8" w14:textId="77777777" w:rsidR="00097C2D" w:rsidRPr="001B016C" w:rsidRDefault="00097C2D" w:rsidP="00097C2D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0"/>
        <w:gridCol w:w="6161"/>
      </w:tblGrid>
      <w:tr w:rsidR="00097C2D" w:rsidRPr="001B016C" w14:paraId="094571C9" w14:textId="77777777" w:rsidTr="005B478A">
        <w:trPr>
          <w:trHeight w:val="171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5747104E" w14:textId="77777777" w:rsidR="00097C2D" w:rsidRPr="001B016C" w:rsidRDefault="00097C2D" w:rsidP="005B478A">
            <w:pPr>
              <w:spacing w:after="0" w:line="240" w:lineRule="auto"/>
              <w:ind w:right="-1006"/>
              <w:contextualSpacing/>
              <w:rPr>
                <w:rFonts w:asciiTheme="minorHAnsi" w:hAnsiTheme="minorHAnsi" w:cstheme="minorHAnsi"/>
              </w:rPr>
            </w:pPr>
            <w:r w:rsidRPr="001B016C">
              <w:rPr>
                <w:rFonts w:asciiTheme="minorHAnsi" w:hAnsiTheme="minorHAnsi" w:cstheme="minorHAnsi"/>
              </w:rPr>
              <w:t xml:space="preserve">Název: </w:t>
            </w:r>
          </w:p>
        </w:tc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</w:tcPr>
          <w:p w14:paraId="5C49761F" w14:textId="77777777" w:rsidR="00097C2D" w:rsidRPr="001B016C" w:rsidRDefault="00097C2D" w:rsidP="005B478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1B016C">
              <w:rPr>
                <w:rFonts w:asciiTheme="minorHAnsi" w:hAnsiTheme="minorHAnsi" w:cstheme="minorHAnsi"/>
                <w:b/>
              </w:rPr>
              <w:t>Město Dobruška</w:t>
            </w:r>
          </w:p>
        </w:tc>
      </w:tr>
      <w:tr w:rsidR="00097C2D" w:rsidRPr="001B016C" w14:paraId="37F8D513" w14:textId="77777777" w:rsidTr="005B478A">
        <w:trPr>
          <w:trHeight w:val="24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482ADC6C" w14:textId="77777777" w:rsidR="00097C2D" w:rsidRPr="001B016C" w:rsidRDefault="00097C2D" w:rsidP="005B478A">
            <w:pPr>
              <w:spacing w:after="0" w:line="240" w:lineRule="auto"/>
              <w:ind w:right="-1290"/>
              <w:contextualSpacing/>
              <w:rPr>
                <w:rFonts w:asciiTheme="minorHAnsi" w:hAnsiTheme="minorHAnsi" w:cstheme="minorHAnsi"/>
              </w:rPr>
            </w:pPr>
            <w:r w:rsidRPr="001B016C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</w:tcPr>
          <w:p w14:paraId="2F57021D" w14:textId="77777777" w:rsidR="00097C2D" w:rsidRPr="001B016C" w:rsidRDefault="00097C2D" w:rsidP="005B478A">
            <w:pPr>
              <w:spacing w:after="0" w:line="240" w:lineRule="auto"/>
              <w:ind w:right="78"/>
              <w:contextualSpacing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1B016C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Solnická 777, 518 01 Dobruška</w:t>
            </w:r>
          </w:p>
        </w:tc>
      </w:tr>
      <w:tr w:rsidR="00097C2D" w:rsidRPr="001B016C" w14:paraId="381F6A6A" w14:textId="77777777" w:rsidTr="005B478A">
        <w:trPr>
          <w:trHeight w:val="3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6012F8C4" w14:textId="77777777" w:rsidR="00097C2D" w:rsidRPr="001B016C" w:rsidRDefault="00097C2D" w:rsidP="005B47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1B016C">
              <w:rPr>
                <w:rFonts w:asciiTheme="minorHAnsi" w:hAnsiTheme="minorHAnsi" w:cstheme="minorHAnsi"/>
              </w:rPr>
              <w:t xml:space="preserve">Zastoupené: </w:t>
            </w:r>
          </w:p>
        </w:tc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</w:tcPr>
          <w:p w14:paraId="52DE6040" w14:textId="77777777" w:rsidR="00097C2D" w:rsidRPr="001B016C" w:rsidRDefault="00097C2D" w:rsidP="005B47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1B016C">
              <w:rPr>
                <w:rFonts w:asciiTheme="minorHAnsi" w:hAnsiTheme="minorHAnsi" w:cstheme="minorHAnsi"/>
              </w:rPr>
              <w:t>Miroslavem Sixtou, starostou města</w:t>
            </w:r>
          </w:p>
        </w:tc>
      </w:tr>
      <w:tr w:rsidR="00097C2D" w:rsidRPr="001B016C" w14:paraId="2ADAAD96" w14:textId="77777777" w:rsidTr="005B478A">
        <w:trPr>
          <w:trHeight w:val="2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28424551" w14:textId="77777777" w:rsidR="00097C2D" w:rsidRPr="001B016C" w:rsidRDefault="00097C2D" w:rsidP="005B47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1B016C">
              <w:rPr>
                <w:rFonts w:asciiTheme="minorHAnsi" w:hAnsiTheme="minorHAnsi" w:cstheme="minorHAnsi"/>
              </w:rPr>
              <w:t>IČ</w:t>
            </w:r>
            <w:r w:rsidR="00ED5AD2" w:rsidRPr="001B016C">
              <w:rPr>
                <w:rFonts w:asciiTheme="minorHAnsi" w:hAnsiTheme="minorHAnsi" w:cstheme="minorHAnsi"/>
              </w:rPr>
              <w:t>O</w:t>
            </w:r>
            <w:r w:rsidRPr="001B016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</w:tcPr>
          <w:p w14:paraId="116A01FB" w14:textId="77777777" w:rsidR="00097C2D" w:rsidRPr="001B016C" w:rsidRDefault="00097C2D" w:rsidP="005B47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1B016C">
              <w:rPr>
                <w:rFonts w:asciiTheme="minorHAnsi" w:hAnsiTheme="minorHAnsi" w:cstheme="minorHAnsi"/>
              </w:rPr>
              <w:t>00274879</w:t>
            </w:r>
          </w:p>
        </w:tc>
      </w:tr>
      <w:tr w:rsidR="00097C2D" w:rsidRPr="001B016C" w14:paraId="0F1D57B4" w14:textId="77777777" w:rsidTr="005B478A">
        <w:trPr>
          <w:trHeight w:val="2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22421E33" w14:textId="77777777" w:rsidR="00097C2D" w:rsidRPr="001B016C" w:rsidRDefault="00097C2D" w:rsidP="005B47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1B016C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</w:tcPr>
          <w:p w14:paraId="5D8D41AC" w14:textId="77777777" w:rsidR="00097C2D" w:rsidRPr="001B016C" w:rsidRDefault="00097C2D" w:rsidP="005B47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1B016C">
              <w:rPr>
                <w:rFonts w:asciiTheme="minorHAnsi" w:hAnsiTheme="minorHAnsi" w:cstheme="minorHAnsi"/>
              </w:rPr>
              <w:t>CZ00274879</w:t>
            </w:r>
          </w:p>
        </w:tc>
      </w:tr>
      <w:tr w:rsidR="00097C2D" w:rsidRPr="001B016C" w14:paraId="73EAC637" w14:textId="77777777" w:rsidTr="005B478A">
        <w:trPr>
          <w:trHeight w:val="78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73BA3D4C" w14:textId="77777777" w:rsidR="00097C2D" w:rsidRPr="001B016C" w:rsidRDefault="00097C2D" w:rsidP="005B47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1B016C">
              <w:rPr>
                <w:rFonts w:asciiTheme="minorHAnsi" w:hAnsiTheme="minorHAnsi" w:cstheme="minorHAnsi"/>
              </w:rPr>
              <w:t>Bankovní spojení:</w:t>
            </w:r>
          </w:p>
        </w:tc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</w:tcPr>
          <w:p w14:paraId="4ACE938E" w14:textId="77777777" w:rsidR="00097C2D" w:rsidRPr="001B016C" w:rsidRDefault="00097C2D" w:rsidP="005B478A">
            <w:pPr>
              <w:spacing w:after="0"/>
              <w:rPr>
                <w:rFonts w:asciiTheme="minorHAnsi" w:hAnsiTheme="minorHAnsi" w:cstheme="minorHAnsi"/>
              </w:rPr>
            </w:pPr>
            <w:r w:rsidRPr="001B016C">
              <w:rPr>
                <w:rFonts w:asciiTheme="minorHAnsi" w:hAnsiTheme="minorHAnsi" w:cstheme="minorHAnsi"/>
              </w:rPr>
              <w:t>Komerční banka, a. s.</w:t>
            </w:r>
          </w:p>
          <w:p w14:paraId="71FF8DAB" w14:textId="77777777" w:rsidR="00097C2D" w:rsidRPr="001B016C" w:rsidRDefault="00097C2D" w:rsidP="005B47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1B016C">
              <w:rPr>
                <w:rFonts w:asciiTheme="minorHAnsi" w:hAnsiTheme="minorHAnsi" w:cstheme="minorHAnsi"/>
              </w:rPr>
              <w:t>1721571/0100</w:t>
            </w:r>
          </w:p>
        </w:tc>
      </w:tr>
    </w:tbl>
    <w:p w14:paraId="10C317CE" w14:textId="77777777" w:rsidR="00097C2D" w:rsidRPr="001B016C" w:rsidRDefault="00097C2D" w:rsidP="00097C2D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(dále jen „Příkazce“) </w:t>
      </w:r>
    </w:p>
    <w:p w14:paraId="2774FC00" w14:textId="77777777" w:rsidR="00097C2D" w:rsidRPr="001B016C" w:rsidRDefault="00097C2D" w:rsidP="00097C2D">
      <w:pPr>
        <w:spacing w:after="0"/>
        <w:jc w:val="both"/>
        <w:rPr>
          <w:rFonts w:asciiTheme="minorHAnsi" w:hAnsiTheme="minorHAnsi" w:cstheme="minorHAnsi"/>
        </w:rPr>
      </w:pPr>
    </w:p>
    <w:p w14:paraId="4DF44E63" w14:textId="77777777" w:rsidR="00097C2D" w:rsidRPr="001B016C" w:rsidRDefault="00097C2D" w:rsidP="00097C2D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a </w:t>
      </w:r>
    </w:p>
    <w:p w14:paraId="30700342" w14:textId="77777777" w:rsidR="00097C2D" w:rsidRPr="001B016C" w:rsidRDefault="00097C2D" w:rsidP="00097C2D">
      <w:pPr>
        <w:spacing w:after="0"/>
        <w:jc w:val="both"/>
        <w:rPr>
          <w:rFonts w:asciiTheme="minorHAnsi" w:hAnsiTheme="minorHAnsi" w:cstheme="minorHAnsi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0"/>
        <w:gridCol w:w="6161"/>
      </w:tblGrid>
      <w:tr w:rsidR="00097C2D" w:rsidRPr="001B016C" w14:paraId="4D8DA1BB" w14:textId="77777777" w:rsidTr="005B478A">
        <w:trPr>
          <w:trHeight w:val="171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5439C5E7" w14:textId="77777777" w:rsidR="00097C2D" w:rsidRPr="001B016C" w:rsidRDefault="00097C2D" w:rsidP="005B478A">
            <w:pPr>
              <w:spacing w:after="0" w:line="240" w:lineRule="auto"/>
              <w:ind w:right="-1006"/>
              <w:contextualSpacing/>
              <w:rPr>
                <w:rFonts w:asciiTheme="minorHAnsi" w:hAnsiTheme="minorHAnsi" w:cstheme="minorHAnsi"/>
              </w:rPr>
            </w:pPr>
            <w:r w:rsidRPr="001B016C">
              <w:rPr>
                <w:rFonts w:asciiTheme="minorHAnsi" w:hAnsiTheme="minorHAnsi" w:cstheme="minorHAnsi"/>
              </w:rPr>
              <w:t xml:space="preserve">Název: </w:t>
            </w:r>
          </w:p>
        </w:tc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</w:tcPr>
          <w:p w14:paraId="476A2155" w14:textId="77777777" w:rsidR="00097C2D" w:rsidRPr="001B016C" w:rsidRDefault="00097C2D" w:rsidP="005B478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</w:rPr>
            </w:pPr>
            <w:r w:rsidRPr="001B016C">
              <w:rPr>
                <w:rFonts w:asciiTheme="minorHAnsi" w:hAnsiTheme="minorHAnsi" w:cstheme="minorHAnsi"/>
                <w:b/>
              </w:rPr>
              <w:t>TENDRA, spol. s r.o.</w:t>
            </w:r>
          </w:p>
        </w:tc>
      </w:tr>
      <w:tr w:rsidR="00097C2D" w:rsidRPr="001B016C" w14:paraId="3EBF741D" w14:textId="77777777" w:rsidTr="005B478A">
        <w:trPr>
          <w:trHeight w:val="24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4D825355" w14:textId="77777777" w:rsidR="00097C2D" w:rsidRPr="001B016C" w:rsidRDefault="00097C2D" w:rsidP="005B478A">
            <w:pPr>
              <w:spacing w:after="0" w:line="240" w:lineRule="auto"/>
              <w:ind w:right="-1290"/>
              <w:contextualSpacing/>
              <w:rPr>
                <w:rFonts w:asciiTheme="minorHAnsi" w:hAnsiTheme="minorHAnsi" w:cstheme="minorHAnsi"/>
              </w:rPr>
            </w:pPr>
            <w:r w:rsidRPr="001B016C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</w:tcPr>
          <w:p w14:paraId="1BC3B9E6" w14:textId="77777777" w:rsidR="00097C2D" w:rsidRPr="001B016C" w:rsidRDefault="00097C2D" w:rsidP="005B478A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1B016C">
              <w:rPr>
                <w:rFonts w:asciiTheme="minorHAnsi" w:hAnsiTheme="minorHAnsi" w:cstheme="minorHAnsi"/>
              </w:rPr>
              <w:t>Ořechová 3336, 276 01 Mělník</w:t>
            </w:r>
          </w:p>
        </w:tc>
      </w:tr>
      <w:tr w:rsidR="00097C2D" w:rsidRPr="001B016C" w14:paraId="0D6C521A" w14:textId="77777777" w:rsidTr="005B478A">
        <w:trPr>
          <w:trHeight w:val="388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51D641EB" w14:textId="77777777" w:rsidR="00097C2D" w:rsidRPr="001B016C" w:rsidRDefault="00097C2D" w:rsidP="005B47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1B016C">
              <w:rPr>
                <w:rFonts w:asciiTheme="minorHAnsi" w:hAnsiTheme="minorHAnsi" w:cstheme="minorHAnsi"/>
              </w:rPr>
              <w:t xml:space="preserve">Zastoupená: </w:t>
            </w:r>
          </w:p>
        </w:tc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</w:tcPr>
          <w:p w14:paraId="23ABB5DB" w14:textId="77777777" w:rsidR="00097C2D" w:rsidRPr="001B016C" w:rsidRDefault="00097C2D" w:rsidP="005B47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1B016C">
              <w:rPr>
                <w:rFonts w:asciiTheme="minorHAnsi" w:hAnsiTheme="minorHAnsi" w:cstheme="minorHAnsi"/>
              </w:rPr>
              <w:t>Ing. Jitkou Plíštilovou, jednatelkou společnosti</w:t>
            </w:r>
          </w:p>
        </w:tc>
      </w:tr>
      <w:tr w:rsidR="00097C2D" w:rsidRPr="001B016C" w14:paraId="686B126B" w14:textId="77777777" w:rsidTr="005B478A">
        <w:trPr>
          <w:trHeight w:val="2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0F966420" w14:textId="77777777" w:rsidR="00097C2D" w:rsidRPr="001B016C" w:rsidRDefault="00097C2D" w:rsidP="005B47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1B016C">
              <w:rPr>
                <w:rFonts w:asciiTheme="minorHAnsi" w:hAnsiTheme="minorHAnsi" w:cstheme="minorHAnsi"/>
              </w:rPr>
              <w:t>IČ</w:t>
            </w:r>
            <w:r w:rsidR="00ED5AD2" w:rsidRPr="001B016C">
              <w:rPr>
                <w:rFonts w:asciiTheme="minorHAnsi" w:hAnsiTheme="minorHAnsi" w:cstheme="minorHAnsi"/>
              </w:rPr>
              <w:t>O</w:t>
            </w:r>
            <w:r w:rsidRPr="001B016C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</w:tcPr>
          <w:p w14:paraId="178BC757" w14:textId="77777777" w:rsidR="00097C2D" w:rsidRPr="001B016C" w:rsidRDefault="00097C2D" w:rsidP="005B47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1B016C">
              <w:rPr>
                <w:rFonts w:asciiTheme="minorHAnsi" w:hAnsiTheme="minorHAnsi" w:cstheme="minorHAnsi"/>
              </w:rPr>
              <w:t>01820265</w:t>
            </w:r>
          </w:p>
        </w:tc>
      </w:tr>
      <w:tr w:rsidR="00097C2D" w:rsidRPr="001B016C" w14:paraId="6B070811" w14:textId="77777777" w:rsidTr="005B478A">
        <w:trPr>
          <w:trHeight w:val="299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6EAE8D74" w14:textId="77777777" w:rsidR="00097C2D" w:rsidRPr="001B016C" w:rsidRDefault="00097C2D" w:rsidP="005B47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1B016C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</w:tcPr>
          <w:p w14:paraId="39757B46" w14:textId="77777777" w:rsidR="00097C2D" w:rsidRPr="001B016C" w:rsidRDefault="00097C2D" w:rsidP="005B47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1B016C">
              <w:rPr>
                <w:rFonts w:asciiTheme="minorHAnsi" w:hAnsiTheme="minorHAnsi" w:cstheme="minorHAnsi"/>
              </w:rPr>
              <w:t>CZ01820265</w:t>
            </w:r>
          </w:p>
        </w:tc>
      </w:tr>
      <w:tr w:rsidR="00097C2D" w:rsidRPr="001B016C" w14:paraId="335734D1" w14:textId="77777777" w:rsidTr="005B478A">
        <w:trPr>
          <w:trHeight w:val="783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07CD53A3" w14:textId="77777777" w:rsidR="00097C2D" w:rsidRPr="001B016C" w:rsidRDefault="00097C2D" w:rsidP="005B47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1B016C">
              <w:rPr>
                <w:rFonts w:asciiTheme="minorHAnsi" w:hAnsiTheme="minorHAnsi" w:cstheme="minorHAnsi"/>
              </w:rPr>
              <w:t>Bankovní spojení:</w:t>
            </w:r>
          </w:p>
        </w:tc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</w:tcPr>
          <w:p w14:paraId="6B0E5793" w14:textId="77777777" w:rsidR="00097C2D" w:rsidRPr="001B016C" w:rsidRDefault="00097C2D" w:rsidP="005B478A">
            <w:pPr>
              <w:spacing w:after="0"/>
              <w:rPr>
                <w:rFonts w:asciiTheme="minorHAnsi" w:hAnsiTheme="minorHAnsi" w:cstheme="minorHAnsi"/>
              </w:rPr>
            </w:pPr>
            <w:r w:rsidRPr="001B016C">
              <w:rPr>
                <w:rFonts w:asciiTheme="minorHAnsi" w:hAnsiTheme="minorHAnsi" w:cstheme="minorHAnsi"/>
              </w:rPr>
              <w:t>Komerční banka, a. s.</w:t>
            </w:r>
          </w:p>
          <w:p w14:paraId="2042878F" w14:textId="77777777" w:rsidR="00097C2D" w:rsidRPr="001B016C" w:rsidRDefault="00097C2D" w:rsidP="005B478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1B016C">
              <w:rPr>
                <w:rFonts w:asciiTheme="minorHAnsi" w:hAnsiTheme="minorHAnsi" w:cstheme="minorHAnsi"/>
              </w:rPr>
              <w:t>107-5259760247/0100</w:t>
            </w:r>
          </w:p>
        </w:tc>
      </w:tr>
    </w:tbl>
    <w:p w14:paraId="339214C9" w14:textId="77777777" w:rsidR="00097C2D" w:rsidRPr="001B016C" w:rsidRDefault="00097C2D" w:rsidP="00ED5AD2">
      <w:pPr>
        <w:spacing w:after="0"/>
        <w:jc w:val="both"/>
        <w:rPr>
          <w:rFonts w:asciiTheme="minorHAnsi" w:hAnsiTheme="minorHAnsi" w:cstheme="minorHAnsi"/>
        </w:rPr>
      </w:pPr>
    </w:p>
    <w:p w14:paraId="06343B37" w14:textId="77777777" w:rsidR="00097C2D" w:rsidRPr="001B016C" w:rsidRDefault="00097C2D" w:rsidP="00ED5AD2">
      <w:pPr>
        <w:spacing w:after="0"/>
        <w:jc w:val="both"/>
        <w:rPr>
          <w:rFonts w:asciiTheme="minorHAnsi" w:eastAsia="Batang" w:hAnsiTheme="minorHAnsi" w:cstheme="minorHAnsi"/>
        </w:rPr>
      </w:pPr>
      <w:r w:rsidRPr="001B016C">
        <w:rPr>
          <w:rFonts w:asciiTheme="minorHAnsi" w:eastAsia="Batang" w:hAnsiTheme="minorHAnsi" w:cstheme="minorHAnsi"/>
        </w:rPr>
        <w:t>Společnost je zapsaná v obchodním rejstříku vedeném Městským soudem v Praze, spis. zn. C 212079.</w:t>
      </w:r>
    </w:p>
    <w:p w14:paraId="1CD05871" w14:textId="77777777" w:rsidR="00596507" w:rsidRPr="001B016C" w:rsidRDefault="00097C2D" w:rsidP="00ED5AD2">
      <w:pPr>
        <w:spacing w:after="0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>(dále jen „Příkazník“)</w:t>
      </w:r>
    </w:p>
    <w:p w14:paraId="7FDDA803" w14:textId="77777777" w:rsidR="00ED5AD2" w:rsidRPr="001B016C" w:rsidRDefault="00ED5AD2" w:rsidP="00ED5AD2">
      <w:pPr>
        <w:spacing w:after="0"/>
        <w:rPr>
          <w:rFonts w:asciiTheme="minorHAnsi" w:hAnsiTheme="minorHAnsi" w:cstheme="minorHAnsi"/>
        </w:rPr>
      </w:pPr>
    </w:p>
    <w:p w14:paraId="7583676F" w14:textId="77777777" w:rsidR="00ED5AD2" w:rsidRPr="001B016C" w:rsidRDefault="00ED5AD2" w:rsidP="00ED5AD2">
      <w:pPr>
        <w:spacing w:after="0"/>
        <w:jc w:val="center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>uzavřeli níže psaného roku a dne ve smyslu § 2430 a násl. zákona č. 89/2012 Sb., občanský zákoník, ve znění pozdějších právních předpisů, následující smlouvu:</w:t>
      </w:r>
    </w:p>
    <w:p w14:paraId="4D240057" w14:textId="77777777" w:rsidR="00ED5AD2" w:rsidRPr="001B016C" w:rsidRDefault="00ED5AD2" w:rsidP="00ED5AD2">
      <w:pPr>
        <w:spacing w:after="0"/>
        <w:jc w:val="center"/>
        <w:rPr>
          <w:rFonts w:asciiTheme="minorHAnsi" w:hAnsiTheme="minorHAnsi" w:cstheme="minorHAnsi"/>
        </w:rPr>
      </w:pPr>
    </w:p>
    <w:p w14:paraId="792DDC8C" w14:textId="77777777" w:rsidR="00ED5AD2" w:rsidRPr="001B016C" w:rsidRDefault="00ED5AD2" w:rsidP="00ED5AD2">
      <w:pPr>
        <w:spacing w:after="0"/>
        <w:jc w:val="center"/>
        <w:rPr>
          <w:rFonts w:asciiTheme="minorHAnsi" w:hAnsiTheme="minorHAnsi" w:cstheme="minorHAnsi"/>
        </w:rPr>
      </w:pPr>
    </w:p>
    <w:p w14:paraId="6F72E9FB" w14:textId="77777777" w:rsidR="00ED5AD2" w:rsidRPr="001B016C" w:rsidRDefault="00ED5AD2" w:rsidP="00ED5AD2">
      <w:pPr>
        <w:spacing w:after="0"/>
        <w:jc w:val="center"/>
        <w:rPr>
          <w:rFonts w:asciiTheme="minorHAnsi" w:hAnsiTheme="minorHAnsi" w:cstheme="minorHAnsi"/>
          <w:b/>
        </w:rPr>
      </w:pPr>
      <w:r w:rsidRPr="001B016C">
        <w:rPr>
          <w:rFonts w:asciiTheme="minorHAnsi" w:hAnsiTheme="minorHAnsi" w:cstheme="minorHAnsi"/>
          <w:b/>
        </w:rPr>
        <w:t>I.</w:t>
      </w:r>
    </w:p>
    <w:p w14:paraId="26873D98" w14:textId="77777777" w:rsidR="00ED5AD2" w:rsidRPr="001B016C" w:rsidRDefault="00ED5AD2" w:rsidP="00ED5AD2">
      <w:pPr>
        <w:spacing w:after="0"/>
        <w:jc w:val="center"/>
        <w:rPr>
          <w:rFonts w:asciiTheme="minorHAnsi" w:hAnsiTheme="minorHAnsi" w:cstheme="minorHAnsi"/>
          <w:b/>
        </w:rPr>
      </w:pPr>
      <w:r w:rsidRPr="001B016C">
        <w:rPr>
          <w:rFonts w:asciiTheme="minorHAnsi" w:hAnsiTheme="minorHAnsi" w:cstheme="minorHAnsi"/>
          <w:b/>
        </w:rPr>
        <w:t>Úvodní ustanovení</w:t>
      </w:r>
    </w:p>
    <w:p w14:paraId="2D52A9FD" w14:textId="77777777" w:rsidR="00ED5AD2" w:rsidRPr="001B016C" w:rsidRDefault="00ED5AD2" w:rsidP="00ED5AD2">
      <w:pPr>
        <w:spacing w:after="0"/>
        <w:jc w:val="center"/>
        <w:rPr>
          <w:rFonts w:asciiTheme="minorHAnsi" w:hAnsiTheme="minorHAnsi" w:cstheme="minorHAnsi"/>
          <w:b/>
        </w:rPr>
      </w:pPr>
    </w:p>
    <w:p w14:paraId="57502A79" w14:textId="5ED67FDB" w:rsidR="00ED5AD2" w:rsidRPr="001B016C" w:rsidRDefault="00ED5AD2" w:rsidP="00ED5AD2">
      <w:pPr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1. </w:t>
      </w:r>
      <w:r w:rsidRPr="001B016C">
        <w:rPr>
          <w:rFonts w:asciiTheme="minorHAnsi" w:hAnsiTheme="minorHAnsi" w:cstheme="minorHAnsi"/>
        </w:rPr>
        <w:tab/>
        <w:t xml:space="preserve">Příkazce je investorem stavby </w:t>
      </w:r>
      <w:r w:rsidRPr="001B016C">
        <w:rPr>
          <w:rFonts w:asciiTheme="minorHAnsi" w:hAnsiTheme="minorHAnsi" w:cstheme="minorHAnsi"/>
          <w:b/>
          <w:u w:val="single"/>
        </w:rPr>
        <w:t>„Zateplení střechy, stínění, výměna zdroje tepla a IRC regulace, VZT a FVE v budově ZŠ Pulická 378, Dobruška“</w:t>
      </w:r>
      <w:r w:rsidRPr="001B016C">
        <w:rPr>
          <w:rFonts w:asciiTheme="minorHAnsi" w:hAnsiTheme="minorHAnsi" w:cstheme="minorHAnsi"/>
          <w:b/>
        </w:rPr>
        <w:t xml:space="preserve"> </w:t>
      </w:r>
      <w:r w:rsidRPr="001B016C">
        <w:rPr>
          <w:rFonts w:asciiTheme="minorHAnsi" w:hAnsiTheme="minorHAnsi" w:cstheme="minorHAnsi"/>
        </w:rPr>
        <w:t>tak, jak je vše podrobně zachyceno v níže uvedených dokumentacích:</w:t>
      </w:r>
    </w:p>
    <w:p w14:paraId="37F68C10" w14:textId="77777777" w:rsidR="00821D26" w:rsidRPr="004F61AA" w:rsidRDefault="00821D26" w:rsidP="00821D26">
      <w:pPr>
        <w:pStyle w:val="Odstavecseseznamem"/>
        <w:numPr>
          <w:ilvl w:val="0"/>
          <w:numId w:val="8"/>
        </w:numPr>
        <w:spacing w:after="0" w:line="259" w:lineRule="auto"/>
        <w:ind w:left="426" w:hanging="426"/>
        <w:jc w:val="both"/>
        <w:rPr>
          <w:rFonts w:cstheme="minorHAnsi"/>
        </w:rPr>
      </w:pPr>
      <w:r w:rsidRPr="00463245">
        <w:rPr>
          <w:rFonts w:cstheme="minorHAnsi"/>
          <w:i/>
        </w:rPr>
        <w:t xml:space="preserve">Projektová dokumentace </w:t>
      </w:r>
      <w:r>
        <w:rPr>
          <w:rFonts w:cstheme="minorHAnsi"/>
          <w:i/>
        </w:rPr>
        <w:t>opravy</w:t>
      </w:r>
      <w:r w:rsidRPr="00463245">
        <w:rPr>
          <w:rFonts w:cstheme="minorHAnsi"/>
          <w:i/>
        </w:rPr>
        <w:t xml:space="preserve"> střechy</w:t>
      </w:r>
      <w:r>
        <w:rPr>
          <w:rFonts w:cstheme="minorHAnsi"/>
          <w:i/>
        </w:rPr>
        <w:t>,</w:t>
      </w:r>
      <w:r w:rsidRPr="004F61AA">
        <w:rPr>
          <w:rFonts w:ascii="Sitka Text" w:hAnsi="Sitka Text"/>
          <w:i/>
          <w:iCs/>
          <w14:numForm w14:val="lining"/>
        </w:rPr>
        <w:t xml:space="preserve"> </w:t>
      </w:r>
      <w:r w:rsidRPr="004F61AA">
        <w:rPr>
          <w:rFonts w:cstheme="minorHAnsi"/>
          <w:i/>
          <w:iCs/>
          <w14:numForm w14:val="lining"/>
        </w:rPr>
        <w:t>instalace nových zdrojů tepla, instalace vzduchotechnických jednotek, návrh nového osvětlení</w:t>
      </w:r>
      <w:r w:rsidRPr="004F61AA">
        <w:rPr>
          <w:rFonts w:cstheme="minorHAnsi"/>
        </w:rPr>
        <w:t>, stupeň: dokumentace pro provádění stavby (DPS), datum: 02/2025, zpracovatel: DEKPROJEKT, s. r. o., Tiskařská 10/257, 108 00 Praha, IČO: 27642411;</w:t>
      </w:r>
    </w:p>
    <w:p w14:paraId="0868259F" w14:textId="77777777" w:rsidR="00821D26" w:rsidRPr="00463245" w:rsidRDefault="00821D26" w:rsidP="00821D26">
      <w:pPr>
        <w:pStyle w:val="Odstavecseseznamem"/>
        <w:numPr>
          <w:ilvl w:val="0"/>
          <w:numId w:val="8"/>
        </w:numPr>
        <w:spacing w:after="0" w:line="259" w:lineRule="auto"/>
        <w:ind w:left="426" w:hanging="426"/>
        <w:jc w:val="both"/>
        <w:rPr>
          <w:rFonts w:cstheme="minorHAnsi"/>
        </w:rPr>
      </w:pPr>
      <w:r w:rsidRPr="00463245">
        <w:rPr>
          <w:rFonts w:cstheme="minorHAnsi"/>
          <w:i/>
        </w:rPr>
        <w:t>Instalace fotovoltaického systému</w:t>
      </w:r>
      <w:r w:rsidRPr="00463245">
        <w:rPr>
          <w:rFonts w:cstheme="minorHAnsi"/>
        </w:rPr>
        <w:t xml:space="preserve">, stupeň: DPS, datum: </w:t>
      </w:r>
      <w:r>
        <w:rPr>
          <w:rFonts w:cstheme="minorHAnsi"/>
        </w:rPr>
        <w:t>08/2024</w:t>
      </w:r>
      <w:r w:rsidRPr="00463245">
        <w:rPr>
          <w:rFonts w:cstheme="minorHAnsi"/>
        </w:rPr>
        <w:t>, zpracovatel: DEKPROJEKT, s. r. o., Tiskařská 10/257, 108 00 Praha, IČO: 27642411.</w:t>
      </w:r>
    </w:p>
    <w:p w14:paraId="324F9623" w14:textId="77777777" w:rsidR="00821D26" w:rsidRDefault="00821D26" w:rsidP="005B478A">
      <w:pPr>
        <w:spacing w:after="0"/>
        <w:jc w:val="both"/>
        <w:rPr>
          <w:rFonts w:asciiTheme="minorHAnsi" w:hAnsiTheme="minorHAnsi" w:cstheme="minorHAnsi"/>
        </w:rPr>
      </w:pPr>
    </w:p>
    <w:p w14:paraId="0CAF3C04" w14:textId="4A156850" w:rsidR="00ED5AD2" w:rsidRPr="001B016C" w:rsidRDefault="00ED5AD2" w:rsidP="005B478A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lastRenderedPageBreak/>
        <w:t>kter</w:t>
      </w:r>
      <w:r w:rsidR="005B478A" w:rsidRPr="001B016C">
        <w:rPr>
          <w:rFonts w:asciiTheme="minorHAnsi" w:hAnsiTheme="minorHAnsi" w:cstheme="minorHAnsi"/>
        </w:rPr>
        <w:t>é</w:t>
      </w:r>
      <w:r w:rsidRPr="001B016C">
        <w:rPr>
          <w:rFonts w:asciiTheme="minorHAnsi" w:hAnsiTheme="minorHAnsi" w:cstheme="minorHAnsi"/>
        </w:rPr>
        <w:t xml:space="preserve"> Příkazník převzal před podpisem této smlouvy.</w:t>
      </w:r>
    </w:p>
    <w:p w14:paraId="1BCA24A6" w14:textId="77777777" w:rsidR="005B478A" w:rsidRPr="001B016C" w:rsidRDefault="005B478A" w:rsidP="005B478A">
      <w:pPr>
        <w:spacing w:after="0"/>
        <w:jc w:val="both"/>
        <w:rPr>
          <w:rFonts w:asciiTheme="minorHAnsi" w:hAnsiTheme="minorHAnsi" w:cstheme="minorHAnsi"/>
        </w:rPr>
      </w:pPr>
    </w:p>
    <w:p w14:paraId="77159BF6" w14:textId="496AA85F" w:rsidR="005B478A" w:rsidRPr="001B016C" w:rsidRDefault="005B478A" w:rsidP="005B478A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2. </w:t>
      </w:r>
      <w:r w:rsidRPr="001B016C">
        <w:rPr>
          <w:rFonts w:asciiTheme="minorHAnsi" w:hAnsiTheme="minorHAnsi" w:cstheme="minorHAnsi"/>
        </w:rPr>
        <w:tab/>
        <w:t>Příkazník je osobou odborně způsobilou k zajištění činností, jež jsou mu touto smlouvou svěřeny.</w:t>
      </w:r>
    </w:p>
    <w:p w14:paraId="7340FACD" w14:textId="537B58F3" w:rsidR="005B478A" w:rsidRPr="001B016C" w:rsidRDefault="005B478A" w:rsidP="005B478A">
      <w:pPr>
        <w:spacing w:after="0"/>
        <w:jc w:val="both"/>
        <w:rPr>
          <w:rFonts w:asciiTheme="minorHAnsi" w:hAnsiTheme="minorHAnsi" w:cstheme="minorHAnsi"/>
        </w:rPr>
      </w:pPr>
    </w:p>
    <w:p w14:paraId="3E104509" w14:textId="42F1807C" w:rsidR="005B478A" w:rsidRPr="001B016C" w:rsidRDefault="005B478A" w:rsidP="005B478A">
      <w:pPr>
        <w:spacing w:after="0"/>
        <w:jc w:val="both"/>
        <w:rPr>
          <w:rFonts w:asciiTheme="minorHAnsi" w:hAnsiTheme="minorHAnsi" w:cstheme="minorHAnsi"/>
        </w:rPr>
      </w:pPr>
    </w:p>
    <w:p w14:paraId="2C310EF1" w14:textId="77777777" w:rsidR="005B478A" w:rsidRPr="001B016C" w:rsidRDefault="005B478A" w:rsidP="005B478A">
      <w:pPr>
        <w:spacing w:after="0"/>
        <w:jc w:val="center"/>
        <w:rPr>
          <w:rFonts w:asciiTheme="minorHAnsi" w:hAnsiTheme="minorHAnsi" w:cstheme="minorHAnsi"/>
          <w:b/>
        </w:rPr>
      </w:pPr>
      <w:r w:rsidRPr="001B016C">
        <w:rPr>
          <w:rFonts w:asciiTheme="minorHAnsi" w:hAnsiTheme="minorHAnsi" w:cstheme="minorHAnsi"/>
          <w:b/>
        </w:rPr>
        <w:t>II.</w:t>
      </w:r>
    </w:p>
    <w:p w14:paraId="71170106" w14:textId="77777777" w:rsidR="005B478A" w:rsidRPr="001B016C" w:rsidRDefault="005B478A" w:rsidP="005B478A">
      <w:pPr>
        <w:spacing w:after="0"/>
        <w:jc w:val="center"/>
        <w:rPr>
          <w:rFonts w:asciiTheme="minorHAnsi" w:hAnsiTheme="minorHAnsi" w:cstheme="minorHAnsi"/>
          <w:b/>
        </w:rPr>
      </w:pPr>
      <w:r w:rsidRPr="001B016C">
        <w:rPr>
          <w:rFonts w:asciiTheme="minorHAnsi" w:hAnsiTheme="minorHAnsi" w:cstheme="minorHAnsi"/>
          <w:b/>
        </w:rPr>
        <w:t>Předmět smlouvy</w:t>
      </w:r>
    </w:p>
    <w:p w14:paraId="1A8F3C57" w14:textId="77777777" w:rsidR="005B478A" w:rsidRPr="001B016C" w:rsidRDefault="005B478A" w:rsidP="005B478A">
      <w:pPr>
        <w:spacing w:after="0"/>
        <w:jc w:val="center"/>
        <w:rPr>
          <w:rFonts w:asciiTheme="minorHAnsi" w:hAnsiTheme="minorHAnsi" w:cstheme="minorHAnsi"/>
          <w:b/>
        </w:rPr>
      </w:pPr>
    </w:p>
    <w:p w14:paraId="45DAE106" w14:textId="24F6C4CB" w:rsidR="005B478A" w:rsidRPr="001B016C" w:rsidRDefault="005B478A" w:rsidP="005B478A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1. </w:t>
      </w:r>
      <w:r w:rsidRPr="001B016C">
        <w:rPr>
          <w:rFonts w:asciiTheme="minorHAnsi" w:hAnsiTheme="minorHAnsi" w:cstheme="minorHAnsi"/>
        </w:rPr>
        <w:tab/>
        <w:t xml:space="preserve">Příkazce za podmínek uvedených v této smlouvě pověřuje Příkazníka, aby za úplatu vykonával technický dozor stavebníka na stavbě uvedené v čl. I. odst. 1 této smlouvy </w:t>
      </w:r>
      <w:r w:rsidR="005A0D91" w:rsidRPr="001B016C">
        <w:rPr>
          <w:rFonts w:asciiTheme="minorHAnsi" w:hAnsiTheme="minorHAnsi" w:cstheme="minorHAnsi"/>
        </w:rPr>
        <w:t xml:space="preserve">(dále jen „stavba“) </w:t>
      </w:r>
      <w:r w:rsidRPr="001B016C">
        <w:rPr>
          <w:rFonts w:asciiTheme="minorHAnsi" w:hAnsiTheme="minorHAnsi" w:cstheme="minorHAnsi"/>
        </w:rPr>
        <w:t>a zajišťoval po dohodě s Příkazcem veškeré činnosti uvedené v čl. III této smlouvy během přípravy stavby, při vlastní realizaci stavebních prací</w:t>
      </w:r>
      <w:r w:rsidR="005A0D91" w:rsidRPr="001B016C">
        <w:rPr>
          <w:rFonts w:asciiTheme="minorHAnsi" w:hAnsiTheme="minorHAnsi" w:cstheme="minorHAnsi"/>
        </w:rPr>
        <w:t>,</w:t>
      </w:r>
      <w:r w:rsidRPr="001B016C">
        <w:rPr>
          <w:rFonts w:asciiTheme="minorHAnsi" w:hAnsiTheme="minorHAnsi" w:cstheme="minorHAnsi"/>
        </w:rPr>
        <w:t xml:space="preserve"> při odstranění vad a nedodělků zjištěných při předání a převzetí dokončené stavby</w:t>
      </w:r>
      <w:r w:rsidR="005A0D91" w:rsidRPr="001B016C">
        <w:rPr>
          <w:rFonts w:asciiTheme="minorHAnsi" w:hAnsiTheme="minorHAnsi" w:cstheme="minorHAnsi"/>
        </w:rPr>
        <w:t xml:space="preserve"> a při kolaudaci stavby</w:t>
      </w:r>
      <w:r w:rsidRPr="001B016C">
        <w:rPr>
          <w:rFonts w:asciiTheme="minorHAnsi" w:hAnsiTheme="minorHAnsi" w:cstheme="minorHAnsi"/>
        </w:rPr>
        <w:t>.</w:t>
      </w:r>
    </w:p>
    <w:p w14:paraId="29E8686E" w14:textId="635A91B4" w:rsidR="005A0D91" w:rsidRPr="001B016C" w:rsidRDefault="005A0D91" w:rsidP="005B478A">
      <w:pPr>
        <w:spacing w:after="0"/>
        <w:jc w:val="both"/>
        <w:rPr>
          <w:rFonts w:asciiTheme="minorHAnsi" w:hAnsiTheme="minorHAnsi" w:cstheme="minorHAnsi"/>
        </w:rPr>
      </w:pPr>
    </w:p>
    <w:p w14:paraId="24948B79" w14:textId="6EBD81E2" w:rsidR="005A0D91" w:rsidRPr="001B016C" w:rsidRDefault="005A0D91" w:rsidP="005A0D91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2. </w:t>
      </w:r>
      <w:r w:rsidRPr="001B016C">
        <w:rPr>
          <w:rFonts w:asciiTheme="minorHAnsi" w:hAnsiTheme="minorHAnsi" w:cstheme="minorHAnsi"/>
        </w:rPr>
        <w:tab/>
        <w:t>Příkazník za podmínek uvedených v této smlouvě přijímá pověření Příkazce v celém rozsahu a zavazuje se v zájmu a ve prospěch Příkazce vykonávat s odbornou péčí činnosti specifikované v této smlouvě.</w:t>
      </w:r>
    </w:p>
    <w:p w14:paraId="772CA007" w14:textId="6A20E9F9" w:rsidR="005A0D91" w:rsidRPr="001B016C" w:rsidRDefault="005A0D91" w:rsidP="005A0D91">
      <w:pPr>
        <w:spacing w:after="0"/>
        <w:jc w:val="both"/>
        <w:rPr>
          <w:rFonts w:asciiTheme="minorHAnsi" w:hAnsiTheme="minorHAnsi" w:cstheme="minorHAnsi"/>
        </w:rPr>
      </w:pPr>
    </w:p>
    <w:p w14:paraId="0BBCE674" w14:textId="7F8DC850" w:rsidR="005A0D91" w:rsidRPr="001B016C" w:rsidRDefault="005A0D91" w:rsidP="005A0D91">
      <w:pPr>
        <w:spacing w:after="0"/>
        <w:jc w:val="both"/>
        <w:rPr>
          <w:rFonts w:asciiTheme="minorHAnsi" w:hAnsiTheme="minorHAnsi" w:cstheme="minorHAnsi"/>
        </w:rPr>
      </w:pPr>
    </w:p>
    <w:p w14:paraId="401C034B" w14:textId="77777777" w:rsidR="005A0D91" w:rsidRPr="001B016C" w:rsidRDefault="005A0D91" w:rsidP="005A0D91">
      <w:pPr>
        <w:spacing w:after="0"/>
        <w:jc w:val="center"/>
        <w:rPr>
          <w:rFonts w:asciiTheme="minorHAnsi" w:hAnsiTheme="minorHAnsi" w:cstheme="minorHAnsi"/>
          <w:b/>
        </w:rPr>
      </w:pPr>
      <w:r w:rsidRPr="001B016C">
        <w:rPr>
          <w:rFonts w:asciiTheme="minorHAnsi" w:hAnsiTheme="minorHAnsi" w:cstheme="minorHAnsi"/>
          <w:b/>
        </w:rPr>
        <w:t>III.</w:t>
      </w:r>
    </w:p>
    <w:p w14:paraId="0DB71CEE" w14:textId="77777777" w:rsidR="005A0D91" w:rsidRPr="001B016C" w:rsidRDefault="005A0D91" w:rsidP="005A0D91">
      <w:pPr>
        <w:spacing w:after="0"/>
        <w:jc w:val="center"/>
        <w:rPr>
          <w:rFonts w:asciiTheme="minorHAnsi" w:hAnsiTheme="minorHAnsi" w:cstheme="minorHAnsi"/>
          <w:b/>
        </w:rPr>
      </w:pPr>
      <w:r w:rsidRPr="001B016C">
        <w:rPr>
          <w:rFonts w:asciiTheme="minorHAnsi" w:hAnsiTheme="minorHAnsi" w:cstheme="minorHAnsi"/>
          <w:b/>
        </w:rPr>
        <w:t>Rozsah činností Příkazníka</w:t>
      </w:r>
    </w:p>
    <w:p w14:paraId="44DD9148" w14:textId="77777777" w:rsidR="005A0D91" w:rsidRPr="001B016C" w:rsidRDefault="005A0D91" w:rsidP="005A0D91">
      <w:pPr>
        <w:spacing w:after="0"/>
        <w:jc w:val="both"/>
        <w:rPr>
          <w:rFonts w:asciiTheme="minorHAnsi" w:hAnsiTheme="minorHAnsi" w:cstheme="minorHAnsi"/>
        </w:rPr>
      </w:pPr>
    </w:p>
    <w:p w14:paraId="031B4130" w14:textId="5BFF7CBD" w:rsidR="005A0D91" w:rsidRPr="001B016C" w:rsidRDefault="005A0D91" w:rsidP="005A0D91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Příkazník se zavazuje vykonávat zejména, nikoli však výhradně, tyto níže uvedené činnosti: </w:t>
      </w:r>
    </w:p>
    <w:p w14:paraId="47A09399" w14:textId="2F029336" w:rsidR="005A0D91" w:rsidRPr="001B016C" w:rsidRDefault="005A0D91" w:rsidP="005A0D91">
      <w:pPr>
        <w:pStyle w:val="Odstavecseseznamem"/>
        <w:numPr>
          <w:ilvl w:val="0"/>
          <w:numId w:val="2"/>
        </w:numPr>
        <w:spacing w:after="0"/>
        <w:ind w:left="414" w:hanging="414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>seznámení se s</w:t>
      </w:r>
      <w:r w:rsidR="00DB7076" w:rsidRPr="001B016C">
        <w:rPr>
          <w:rFonts w:asciiTheme="minorHAnsi" w:hAnsiTheme="minorHAnsi" w:cstheme="minorHAnsi"/>
        </w:rPr>
        <w:t> </w:t>
      </w:r>
      <w:r w:rsidRPr="001B016C">
        <w:rPr>
          <w:rFonts w:asciiTheme="minorHAnsi" w:hAnsiTheme="minorHAnsi" w:cstheme="minorHAnsi"/>
        </w:rPr>
        <w:t>dokumentac</w:t>
      </w:r>
      <w:r w:rsidR="00DB7076" w:rsidRPr="001B016C">
        <w:rPr>
          <w:rFonts w:asciiTheme="minorHAnsi" w:hAnsiTheme="minorHAnsi" w:cstheme="minorHAnsi"/>
        </w:rPr>
        <w:t>emi uvedenými v odst. 1 čl. I této smlouvy (dále jen „dokumentace“)</w:t>
      </w:r>
      <w:r w:rsidRPr="001B016C">
        <w:rPr>
          <w:rFonts w:asciiTheme="minorHAnsi" w:hAnsiTheme="minorHAnsi" w:cstheme="minorHAnsi"/>
        </w:rPr>
        <w:t xml:space="preserve"> a obsahem</w:t>
      </w:r>
      <w:r w:rsidR="00DB7076" w:rsidRPr="001B016C">
        <w:rPr>
          <w:rFonts w:asciiTheme="minorHAnsi" w:hAnsiTheme="minorHAnsi" w:cstheme="minorHAnsi"/>
        </w:rPr>
        <w:t xml:space="preserve"> smlou</w:t>
      </w:r>
      <w:r w:rsidRPr="001B016C">
        <w:rPr>
          <w:rFonts w:asciiTheme="minorHAnsi" w:hAnsiTheme="minorHAnsi" w:cstheme="minorHAnsi"/>
        </w:rPr>
        <w:t>v</w:t>
      </w:r>
      <w:r w:rsidR="00DB7076" w:rsidRPr="001B016C">
        <w:rPr>
          <w:rFonts w:asciiTheme="minorHAnsi" w:hAnsiTheme="minorHAnsi" w:cstheme="minorHAnsi"/>
        </w:rPr>
        <w:t>y o dílo uzavřené se zhotovitelem stavby</w:t>
      </w:r>
      <w:r w:rsidRPr="001B016C">
        <w:rPr>
          <w:rFonts w:asciiTheme="minorHAnsi" w:hAnsiTheme="minorHAnsi" w:cstheme="minorHAnsi"/>
        </w:rPr>
        <w:t xml:space="preserve">, </w:t>
      </w:r>
    </w:p>
    <w:p w14:paraId="764B2128" w14:textId="77777777" w:rsidR="005A0D91" w:rsidRPr="001B016C" w:rsidRDefault="005A0D91" w:rsidP="005A0D91">
      <w:pPr>
        <w:pStyle w:val="Odstavecseseznamem"/>
        <w:numPr>
          <w:ilvl w:val="0"/>
          <w:numId w:val="2"/>
        </w:numPr>
        <w:spacing w:after="0"/>
        <w:ind w:left="414" w:hanging="414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součinnost a konzultace s autorským dozorem v průběhu postupu prací, </w:t>
      </w:r>
    </w:p>
    <w:p w14:paraId="3B78FD52" w14:textId="3ADA6F95" w:rsidR="005A0D91" w:rsidRPr="001B016C" w:rsidRDefault="005A0D91" w:rsidP="00DB7076">
      <w:pPr>
        <w:pStyle w:val="Odstavecseseznamem"/>
        <w:numPr>
          <w:ilvl w:val="0"/>
          <w:numId w:val="2"/>
        </w:numPr>
        <w:spacing w:after="0"/>
        <w:ind w:left="414" w:hanging="414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>projednání dodatků a změn dokumentac</w:t>
      </w:r>
      <w:r w:rsidR="00DB7076" w:rsidRPr="001B016C">
        <w:rPr>
          <w:rFonts w:asciiTheme="minorHAnsi" w:hAnsiTheme="minorHAnsi" w:cstheme="minorHAnsi"/>
        </w:rPr>
        <w:t>í</w:t>
      </w:r>
      <w:r w:rsidRPr="001B016C">
        <w:rPr>
          <w:rFonts w:asciiTheme="minorHAnsi" w:hAnsiTheme="minorHAnsi" w:cstheme="minorHAnsi"/>
        </w:rPr>
        <w:t>, které nezvyšují náklady, neprodlužují lhůtu výstavby a nezhoršují parametry stavby</w:t>
      </w:r>
      <w:r w:rsidR="00DB7076" w:rsidRPr="001B016C">
        <w:rPr>
          <w:rFonts w:asciiTheme="minorHAnsi" w:hAnsiTheme="minorHAnsi" w:cstheme="minorHAnsi"/>
        </w:rPr>
        <w:t>, péče o systematické doplňování dokumentací</w:t>
      </w:r>
      <w:r w:rsidRPr="001B016C">
        <w:rPr>
          <w:rFonts w:asciiTheme="minorHAnsi" w:hAnsiTheme="minorHAnsi" w:cstheme="minorHAnsi"/>
        </w:rPr>
        <w:t xml:space="preserve">, </w:t>
      </w:r>
    </w:p>
    <w:p w14:paraId="2B9B0C41" w14:textId="77777777" w:rsidR="005A0D91" w:rsidRPr="001B016C" w:rsidRDefault="005A0D91" w:rsidP="005A0D91">
      <w:pPr>
        <w:pStyle w:val="Odstavecseseznamem"/>
        <w:numPr>
          <w:ilvl w:val="0"/>
          <w:numId w:val="2"/>
        </w:numPr>
        <w:spacing w:after="0"/>
        <w:ind w:left="414" w:hanging="414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průběžné informování Příkazce o všech závažných okolnostech, </w:t>
      </w:r>
    </w:p>
    <w:p w14:paraId="7631EECE" w14:textId="065DCB95" w:rsidR="005A0D91" w:rsidRPr="001B016C" w:rsidRDefault="005A0D91" w:rsidP="005A0D91">
      <w:pPr>
        <w:pStyle w:val="Odstavecseseznamem"/>
        <w:numPr>
          <w:ilvl w:val="0"/>
          <w:numId w:val="2"/>
        </w:numPr>
        <w:spacing w:after="0"/>
        <w:ind w:left="414" w:hanging="414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>kontrola věcné a cenové správnosti a úplnosti oceňovacích podkladů a faktur, jejich soulad s podmínkami uvedenými ve smlouv</w:t>
      </w:r>
      <w:r w:rsidR="00E51FF0" w:rsidRPr="001B016C">
        <w:rPr>
          <w:rFonts w:asciiTheme="minorHAnsi" w:hAnsiTheme="minorHAnsi" w:cstheme="minorHAnsi"/>
        </w:rPr>
        <w:t>ě se zhotovitelem stavby</w:t>
      </w:r>
      <w:r w:rsidRPr="001B016C">
        <w:rPr>
          <w:rFonts w:asciiTheme="minorHAnsi" w:hAnsiTheme="minorHAnsi" w:cstheme="minorHAnsi"/>
        </w:rPr>
        <w:t xml:space="preserve"> a jejich předkládání k úhradě Příkazci,</w:t>
      </w:r>
    </w:p>
    <w:p w14:paraId="74A342D4" w14:textId="77777777" w:rsidR="005A0D91" w:rsidRPr="001B016C" w:rsidRDefault="005A0D91" w:rsidP="005A0D91">
      <w:pPr>
        <w:pStyle w:val="Odstavecseseznamem"/>
        <w:numPr>
          <w:ilvl w:val="0"/>
          <w:numId w:val="2"/>
        </w:numPr>
        <w:spacing w:after="0"/>
        <w:ind w:left="414" w:hanging="414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kontrola těch částí dodávek, které budou v dalším postupu zakryty nebo se stanou nepřístupnými, včetně povinného zapsání výsledku kontroly do stavebního deníku, </w:t>
      </w:r>
    </w:p>
    <w:p w14:paraId="3647B1BB" w14:textId="63A1F9A4" w:rsidR="005A0D91" w:rsidRDefault="005A0D91" w:rsidP="005A0D91">
      <w:pPr>
        <w:pStyle w:val="Odstavecseseznamem"/>
        <w:numPr>
          <w:ilvl w:val="0"/>
          <w:numId w:val="2"/>
        </w:numPr>
        <w:spacing w:after="0"/>
        <w:ind w:left="414" w:hanging="414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sledování předepsaných zkoušek materiálů, konstrukcí a prací prováděných zhotoviteli stavby a jejich výsledků, sledování kvality prováděných dodávek a prací (certifikáty, atesty, protokoly, revize apod.) a technologické kázně zhotovitele stavby, </w:t>
      </w:r>
    </w:p>
    <w:p w14:paraId="43AF848A" w14:textId="593D1148" w:rsidR="006814E6" w:rsidRPr="006814E6" w:rsidRDefault="006814E6" w:rsidP="006814E6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eastAsia="Times New Roman" w:hAnsi="Times New Roman"/>
        </w:rPr>
      </w:pPr>
      <w:r w:rsidRPr="006814E6">
        <w:rPr>
          <w:rFonts w:eastAsia="Times New Roman" w:cs="Calibri"/>
        </w:rPr>
        <w:t>kontrola technických  listů, popř. jiný dokladů u </w:t>
      </w:r>
      <w:r>
        <w:rPr>
          <w:rFonts w:eastAsia="Times New Roman" w:cs="Calibri"/>
        </w:rPr>
        <w:t>použitých</w:t>
      </w:r>
      <w:r w:rsidRPr="006814E6">
        <w:rPr>
          <w:rFonts w:eastAsia="Times New Roman" w:cs="Calibri"/>
        </w:rPr>
        <w:t xml:space="preserve"> výrobků  a systémových řešení tak</w:t>
      </w:r>
      <w:r>
        <w:rPr>
          <w:rFonts w:eastAsia="Times New Roman" w:cs="Calibri"/>
        </w:rPr>
        <w:t>, aby svými vlastnostmi</w:t>
      </w:r>
      <w:r w:rsidRPr="006814E6">
        <w:rPr>
          <w:rFonts w:eastAsia="Times New Roman" w:cs="Calibri"/>
        </w:rPr>
        <w:t xml:space="preserve"> odpovídal</w:t>
      </w:r>
      <w:r>
        <w:rPr>
          <w:rFonts w:eastAsia="Times New Roman" w:cs="Calibri"/>
        </w:rPr>
        <w:t>y</w:t>
      </w:r>
      <w:r w:rsidRPr="006814E6">
        <w:rPr>
          <w:rFonts w:eastAsia="Times New Roman" w:cs="Calibri"/>
        </w:rPr>
        <w:t xml:space="preserve"> výrobkům a systémovým řešením navrženým v projektové doku</w:t>
      </w:r>
      <w:r>
        <w:rPr>
          <w:rFonts w:eastAsia="Times New Roman" w:cs="Calibri"/>
        </w:rPr>
        <w:t>mentaci před jejich zabudováním,</w:t>
      </w:r>
      <w:r w:rsidRPr="006814E6">
        <w:rPr>
          <w:rFonts w:eastAsia="Times New Roman" w:cs="Calibri"/>
        </w:rPr>
        <w:t> </w:t>
      </w:r>
    </w:p>
    <w:p w14:paraId="2531C9E8" w14:textId="36BDD055" w:rsidR="00C573FA" w:rsidRDefault="00C573FA" w:rsidP="005A0D91">
      <w:pPr>
        <w:pStyle w:val="Odstavecseseznamem"/>
        <w:numPr>
          <w:ilvl w:val="0"/>
          <w:numId w:val="2"/>
        </w:numPr>
        <w:spacing w:after="0"/>
        <w:ind w:left="414" w:hanging="4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kontrola změnových listů předkládaných zhotovitelem stavby z hlediska </w:t>
      </w:r>
      <w:r w:rsidRPr="001B016C">
        <w:rPr>
          <w:rFonts w:asciiTheme="minorHAnsi" w:hAnsiTheme="minorHAnsi" w:cstheme="minorHAnsi"/>
        </w:rPr>
        <w:t>věcné a cenové správnosti a úplnosti</w:t>
      </w:r>
      <w:r>
        <w:rPr>
          <w:rFonts w:asciiTheme="minorHAnsi" w:hAnsiTheme="minorHAnsi" w:cstheme="minorHAnsi"/>
        </w:rPr>
        <w:t xml:space="preserve">, </w:t>
      </w:r>
    </w:p>
    <w:p w14:paraId="7998DA93" w14:textId="2570F8FE" w:rsidR="00C573FA" w:rsidRPr="001B016C" w:rsidRDefault="00C573FA" w:rsidP="005A0D91">
      <w:pPr>
        <w:pStyle w:val="Odstavecseseznamem"/>
        <w:numPr>
          <w:ilvl w:val="0"/>
          <w:numId w:val="2"/>
        </w:numPr>
        <w:spacing w:after="0"/>
        <w:ind w:left="414" w:hanging="41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zatřídění jednotlivých změn stavby v souladu se zákonem č. 134/2016 Sb., o zadávání veřejných zakázek, ve znění pozdějších předpisů, vypracování evidenčních listů změny v rozsahu požadovaném </w:t>
      </w:r>
      <w:r w:rsidR="007F4BE4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říkazcem,</w:t>
      </w:r>
    </w:p>
    <w:p w14:paraId="777A305E" w14:textId="77777777" w:rsidR="005A0D91" w:rsidRPr="001B016C" w:rsidRDefault="005A0D91" w:rsidP="005A0D91">
      <w:pPr>
        <w:pStyle w:val="Odstavecseseznamem"/>
        <w:numPr>
          <w:ilvl w:val="0"/>
          <w:numId w:val="2"/>
        </w:numPr>
        <w:spacing w:after="0"/>
        <w:ind w:left="414" w:hanging="414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lastRenderedPageBreak/>
        <w:t xml:space="preserve">sledování vedení stavebních odevzdání a převzetí a montážních deníků, </w:t>
      </w:r>
    </w:p>
    <w:p w14:paraId="259E7365" w14:textId="77777777" w:rsidR="005A0D91" w:rsidRPr="001B016C" w:rsidRDefault="005A0D91" w:rsidP="005A0D91">
      <w:pPr>
        <w:pStyle w:val="Odstavecseseznamem"/>
        <w:numPr>
          <w:ilvl w:val="0"/>
          <w:numId w:val="2"/>
        </w:numPr>
        <w:spacing w:after="0"/>
        <w:ind w:left="414" w:hanging="414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kontrola postupu prací dle časového plánu stavby a souladu s ustanoveními příslušných norem, </w:t>
      </w:r>
    </w:p>
    <w:p w14:paraId="4ABDBD3C" w14:textId="77777777" w:rsidR="005A0D91" w:rsidRPr="001B016C" w:rsidRDefault="005A0D91" w:rsidP="005A0D91">
      <w:pPr>
        <w:pStyle w:val="Odstavecseseznamem"/>
        <w:numPr>
          <w:ilvl w:val="0"/>
          <w:numId w:val="2"/>
        </w:numPr>
        <w:spacing w:after="0"/>
        <w:ind w:left="414" w:hanging="414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kontrola řádného uskladnění materiálů, strojů a konstrukcí, </w:t>
      </w:r>
    </w:p>
    <w:p w14:paraId="6C1194F0" w14:textId="77777777" w:rsidR="005A0D91" w:rsidRPr="001B016C" w:rsidRDefault="005A0D91" w:rsidP="005A0D91">
      <w:pPr>
        <w:pStyle w:val="Odstavecseseznamem"/>
        <w:numPr>
          <w:ilvl w:val="0"/>
          <w:numId w:val="2"/>
        </w:numPr>
        <w:spacing w:after="0"/>
        <w:ind w:left="414" w:hanging="414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účast na předání a převzetí stavby, </w:t>
      </w:r>
    </w:p>
    <w:p w14:paraId="798BBBD6" w14:textId="77777777" w:rsidR="005A0D91" w:rsidRPr="001B016C" w:rsidRDefault="005A0D91" w:rsidP="005A0D91">
      <w:pPr>
        <w:pStyle w:val="Odstavecseseznamem"/>
        <w:numPr>
          <w:ilvl w:val="0"/>
          <w:numId w:val="2"/>
        </w:numPr>
        <w:spacing w:after="0"/>
        <w:ind w:left="414" w:hanging="414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kontrola odstraňování vad a nedodělků, </w:t>
      </w:r>
    </w:p>
    <w:p w14:paraId="00B1FC4E" w14:textId="618BD274" w:rsidR="005A0D91" w:rsidRPr="001B016C" w:rsidRDefault="005A0D91" w:rsidP="005A0D91">
      <w:pPr>
        <w:pStyle w:val="Odstavecseseznamem"/>
        <w:numPr>
          <w:ilvl w:val="0"/>
          <w:numId w:val="2"/>
        </w:numPr>
        <w:spacing w:after="0"/>
        <w:ind w:left="414" w:hanging="414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kontrola vyklizení staveniště zhotovitelem, </w:t>
      </w:r>
    </w:p>
    <w:p w14:paraId="2A8F79B2" w14:textId="2D5D231E" w:rsidR="00821D26" w:rsidRDefault="005A0D91" w:rsidP="005A0D91">
      <w:pPr>
        <w:pStyle w:val="Odstavecseseznamem"/>
        <w:numPr>
          <w:ilvl w:val="0"/>
          <w:numId w:val="2"/>
        </w:numPr>
        <w:spacing w:after="0"/>
        <w:ind w:left="414" w:hanging="414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>průběžné zajišťování fotodokumentace postupu výstavby</w:t>
      </w:r>
      <w:r w:rsidR="00821D26">
        <w:rPr>
          <w:rFonts w:asciiTheme="minorHAnsi" w:hAnsiTheme="minorHAnsi" w:cstheme="minorHAnsi"/>
        </w:rPr>
        <w:t>,</w:t>
      </w:r>
    </w:p>
    <w:p w14:paraId="7D4A990C" w14:textId="7AAD1AD0" w:rsidR="005A0D91" w:rsidRPr="00821D26" w:rsidRDefault="00821D26" w:rsidP="005A0D91">
      <w:pPr>
        <w:pStyle w:val="Odstavecseseznamem"/>
        <w:numPr>
          <w:ilvl w:val="0"/>
          <w:numId w:val="2"/>
        </w:numPr>
        <w:spacing w:after="0"/>
        <w:ind w:left="414" w:hanging="414"/>
        <w:jc w:val="both"/>
        <w:rPr>
          <w:rFonts w:asciiTheme="minorHAnsi" w:hAnsiTheme="minorHAnsi" w:cstheme="minorHAnsi"/>
        </w:rPr>
      </w:pPr>
      <w:r w:rsidRPr="00210323">
        <w:t>obstarání pravomocn</w:t>
      </w:r>
      <w:r>
        <w:t>ého kolaudačního rozhodnutí</w:t>
      </w:r>
      <w:r w:rsidRPr="00210323">
        <w:t xml:space="preserve"> a je</w:t>
      </w:r>
      <w:r>
        <w:t>ho</w:t>
      </w:r>
      <w:r w:rsidRPr="00210323">
        <w:t xml:space="preserve"> předání </w:t>
      </w:r>
      <w:r>
        <w:t>příkazci.</w:t>
      </w:r>
    </w:p>
    <w:p w14:paraId="2E39B346" w14:textId="77777777" w:rsidR="00821D26" w:rsidRPr="00821D26" w:rsidRDefault="00821D26" w:rsidP="00821D26">
      <w:pPr>
        <w:spacing w:after="0"/>
        <w:jc w:val="both"/>
        <w:rPr>
          <w:rFonts w:asciiTheme="minorHAnsi" w:hAnsiTheme="minorHAnsi" w:cstheme="minorHAnsi"/>
        </w:rPr>
      </w:pPr>
    </w:p>
    <w:p w14:paraId="76E579AD" w14:textId="4037BFEC" w:rsidR="00CD6305" w:rsidRPr="001B016C" w:rsidRDefault="00CD6305" w:rsidP="00CD6305">
      <w:pPr>
        <w:spacing w:after="0"/>
        <w:jc w:val="both"/>
        <w:rPr>
          <w:rFonts w:asciiTheme="minorHAnsi" w:hAnsiTheme="minorHAnsi" w:cstheme="minorHAnsi"/>
        </w:rPr>
      </w:pPr>
    </w:p>
    <w:p w14:paraId="242DC4C3" w14:textId="77777777" w:rsidR="00CD6305" w:rsidRPr="001B016C" w:rsidRDefault="00CD6305" w:rsidP="00CD6305">
      <w:pPr>
        <w:spacing w:after="0"/>
        <w:jc w:val="center"/>
        <w:rPr>
          <w:rFonts w:asciiTheme="minorHAnsi" w:hAnsiTheme="minorHAnsi" w:cstheme="minorHAnsi"/>
          <w:b/>
        </w:rPr>
      </w:pPr>
      <w:r w:rsidRPr="001B016C">
        <w:rPr>
          <w:rFonts w:asciiTheme="minorHAnsi" w:hAnsiTheme="minorHAnsi" w:cstheme="minorHAnsi"/>
          <w:b/>
        </w:rPr>
        <w:t>IV.</w:t>
      </w:r>
    </w:p>
    <w:p w14:paraId="0AE2317A" w14:textId="77777777" w:rsidR="00CD6305" w:rsidRPr="001B016C" w:rsidRDefault="00CD6305" w:rsidP="00CD6305">
      <w:pPr>
        <w:spacing w:after="0"/>
        <w:jc w:val="center"/>
        <w:rPr>
          <w:rFonts w:asciiTheme="minorHAnsi" w:hAnsiTheme="minorHAnsi" w:cstheme="minorHAnsi"/>
          <w:b/>
        </w:rPr>
      </w:pPr>
      <w:r w:rsidRPr="001B016C">
        <w:rPr>
          <w:rFonts w:asciiTheme="minorHAnsi" w:hAnsiTheme="minorHAnsi" w:cstheme="minorHAnsi"/>
          <w:b/>
        </w:rPr>
        <w:t>Čas plnění</w:t>
      </w:r>
    </w:p>
    <w:p w14:paraId="2290D77C" w14:textId="77777777" w:rsidR="00CD6305" w:rsidRPr="001B016C" w:rsidRDefault="00CD6305" w:rsidP="00CD6305">
      <w:pPr>
        <w:spacing w:after="0"/>
        <w:jc w:val="center"/>
        <w:rPr>
          <w:rFonts w:asciiTheme="minorHAnsi" w:hAnsiTheme="minorHAnsi" w:cstheme="minorHAnsi"/>
          <w:b/>
        </w:rPr>
      </w:pPr>
    </w:p>
    <w:p w14:paraId="29A7726F" w14:textId="77777777" w:rsidR="00CD6305" w:rsidRPr="001B016C" w:rsidRDefault="00CD6305" w:rsidP="00CD6305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1. </w:t>
      </w:r>
      <w:r w:rsidRPr="001B016C">
        <w:rPr>
          <w:rFonts w:asciiTheme="minorHAnsi" w:hAnsiTheme="minorHAnsi" w:cstheme="minorHAnsi"/>
        </w:rPr>
        <w:tab/>
        <w:t xml:space="preserve">Příkazník se zavazuje provádět svou činnost dle této smlouvy v době počínaje dnem účinnosti této smlouvy do okamžiku odstranění vad a nedodělků zjištěných v předávacím řízení stavby, nejpozději však do 30 (třiceti) dnů od předání stavby, a to v takovém rozsahu, aby byly zabezpečeny činnosti uvedené v této smlouvě. </w:t>
      </w:r>
    </w:p>
    <w:p w14:paraId="17DDE39E" w14:textId="77777777" w:rsidR="00CD6305" w:rsidRPr="001B016C" w:rsidRDefault="00CD6305" w:rsidP="00CD6305">
      <w:pPr>
        <w:spacing w:after="0"/>
        <w:jc w:val="both"/>
        <w:rPr>
          <w:rFonts w:asciiTheme="minorHAnsi" w:hAnsiTheme="minorHAnsi" w:cstheme="minorHAnsi"/>
        </w:rPr>
      </w:pPr>
    </w:p>
    <w:p w14:paraId="35CA8C30" w14:textId="7570DCD8" w:rsidR="00CD6305" w:rsidRPr="001B016C" w:rsidRDefault="00CD6305" w:rsidP="00CD6305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2. </w:t>
      </w:r>
      <w:r w:rsidRPr="001B016C">
        <w:rPr>
          <w:rFonts w:asciiTheme="minorHAnsi" w:hAnsiTheme="minorHAnsi" w:cstheme="minorHAnsi"/>
        </w:rPr>
        <w:tab/>
        <w:t xml:space="preserve">Kontrolní dny stavby svolává Příkazce prostřednictvím Příkazníka dle potřeby, zpravidla 1 x </w:t>
      </w:r>
      <w:r w:rsidR="007F4BE4">
        <w:rPr>
          <w:rFonts w:asciiTheme="minorHAnsi" w:hAnsiTheme="minorHAnsi" w:cstheme="minorHAnsi"/>
        </w:rPr>
        <w:t>za 14 dní</w:t>
      </w:r>
      <w:r w:rsidRPr="001B016C">
        <w:rPr>
          <w:rFonts w:asciiTheme="minorHAnsi" w:hAnsiTheme="minorHAnsi" w:cstheme="minorHAnsi"/>
        </w:rPr>
        <w:t>, a to do doby dokončení stavby.</w:t>
      </w:r>
    </w:p>
    <w:p w14:paraId="11927772" w14:textId="51B6FCBC" w:rsidR="004F2021" w:rsidRPr="001B016C" w:rsidRDefault="004F2021" w:rsidP="00CD6305">
      <w:pPr>
        <w:spacing w:after="0"/>
        <w:jc w:val="both"/>
        <w:rPr>
          <w:rFonts w:asciiTheme="minorHAnsi" w:hAnsiTheme="minorHAnsi" w:cstheme="minorHAnsi"/>
        </w:rPr>
      </w:pPr>
    </w:p>
    <w:p w14:paraId="740A9608" w14:textId="44C76A66" w:rsidR="004F2021" w:rsidRPr="001B016C" w:rsidRDefault="004F2021" w:rsidP="00CD6305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3. </w:t>
      </w:r>
      <w:r w:rsidRPr="001B016C">
        <w:rPr>
          <w:rFonts w:asciiTheme="minorHAnsi" w:hAnsiTheme="minorHAnsi" w:cstheme="minorHAnsi"/>
        </w:rPr>
        <w:tab/>
        <w:t>V případě potřeby se Příkazník zavazuje prodloužit písemným dodatkem dobu provádění své činnosti nad rámec stanovený touto smlouvou, a to za srovnatelných finančních podmínek s přihlédnutím k rozsahu činností, které po něm bude Příkazce požadovat.</w:t>
      </w:r>
    </w:p>
    <w:p w14:paraId="31499888" w14:textId="29215DF2" w:rsidR="004F2021" w:rsidRPr="001B016C" w:rsidRDefault="004F2021" w:rsidP="00CD6305">
      <w:pPr>
        <w:spacing w:after="0"/>
        <w:jc w:val="both"/>
        <w:rPr>
          <w:rFonts w:asciiTheme="minorHAnsi" w:hAnsiTheme="minorHAnsi" w:cstheme="minorHAnsi"/>
        </w:rPr>
      </w:pPr>
    </w:p>
    <w:p w14:paraId="001DC9AF" w14:textId="24D02321" w:rsidR="004F2021" w:rsidRPr="001B016C" w:rsidRDefault="004F2021" w:rsidP="00CD6305">
      <w:pPr>
        <w:spacing w:after="0"/>
        <w:jc w:val="both"/>
        <w:rPr>
          <w:rFonts w:asciiTheme="minorHAnsi" w:hAnsiTheme="minorHAnsi" w:cstheme="minorHAnsi"/>
        </w:rPr>
      </w:pPr>
    </w:p>
    <w:p w14:paraId="2C00DCCD" w14:textId="77777777" w:rsidR="004F2021" w:rsidRPr="001B016C" w:rsidRDefault="004F2021" w:rsidP="004F2021">
      <w:pPr>
        <w:spacing w:after="0"/>
        <w:jc w:val="center"/>
        <w:rPr>
          <w:rFonts w:asciiTheme="minorHAnsi" w:hAnsiTheme="minorHAnsi" w:cstheme="minorHAnsi"/>
          <w:b/>
        </w:rPr>
      </w:pPr>
      <w:r w:rsidRPr="001B016C">
        <w:rPr>
          <w:rFonts w:asciiTheme="minorHAnsi" w:hAnsiTheme="minorHAnsi" w:cstheme="minorHAnsi"/>
          <w:b/>
        </w:rPr>
        <w:t>V.</w:t>
      </w:r>
    </w:p>
    <w:p w14:paraId="3823794B" w14:textId="77777777" w:rsidR="004F2021" w:rsidRPr="001B016C" w:rsidRDefault="004F2021" w:rsidP="004F2021">
      <w:pPr>
        <w:spacing w:after="0"/>
        <w:jc w:val="center"/>
        <w:rPr>
          <w:rFonts w:asciiTheme="minorHAnsi" w:hAnsiTheme="minorHAnsi" w:cstheme="minorHAnsi"/>
          <w:b/>
        </w:rPr>
      </w:pPr>
      <w:r w:rsidRPr="001B016C">
        <w:rPr>
          <w:rFonts w:asciiTheme="minorHAnsi" w:hAnsiTheme="minorHAnsi" w:cstheme="minorHAnsi"/>
          <w:b/>
        </w:rPr>
        <w:t>Povinnosti Příkazníka</w:t>
      </w:r>
    </w:p>
    <w:p w14:paraId="43F108E7" w14:textId="77777777" w:rsidR="004F2021" w:rsidRPr="001B016C" w:rsidRDefault="004F2021" w:rsidP="004F2021">
      <w:pPr>
        <w:spacing w:after="0"/>
        <w:jc w:val="both"/>
        <w:rPr>
          <w:rFonts w:asciiTheme="minorHAnsi" w:hAnsiTheme="minorHAnsi" w:cstheme="minorHAnsi"/>
        </w:rPr>
      </w:pPr>
    </w:p>
    <w:p w14:paraId="10EF4F33" w14:textId="77777777" w:rsidR="004F2021" w:rsidRPr="001B016C" w:rsidRDefault="004F2021" w:rsidP="004F2021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1. </w:t>
      </w:r>
      <w:r w:rsidRPr="001B016C">
        <w:rPr>
          <w:rFonts w:asciiTheme="minorHAnsi" w:hAnsiTheme="minorHAnsi" w:cstheme="minorHAnsi"/>
        </w:rPr>
        <w:tab/>
      </w:r>
      <w:r w:rsidRPr="001B016C">
        <w:rPr>
          <w:rFonts w:asciiTheme="minorHAnsi" w:hAnsiTheme="minorHAnsi" w:cstheme="minorHAnsi"/>
          <w:b/>
        </w:rPr>
        <w:t>Příkazník je povinen</w:t>
      </w:r>
      <w:r w:rsidRPr="001B016C">
        <w:rPr>
          <w:rFonts w:asciiTheme="minorHAnsi" w:hAnsiTheme="minorHAnsi" w:cstheme="minorHAnsi"/>
        </w:rPr>
        <w:t xml:space="preserve">: </w:t>
      </w:r>
    </w:p>
    <w:p w14:paraId="47BE23BB" w14:textId="77777777" w:rsidR="004F2021" w:rsidRPr="001B016C" w:rsidRDefault="004F2021" w:rsidP="004F2021">
      <w:pPr>
        <w:numPr>
          <w:ilvl w:val="0"/>
          <w:numId w:val="3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postupovat při provádění své činnosti v souladu se závazky, ke kterým se v této smlouvě zavázal, v souladu se zájmy Příkazce a dále v souladu s pokyny, podmínkami a požadavky Příkazce, a to s vynaložením veškerého úsilí a odborné péče; </w:t>
      </w:r>
    </w:p>
    <w:p w14:paraId="646D8C5B" w14:textId="2119C2B7" w:rsidR="004F2021" w:rsidRPr="001B016C" w:rsidRDefault="004F2021" w:rsidP="004F2021">
      <w:pPr>
        <w:numPr>
          <w:ilvl w:val="0"/>
          <w:numId w:val="3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co nejrychleji Příkazce upozornit na eventuální nevhodnost jeho pokynů. Od pokynů Příkazce se může Příkazník odchýlit jen tehdy, koná-li opatření k zamezení prodlení, z něhož Příkazci hrozí vznik závažných škod, nebo je-li to zjevně nezbytné v zájmu Příkazce a Příkazník již nemůže předem včas obdržet jeho souhlas. Vyloučeny jsou z tohoto případy, kdy Příkazce přijetí rozhodnutí předem písemně vyhradí sobě. </w:t>
      </w:r>
    </w:p>
    <w:p w14:paraId="5FE05C2A" w14:textId="5A007A6D" w:rsidR="004F2021" w:rsidRPr="001B016C" w:rsidRDefault="004F2021" w:rsidP="004F2021">
      <w:pPr>
        <w:numPr>
          <w:ilvl w:val="0"/>
          <w:numId w:val="3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>pečovat o věci, jež mu Příkazce svěřil, a o věci, které pro Příkazce opatřil za úhradu.</w:t>
      </w:r>
    </w:p>
    <w:p w14:paraId="5F6599A3" w14:textId="155FD581" w:rsidR="004F2021" w:rsidRPr="001B016C" w:rsidRDefault="004F2021" w:rsidP="004F2021">
      <w:pPr>
        <w:spacing w:after="0"/>
        <w:jc w:val="both"/>
        <w:rPr>
          <w:rFonts w:asciiTheme="minorHAnsi" w:hAnsiTheme="minorHAnsi" w:cstheme="minorHAnsi"/>
        </w:rPr>
      </w:pPr>
    </w:p>
    <w:p w14:paraId="6C37821A" w14:textId="77777777" w:rsidR="004F2021" w:rsidRPr="001B016C" w:rsidRDefault="004F2021" w:rsidP="004F2021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2. </w:t>
      </w:r>
      <w:r w:rsidRPr="001B016C">
        <w:rPr>
          <w:rFonts w:asciiTheme="minorHAnsi" w:hAnsiTheme="minorHAnsi" w:cstheme="minorHAnsi"/>
        </w:rPr>
        <w:tab/>
        <w:t xml:space="preserve">Příkazník není jménem Příkazce bez jeho písemného souhlasu oprávněn rozhodovat o: </w:t>
      </w:r>
    </w:p>
    <w:p w14:paraId="28870E91" w14:textId="77777777" w:rsidR="004F2021" w:rsidRPr="001B016C" w:rsidRDefault="004F2021" w:rsidP="004F2021">
      <w:pPr>
        <w:numPr>
          <w:ilvl w:val="0"/>
          <w:numId w:val="4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předání staveniště, </w:t>
      </w:r>
    </w:p>
    <w:p w14:paraId="60469289" w14:textId="77777777" w:rsidR="004F2021" w:rsidRPr="001B016C" w:rsidRDefault="004F2021" w:rsidP="004F2021">
      <w:pPr>
        <w:numPr>
          <w:ilvl w:val="0"/>
          <w:numId w:val="4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změnách materiálů a změnách cen, </w:t>
      </w:r>
    </w:p>
    <w:p w14:paraId="0E708503" w14:textId="77777777" w:rsidR="004F2021" w:rsidRPr="001B016C" w:rsidRDefault="004F2021" w:rsidP="004F2021">
      <w:pPr>
        <w:numPr>
          <w:ilvl w:val="0"/>
          <w:numId w:val="4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změnách rozhodnutí příslušných úřadů, </w:t>
      </w:r>
    </w:p>
    <w:p w14:paraId="0DAB8581" w14:textId="77777777" w:rsidR="004F2021" w:rsidRPr="001B016C" w:rsidRDefault="004F2021" w:rsidP="004F2021">
      <w:pPr>
        <w:numPr>
          <w:ilvl w:val="0"/>
          <w:numId w:val="4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vícepracích a méněpracích, </w:t>
      </w:r>
    </w:p>
    <w:p w14:paraId="082D6F4C" w14:textId="77777777" w:rsidR="004F2021" w:rsidRPr="001B016C" w:rsidRDefault="004F2021" w:rsidP="004F2021">
      <w:pPr>
        <w:numPr>
          <w:ilvl w:val="0"/>
          <w:numId w:val="4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lastRenderedPageBreak/>
        <w:t>převzetí stavby (její části) od zhotovitele.</w:t>
      </w:r>
    </w:p>
    <w:p w14:paraId="52136A62" w14:textId="77777777" w:rsidR="004F2021" w:rsidRPr="001B016C" w:rsidRDefault="004F2021" w:rsidP="004F2021">
      <w:pPr>
        <w:spacing w:after="0"/>
        <w:ind w:left="426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 </w:t>
      </w:r>
    </w:p>
    <w:p w14:paraId="188E75A1" w14:textId="67DD23DA" w:rsidR="004F2021" w:rsidRPr="001B016C" w:rsidRDefault="004F2021" w:rsidP="004F2021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>O návrzích v uvedených případech je Příkazník povinen bezodkladně informovat Příkazce a vyčkat jeho stanoviska.</w:t>
      </w:r>
    </w:p>
    <w:p w14:paraId="29B55B95" w14:textId="7CBBDB17" w:rsidR="004F2021" w:rsidRPr="001B016C" w:rsidRDefault="004F2021" w:rsidP="004F2021">
      <w:pPr>
        <w:spacing w:after="0"/>
        <w:jc w:val="both"/>
        <w:rPr>
          <w:rFonts w:asciiTheme="minorHAnsi" w:hAnsiTheme="minorHAnsi" w:cstheme="minorHAnsi"/>
        </w:rPr>
      </w:pPr>
    </w:p>
    <w:p w14:paraId="301C7CE4" w14:textId="77777777" w:rsidR="004F2021" w:rsidRPr="001B016C" w:rsidRDefault="004F2021" w:rsidP="004F2021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3. </w:t>
      </w:r>
      <w:r w:rsidRPr="001B016C">
        <w:rPr>
          <w:rFonts w:asciiTheme="minorHAnsi" w:hAnsiTheme="minorHAnsi" w:cstheme="minorHAnsi"/>
        </w:rPr>
        <w:tab/>
        <w:t xml:space="preserve">Technický dozor stavebníka může být vykonáván i jinou osobou, se kterou má Příkazník pro danou činnost smluvní vztah a která splňuje veškeré požadavky dané platnými předpisy pro výkon této činnosti. I v takovém případě však Příkazník přímo odpovídá Příkazci za kvalitu činnosti, resp. vady způsobené činností těchto třetích osob. </w:t>
      </w:r>
    </w:p>
    <w:p w14:paraId="4FEFFBFC" w14:textId="77777777" w:rsidR="004F2021" w:rsidRPr="001B016C" w:rsidRDefault="004F2021" w:rsidP="004F2021">
      <w:pPr>
        <w:spacing w:after="0"/>
        <w:jc w:val="both"/>
        <w:rPr>
          <w:rFonts w:asciiTheme="minorHAnsi" w:hAnsiTheme="minorHAnsi" w:cstheme="minorHAnsi"/>
        </w:rPr>
      </w:pPr>
    </w:p>
    <w:p w14:paraId="44A2E57D" w14:textId="77777777" w:rsidR="004F2021" w:rsidRPr="001B016C" w:rsidRDefault="004F2021" w:rsidP="004F2021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4. </w:t>
      </w:r>
      <w:r w:rsidRPr="001B016C">
        <w:rPr>
          <w:rFonts w:asciiTheme="minorHAnsi" w:hAnsiTheme="minorHAnsi" w:cstheme="minorHAnsi"/>
        </w:rPr>
        <w:tab/>
        <w:t xml:space="preserve">Příkazník se zavazuje, že činnosti a výkony, ke kterým se touto smlouvou zavázal, bude poskytovat výhradně Příkazci v souladu s jeho oprávněnými zájmy, že tyto činnosti a výkony bude provádět anebo obstarávat s nejvyšší odbornou péčí a že zvolí nejúčinnější způsob jejich zabezpečení. </w:t>
      </w:r>
    </w:p>
    <w:p w14:paraId="3B496C50" w14:textId="77777777" w:rsidR="00682865" w:rsidRDefault="00682865" w:rsidP="004F2021">
      <w:pPr>
        <w:spacing w:after="0"/>
        <w:jc w:val="both"/>
        <w:rPr>
          <w:rFonts w:asciiTheme="minorHAnsi" w:hAnsiTheme="minorHAnsi" w:cstheme="minorHAnsi"/>
        </w:rPr>
      </w:pPr>
    </w:p>
    <w:p w14:paraId="4DD1042E" w14:textId="1D1EA26A" w:rsidR="004F2021" w:rsidRPr="001B016C" w:rsidRDefault="004F2021" w:rsidP="004F2021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5. </w:t>
      </w:r>
      <w:r w:rsidRPr="001B016C">
        <w:rPr>
          <w:rFonts w:asciiTheme="minorHAnsi" w:hAnsiTheme="minorHAnsi" w:cstheme="minorHAnsi"/>
        </w:rPr>
        <w:tab/>
        <w:t>Příkazník se zavazuje, že bude dodržovat bezpečnostní předpisy včetně používání veškerých ochranných pracovních pomůcek, souvisejících s prováděním činností uvedených v této smlouvě, a ke kterým se touto smlouvou zavázal. Příkazník si na svůj náklad zajistí ochranné a technické pomůcky nezbytné k výkonu funkce technického dozoru stavebníka.</w:t>
      </w:r>
    </w:p>
    <w:p w14:paraId="5668EFC6" w14:textId="3EC32F7A" w:rsidR="004F2021" w:rsidRPr="001B016C" w:rsidRDefault="004F2021" w:rsidP="004F2021">
      <w:pPr>
        <w:spacing w:after="0"/>
        <w:jc w:val="both"/>
        <w:rPr>
          <w:rFonts w:asciiTheme="minorHAnsi" w:hAnsiTheme="minorHAnsi" w:cstheme="minorHAnsi"/>
        </w:rPr>
      </w:pPr>
    </w:p>
    <w:p w14:paraId="61013BD4" w14:textId="24B2CB63" w:rsidR="004F2021" w:rsidRPr="001B016C" w:rsidRDefault="004F2021" w:rsidP="004F2021">
      <w:pPr>
        <w:spacing w:after="0"/>
        <w:jc w:val="both"/>
        <w:rPr>
          <w:rFonts w:asciiTheme="minorHAnsi" w:hAnsiTheme="minorHAnsi" w:cstheme="minorHAnsi"/>
        </w:rPr>
      </w:pPr>
    </w:p>
    <w:p w14:paraId="2446E02A" w14:textId="77777777" w:rsidR="004F2021" w:rsidRPr="001B016C" w:rsidRDefault="004F2021" w:rsidP="004F2021">
      <w:pPr>
        <w:spacing w:after="0"/>
        <w:jc w:val="center"/>
        <w:rPr>
          <w:rFonts w:asciiTheme="minorHAnsi" w:hAnsiTheme="minorHAnsi" w:cstheme="minorHAnsi"/>
          <w:b/>
        </w:rPr>
      </w:pPr>
      <w:r w:rsidRPr="001B016C">
        <w:rPr>
          <w:rFonts w:asciiTheme="minorHAnsi" w:hAnsiTheme="minorHAnsi" w:cstheme="minorHAnsi"/>
          <w:b/>
        </w:rPr>
        <w:t>VI.</w:t>
      </w:r>
    </w:p>
    <w:p w14:paraId="4E125F7B" w14:textId="77777777" w:rsidR="004F2021" w:rsidRPr="001B016C" w:rsidRDefault="004F2021" w:rsidP="004F2021">
      <w:pPr>
        <w:spacing w:after="0"/>
        <w:jc w:val="center"/>
        <w:rPr>
          <w:rFonts w:asciiTheme="minorHAnsi" w:hAnsiTheme="minorHAnsi" w:cstheme="minorHAnsi"/>
          <w:b/>
        </w:rPr>
      </w:pPr>
      <w:r w:rsidRPr="001B016C">
        <w:rPr>
          <w:rFonts w:asciiTheme="minorHAnsi" w:hAnsiTheme="minorHAnsi" w:cstheme="minorHAnsi"/>
          <w:b/>
        </w:rPr>
        <w:t>Cena a platební podmínky</w:t>
      </w:r>
    </w:p>
    <w:p w14:paraId="31E5E2AD" w14:textId="77777777" w:rsidR="004F2021" w:rsidRPr="001B016C" w:rsidRDefault="004F2021" w:rsidP="004F2021">
      <w:pPr>
        <w:spacing w:after="0"/>
        <w:jc w:val="center"/>
        <w:rPr>
          <w:rFonts w:asciiTheme="minorHAnsi" w:hAnsiTheme="minorHAnsi" w:cstheme="minorHAnsi"/>
          <w:b/>
        </w:rPr>
      </w:pPr>
    </w:p>
    <w:p w14:paraId="7A314D62" w14:textId="7AC888A4" w:rsidR="004F2021" w:rsidRPr="001B016C" w:rsidRDefault="004F2021" w:rsidP="004F2021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1. </w:t>
      </w:r>
      <w:r w:rsidRPr="001B016C">
        <w:rPr>
          <w:rFonts w:asciiTheme="minorHAnsi" w:hAnsiTheme="minorHAnsi" w:cstheme="minorHAnsi"/>
        </w:rPr>
        <w:tab/>
        <w:t>Odměna za vykonání činností ujednaných v této smlouvě je dohodou smluvních stran dojednána ve výši</w:t>
      </w:r>
      <w:r w:rsidRPr="001B016C">
        <w:rPr>
          <w:rFonts w:asciiTheme="minorHAnsi" w:hAnsiTheme="minorHAnsi" w:cstheme="minorHAnsi"/>
          <w:b/>
        </w:rPr>
        <w:t xml:space="preserve"> </w:t>
      </w:r>
      <w:r w:rsidR="00682865">
        <w:rPr>
          <w:rFonts w:asciiTheme="minorHAnsi" w:hAnsiTheme="minorHAnsi" w:cstheme="minorHAnsi"/>
          <w:b/>
        </w:rPr>
        <w:t>289</w:t>
      </w:r>
      <w:r w:rsidRPr="001B016C">
        <w:rPr>
          <w:rFonts w:asciiTheme="minorHAnsi" w:hAnsiTheme="minorHAnsi" w:cstheme="minorHAnsi"/>
          <w:b/>
        </w:rPr>
        <w:t>.000</w:t>
      </w:r>
      <w:r w:rsidR="00682865">
        <w:rPr>
          <w:rFonts w:asciiTheme="minorHAnsi" w:hAnsiTheme="minorHAnsi" w:cstheme="minorHAnsi"/>
          <w:b/>
        </w:rPr>
        <w:t>,00</w:t>
      </w:r>
      <w:r w:rsidRPr="001B016C">
        <w:rPr>
          <w:rFonts w:asciiTheme="minorHAnsi" w:hAnsiTheme="minorHAnsi" w:cstheme="minorHAnsi"/>
          <w:b/>
        </w:rPr>
        <w:t xml:space="preserve"> Kč. K této ceně bude doúčtována daň z přidané hodnoty (DPH) dle aktuální výše</w:t>
      </w:r>
      <w:r w:rsidRPr="001B016C">
        <w:rPr>
          <w:rFonts w:asciiTheme="minorHAnsi" w:hAnsiTheme="minorHAnsi" w:cstheme="minorHAnsi"/>
        </w:rPr>
        <w:t>. Příkazník je plátcem DPH.</w:t>
      </w:r>
    </w:p>
    <w:p w14:paraId="3BB95038" w14:textId="69129DBB" w:rsidR="004F2021" w:rsidRPr="001B016C" w:rsidRDefault="004F2021" w:rsidP="004F2021">
      <w:pPr>
        <w:spacing w:after="0"/>
        <w:jc w:val="both"/>
        <w:rPr>
          <w:rFonts w:asciiTheme="minorHAnsi" w:hAnsiTheme="minorHAnsi" w:cstheme="minorHAnsi"/>
        </w:rPr>
      </w:pPr>
    </w:p>
    <w:p w14:paraId="0A39FCEF" w14:textId="141938D9" w:rsidR="004F2021" w:rsidRPr="001B016C" w:rsidRDefault="004F2021" w:rsidP="004F2021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2. </w:t>
      </w:r>
      <w:r w:rsidRPr="001B016C">
        <w:rPr>
          <w:rFonts w:asciiTheme="minorHAnsi" w:hAnsiTheme="minorHAnsi" w:cstheme="minorHAnsi"/>
        </w:rPr>
        <w:tab/>
        <w:t>Odměna uvedená v odst. 1 zahrnuje i veškeré nutně a účelně vynaložené náklady Příkazníka. Sjednaná odměna neobsahuje náklady na zkoušky, měření, náklady na ověření jakosti materiálů a kvality provedených prací apod.</w:t>
      </w:r>
    </w:p>
    <w:p w14:paraId="26A6A0A5" w14:textId="1BBE773B" w:rsidR="004F2021" w:rsidRPr="001B016C" w:rsidRDefault="004F2021" w:rsidP="004F2021">
      <w:pPr>
        <w:spacing w:after="0"/>
        <w:jc w:val="both"/>
        <w:rPr>
          <w:rFonts w:asciiTheme="minorHAnsi" w:hAnsiTheme="minorHAnsi" w:cstheme="minorHAnsi"/>
        </w:rPr>
      </w:pPr>
    </w:p>
    <w:p w14:paraId="74F0CF1F" w14:textId="0475537A" w:rsidR="004F2021" w:rsidRPr="001B016C" w:rsidRDefault="004F2021" w:rsidP="004F2021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3. </w:t>
      </w:r>
      <w:r w:rsidRPr="001B016C">
        <w:rPr>
          <w:rFonts w:asciiTheme="minorHAnsi" w:hAnsiTheme="minorHAnsi" w:cstheme="minorHAnsi"/>
        </w:rPr>
        <w:tab/>
        <w:t>Výše odměny je neměnná a konečná a nesmí být Příkazníkem v žádném případě zvýšena bez předchozího souhlasu Příkazce ve formě písemného dodatku k této smlouvě. Dodatek bude uzavřen i v případě, že bude Příkazce od Příkazníka požadovat další činnosti nad rámec této smlouvy. Ke změně výše odměny může dojít pouze za předpokladu změny sazby DPH. Pokud dojde ke změně sazby DPH v době uskutečnění zdanitelného plnění, je Příkazník oprávněn účtovat DPH v procentní sazbě odpovídající zákonné úpravě účinné k datu uskutečnění zdanitelného plnění. O takové změně DPH není třeba uzavírat dodatek k této smlouvě, postačí její oznámení Příkazci bez zbytečného odkladu po nabytí její účinnosti.</w:t>
      </w:r>
    </w:p>
    <w:p w14:paraId="24102A5E" w14:textId="2EF076BE" w:rsidR="00914FDF" w:rsidRPr="001B016C" w:rsidRDefault="00914FDF" w:rsidP="004F2021">
      <w:pPr>
        <w:spacing w:after="0"/>
        <w:jc w:val="both"/>
        <w:rPr>
          <w:rFonts w:asciiTheme="minorHAnsi" w:hAnsiTheme="minorHAnsi" w:cstheme="minorHAnsi"/>
        </w:rPr>
      </w:pPr>
    </w:p>
    <w:p w14:paraId="5A081BBB" w14:textId="43434CA9" w:rsidR="00914FDF" w:rsidRPr="001B016C" w:rsidRDefault="00914FDF" w:rsidP="00914FDF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4. </w:t>
      </w:r>
      <w:r w:rsidRPr="001B016C">
        <w:rPr>
          <w:rFonts w:asciiTheme="minorHAnsi" w:hAnsiTheme="minorHAnsi" w:cstheme="minorHAnsi"/>
        </w:rPr>
        <w:tab/>
        <w:t>Odměna zahrnuje náklady Příkazníka na dopravu do místa výkonu jeho činnosti a zpět.</w:t>
      </w:r>
    </w:p>
    <w:p w14:paraId="07E0D59A" w14:textId="6588F5E7" w:rsidR="00914FDF" w:rsidRPr="001B016C" w:rsidRDefault="00914FDF" w:rsidP="00914FDF">
      <w:pPr>
        <w:spacing w:after="0"/>
        <w:jc w:val="both"/>
        <w:rPr>
          <w:rFonts w:asciiTheme="minorHAnsi" w:hAnsiTheme="minorHAnsi" w:cstheme="minorHAnsi"/>
        </w:rPr>
      </w:pPr>
    </w:p>
    <w:p w14:paraId="524E911C" w14:textId="5514304C" w:rsidR="00914FDF" w:rsidRPr="001B016C" w:rsidRDefault="00914FDF" w:rsidP="00914FDF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5. </w:t>
      </w:r>
      <w:r w:rsidRPr="001B016C">
        <w:rPr>
          <w:rFonts w:asciiTheme="minorHAnsi" w:hAnsiTheme="minorHAnsi" w:cstheme="minorHAnsi"/>
        </w:rPr>
        <w:tab/>
        <w:t>Po dobu případného přerušení stavebních prací bude přerušen i výkon technického dozoru stavebníka, a tudíž po tuto dobu nevzniká Příkazníkovi právo na odměnu.</w:t>
      </w:r>
    </w:p>
    <w:p w14:paraId="4036588A" w14:textId="38452AED" w:rsidR="00914FDF" w:rsidRPr="001B016C" w:rsidRDefault="00914FDF" w:rsidP="00914FDF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lastRenderedPageBreak/>
        <w:t xml:space="preserve">6. </w:t>
      </w:r>
      <w:r w:rsidRPr="001B016C">
        <w:rPr>
          <w:rFonts w:asciiTheme="minorHAnsi" w:hAnsiTheme="minorHAnsi" w:cstheme="minorHAnsi"/>
        </w:rPr>
        <w:tab/>
        <w:t>Odměna bude Příkazníkovi uhrazena na základě faktury vystavené Příkazníkem po odstranění vad a nedodělků, s nimiž byla stavba převzata, a po vyklizení staveniště, nejpozději však do 30 (třiceti) dnů od předání stavby. Splatnost faktury činí 21 dnů od jejího doručení Příkazci.</w:t>
      </w:r>
    </w:p>
    <w:p w14:paraId="2FF4463F" w14:textId="035B3A3C" w:rsidR="00914FDF" w:rsidRPr="001B016C" w:rsidRDefault="00914FDF" w:rsidP="00914FDF">
      <w:pPr>
        <w:spacing w:after="0"/>
        <w:jc w:val="both"/>
        <w:rPr>
          <w:rFonts w:asciiTheme="minorHAnsi" w:hAnsiTheme="minorHAnsi" w:cstheme="minorHAnsi"/>
        </w:rPr>
      </w:pPr>
    </w:p>
    <w:p w14:paraId="5DD5BF00" w14:textId="39636501" w:rsidR="00914FDF" w:rsidRPr="001B016C" w:rsidRDefault="00914FDF" w:rsidP="00914FDF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7. </w:t>
      </w:r>
      <w:r w:rsidRPr="001B016C">
        <w:rPr>
          <w:rFonts w:asciiTheme="minorHAnsi" w:hAnsiTheme="minorHAnsi" w:cstheme="minorHAnsi"/>
        </w:rPr>
        <w:tab/>
        <w:t>Právo na úplatu vznikne Příkazníkovi i tehdy, nebude-li konečného účelu této smlouvy dosaženo, stane-li se tak z příčin, jimž nemohl Příkazník zabránit ani při vynaložení obvyklé péče a řádném plnění smluvních povinností.</w:t>
      </w:r>
    </w:p>
    <w:p w14:paraId="3526A0F2" w14:textId="42F97B73" w:rsidR="00914FDF" w:rsidRPr="001B016C" w:rsidRDefault="00914FDF" w:rsidP="00914FDF">
      <w:pPr>
        <w:spacing w:after="0"/>
        <w:jc w:val="both"/>
        <w:rPr>
          <w:rFonts w:asciiTheme="minorHAnsi" w:hAnsiTheme="minorHAnsi" w:cstheme="minorHAnsi"/>
        </w:rPr>
      </w:pPr>
    </w:p>
    <w:p w14:paraId="7801B4CE" w14:textId="58A6A4B9" w:rsidR="00914FDF" w:rsidRPr="001B016C" w:rsidRDefault="00914FDF" w:rsidP="00914FDF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8. </w:t>
      </w:r>
      <w:r w:rsidRPr="001B016C">
        <w:rPr>
          <w:rFonts w:asciiTheme="minorHAnsi" w:hAnsiTheme="minorHAnsi" w:cstheme="minorHAnsi"/>
        </w:rPr>
        <w:tab/>
        <w:t>V případě, že dojde k výpovědi nebo odstoupení od této smlouvy z důvodů na straně Příkazce, bude Příkazník práce rozpracované ke dni zrušení nebo odstoupení fakturovat Příkazci ve výši vzájemně dohodnutého rozsahu vykonaných prací. V případě, že nedojde k dohodě zmíněné v předchozí větě, požádá Příkazník o rozhodnutí příslušný soud.</w:t>
      </w:r>
    </w:p>
    <w:p w14:paraId="0C0A3091" w14:textId="78521C3B" w:rsidR="00914FDF" w:rsidRPr="001B016C" w:rsidRDefault="00914FDF" w:rsidP="00914FDF">
      <w:pPr>
        <w:spacing w:after="0"/>
        <w:jc w:val="both"/>
        <w:rPr>
          <w:rFonts w:asciiTheme="minorHAnsi" w:hAnsiTheme="minorHAnsi" w:cstheme="minorHAnsi"/>
        </w:rPr>
      </w:pPr>
    </w:p>
    <w:p w14:paraId="4B33BD3B" w14:textId="636EA9C9" w:rsidR="00914FDF" w:rsidRPr="001B016C" w:rsidRDefault="00914FDF" w:rsidP="00914FDF">
      <w:pPr>
        <w:spacing w:after="0"/>
        <w:jc w:val="both"/>
        <w:rPr>
          <w:rFonts w:asciiTheme="minorHAnsi" w:hAnsiTheme="minorHAnsi" w:cstheme="minorHAnsi"/>
        </w:rPr>
      </w:pPr>
    </w:p>
    <w:p w14:paraId="26F29A45" w14:textId="77777777" w:rsidR="00914FDF" w:rsidRPr="001B016C" w:rsidRDefault="00914FDF" w:rsidP="00914FDF">
      <w:pPr>
        <w:spacing w:after="0"/>
        <w:jc w:val="center"/>
        <w:rPr>
          <w:rFonts w:asciiTheme="minorHAnsi" w:hAnsiTheme="minorHAnsi" w:cstheme="minorHAnsi"/>
          <w:b/>
        </w:rPr>
      </w:pPr>
      <w:r w:rsidRPr="001B016C">
        <w:rPr>
          <w:rFonts w:asciiTheme="minorHAnsi" w:hAnsiTheme="minorHAnsi" w:cstheme="minorHAnsi"/>
          <w:b/>
        </w:rPr>
        <w:t>VII.</w:t>
      </w:r>
    </w:p>
    <w:p w14:paraId="44150CE0" w14:textId="77777777" w:rsidR="00914FDF" w:rsidRPr="001B016C" w:rsidRDefault="00914FDF" w:rsidP="00914FDF">
      <w:pPr>
        <w:spacing w:after="0"/>
        <w:jc w:val="center"/>
        <w:rPr>
          <w:rFonts w:asciiTheme="minorHAnsi" w:hAnsiTheme="minorHAnsi" w:cstheme="minorHAnsi"/>
          <w:b/>
        </w:rPr>
      </w:pPr>
      <w:r w:rsidRPr="001B016C">
        <w:rPr>
          <w:rFonts w:asciiTheme="minorHAnsi" w:hAnsiTheme="minorHAnsi" w:cstheme="minorHAnsi"/>
          <w:b/>
        </w:rPr>
        <w:t>Odpovědnost smluvních stran</w:t>
      </w:r>
    </w:p>
    <w:p w14:paraId="769BD5F9" w14:textId="77777777" w:rsidR="00914FDF" w:rsidRPr="001B016C" w:rsidRDefault="00914FDF" w:rsidP="00914FDF">
      <w:pPr>
        <w:spacing w:after="0"/>
        <w:jc w:val="center"/>
        <w:rPr>
          <w:rFonts w:asciiTheme="minorHAnsi" w:hAnsiTheme="minorHAnsi" w:cstheme="minorHAnsi"/>
          <w:b/>
        </w:rPr>
      </w:pPr>
    </w:p>
    <w:p w14:paraId="57D3B924" w14:textId="3E19C89E" w:rsidR="00914FDF" w:rsidRPr="001B016C" w:rsidRDefault="00914FDF" w:rsidP="00914FDF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1. </w:t>
      </w:r>
      <w:r w:rsidRPr="001B016C">
        <w:rPr>
          <w:rFonts w:asciiTheme="minorHAnsi" w:hAnsiTheme="minorHAnsi" w:cstheme="minorHAnsi"/>
        </w:rPr>
        <w:tab/>
        <w:t>Příkazník nese odpovědnost za správnost a přesnost předávaných informací a za veškerá doporučení a rozhodnutí, která učiní v průběhu plnění této smlouvy. Dále Příkazník nese odpovědnost za neplnění smlouvy, resp. její plnění nekvalitním, neúplným, neodborným či nedostačujícím způsobem. Nenese naopak žádnou odpovědnost za ztráty či škody vzniklé Příkazci v důsledku nerespektování pokynů a doporučení Příkazníka.</w:t>
      </w:r>
    </w:p>
    <w:p w14:paraId="7E323BE6" w14:textId="4368066C" w:rsidR="00914FDF" w:rsidRPr="001B016C" w:rsidRDefault="00914FDF" w:rsidP="00914FDF">
      <w:pPr>
        <w:spacing w:after="0"/>
        <w:jc w:val="both"/>
        <w:rPr>
          <w:rFonts w:asciiTheme="minorHAnsi" w:hAnsiTheme="minorHAnsi" w:cstheme="minorHAnsi"/>
        </w:rPr>
      </w:pPr>
    </w:p>
    <w:p w14:paraId="08CB36C7" w14:textId="081881AE" w:rsidR="00914FDF" w:rsidRPr="001B016C" w:rsidRDefault="00914FDF" w:rsidP="00914FDF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2. </w:t>
      </w:r>
      <w:r w:rsidRPr="001B016C">
        <w:rPr>
          <w:rFonts w:asciiTheme="minorHAnsi" w:hAnsiTheme="minorHAnsi" w:cstheme="minorHAnsi"/>
        </w:rPr>
        <w:tab/>
        <w:t>Příkazce není odpovědný za ztráty, škody či výlohy vzniklé Příkazníkovi v souvislosti s jeho smluvní činností z titulu vyšší moci. Nenese také odpovědnost za ztráty či poškození vzniklé na majetku Příkazníka vneseném do prostor stavby či prostor určených mu Příkazcem.</w:t>
      </w:r>
    </w:p>
    <w:p w14:paraId="2F33A9D5" w14:textId="6D772A5F" w:rsidR="00914FDF" w:rsidRPr="001B016C" w:rsidRDefault="00914FDF" w:rsidP="00914FDF">
      <w:pPr>
        <w:spacing w:after="0"/>
        <w:jc w:val="both"/>
        <w:rPr>
          <w:rFonts w:asciiTheme="minorHAnsi" w:hAnsiTheme="minorHAnsi" w:cstheme="minorHAnsi"/>
        </w:rPr>
      </w:pPr>
    </w:p>
    <w:p w14:paraId="0FA16C23" w14:textId="049D4828" w:rsidR="00914FDF" w:rsidRPr="001B016C" w:rsidRDefault="00914FDF" w:rsidP="00914FDF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3. </w:t>
      </w:r>
      <w:r w:rsidRPr="001B016C">
        <w:rPr>
          <w:rFonts w:asciiTheme="minorHAnsi" w:hAnsiTheme="minorHAnsi" w:cstheme="minorHAnsi"/>
        </w:rPr>
        <w:tab/>
        <w:t xml:space="preserve">Příkazce je oprávněný reklamovat nedostatky či vady poskytnuté činnosti nejpozději do 2 (dvou) měsíců ode dne jejího splnění. Reklamace musí být uplatněna písemně do rukou Příkazníka. V pochybnostech se reklamace zaslaná Příkazcem emailem má za doručenou Příkazníkovi dnem a hodinou odeslání emailové zprávy s tímto obsahem, </w:t>
      </w:r>
      <w:r w:rsidR="00682865">
        <w:rPr>
          <w:rFonts w:asciiTheme="minorHAnsi" w:hAnsiTheme="minorHAnsi" w:cstheme="minorHAnsi"/>
        </w:rPr>
        <w:t>reklamace</w:t>
      </w:r>
      <w:r w:rsidRPr="001B016C">
        <w:rPr>
          <w:rFonts w:asciiTheme="minorHAnsi" w:hAnsiTheme="minorHAnsi" w:cstheme="minorHAnsi"/>
        </w:rPr>
        <w:t xml:space="preserve"> odeslan</w:t>
      </w:r>
      <w:r w:rsidR="00682865">
        <w:rPr>
          <w:rFonts w:asciiTheme="minorHAnsi" w:hAnsiTheme="minorHAnsi" w:cstheme="minorHAnsi"/>
        </w:rPr>
        <w:t>á</w:t>
      </w:r>
      <w:r w:rsidRPr="001B016C">
        <w:rPr>
          <w:rFonts w:asciiTheme="minorHAnsi" w:hAnsiTheme="minorHAnsi" w:cstheme="minorHAnsi"/>
        </w:rPr>
        <w:t xml:space="preserve"> doporučenou poštou třetím dnem od data razítka poštovního úřadu na podacím lístku. </w:t>
      </w:r>
      <w:r w:rsidR="00682865">
        <w:rPr>
          <w:rFonts w:asciiTheme="minorHAnsi" w:hAnsiTheme="minorHAnsi" w:cstheme="minorHAnsi"/>
        </w:rPr>
        <w:t>Reklamace</w:t>
      </w:r>
      <w:r w:rsidRPr="001B016C">
        <w:rPr>
          <w:rFonts w:asciiTheme="minorHAnsi" w:hAnsiTheme="minorHAnsi" w:cstheme="minorHAnsi"/>
        </w:rPr>
        <w:t xml:space="preserve"> odeslan</w:t>
      </w:r>
      <w:r w:rsidR="00682865">
        <w:rPr>
          <w:rFonts w:asciiTheme="minorHAnsi" w:hAnsiTheme="minorHAnsi" w:cstheme="minorHAnsi"/>
        </w:rPr>
        <w:t>á</w:t>
      </w:r>
      <w:r w:rsidRPr="001B016C">
        <w:rPr>
          <w:rFonts w:asciiTheme="minorHAnsi" w:hAnsiTheme="minorHAnsi" w:cstheme="minorHAnsi"/>
        </w:rPr>
        <w:t xml:space="preserve"> prostřednictvím datové schránky se na základě dohody smluvních stran považuje za doručen</w:t>
      </w:r>
      <w:r w:rsidR="00682865">
        <w:rPr>
          <w:rFonts w:asciiTheme="minorHAnsi" w:hAnsiTheme="minorHAnsi" w:cstheme="minorHAnsi"/>
        </w:rPr>
        <w:t>ou</w:t>
      </w:r>
      <w:r w:rsidRPr="001B016C">
        <w:rPr>
          <w:rFonts w:asciiTheme="minorHAnsi" w:hAnsiTheme="minorHAnsi" w:cstheme="minorHAnsi"/>
        </w:rPr>
        <w:t xml:space="preserve"> již okamžikem jeho dodání do datové schránky Příkazníka.</w:t>
      </w:r>
    </w:p>
    <w:p w14:paraId="02CF1E46" w14:textId="4C80CFA7" w:rsidR="00914FDF" w:rsidRPr="001B016C" w:rsidRDefault="00914FDF" w:rsidP="00914FDF">
      <w:pPr>
        <w:spacing w:after="0"/>
        <w:jc w:val="both"/>
        <w:rPr>
          <w:rFonts w:asciiTheme="minorHAnsi" w:hAnsiTheme="minorHAnsi" w:cstheme="minorHAnsi"/>
        </w:rPr>
      </w:pPr>
    </w:p>
    <w:p w14:paraId="04AB27AB" w14:textId="1B0211E2" w:rsidR="00914FDF" w:rsidRPr="001B016C" w:rsidRDefault="00914FDF" w:rsidP="00914FDF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4. </w:t>
      </w:r>
      <w:r w:rsidRPr="001B016C">
        <w:rPr>
          <w:rFonts w:asciiTheme="minorHAnsi" w:hAnsiTheme="minorHAnsi" w:cstheme="minorHAnsi"/>
        </w:rPr>
        <w:tab/>
        <w:t>Příkazce má právo na neodkladné a bezplatné odstranění opodstatněně reklamovaného nedostatku či vady plnění. Nebude-li toto odstranění možné, má nárok na přiměřené snížení sjednané odměny. Možnost jiného ujednání se tímto nevylučuje, stejně jako odpovědnost Příkazníka za škody, které Příkazci vzniknou jeho neodborným postupem.</w:t>
      </w:r>
    </w:p>
    <w:p w14:paraId="3974C911" w14:textId="67168CD0" w:rsidR="00914FDF" w:rsidRDefault="00914FDF" w:rsidP="00914FDF">
      <w:pPr>
        <w:spacing w:after="0"/>
        <w:jc w:val="both"/>
        <w:rPr>
          <w:rFonts w:asciiTheme="minorHAnsi" w:hAnsiTheme="minorHAnsi" w:cstheme="minorHAnsi"/>
        </w:rPr>
      </w:pPr>
    </w:p>
    <w:p w14:paraId="6724E60C" w14:textId="30D8AB1C" w:rsidR="009341AE" w:rsidRDefault="009341AE" w:rsidP="00914FDF">
      <w:pPr>
        <w:spacing w:after="0"/>
        <w:jc w:val="both"/>
        <w:rPr>
          <w:rFonts w:asciiTheme="minorHAnsi" w:hAnsiTheme="minorHAnsi" w:cstheme="minorHAnsi"/>
        </w:rPr>
      </w:pPr>
    </w:p>
    <w:p w14:paraId="03292206" w14:textId="29445312" w:rsidR="009341AE" w:rsidRDefault="009341AE" w:rsidP="00914FDF">
      <w:pPr>
        <w:spacing w:after="0"/>
        <w:jc w:val="both"/>
        <w:rPr>
          <w:rFonts w:asciiTheme="minorHAnsi" w:hAnsiTheme="minorHAnsi" w:cstheme="minorHAnsi"/>
        </w:rPr>
      </w:pPr>
    </w:p>
    <w:p w14:paraId="3D33B481" w14:textId="69558FC5" w:rsidR="009341AE" w:rsidRDefault="009341AE" w:rsidP="00914FDF">
      <w:pPr>
        <w:spacing w:after="0"/>
        <w:jc w:val="both"/>
        <w:rPr>
          <w:rFonts w:asciiTheme="minorHAnsi" w:hAnsiTheme="minorHAnsi" w:cstheme="minorHAnsi"/>
        </w:rPr>
      </w:pPr>
    </w:p>
    <w:p w14:paraId="127954CE" w14:textId="77777777" w:rsidR="009341AE" w:rsidRPr="001B016C" w:rsidRDefault="009341AE" w:rsidP="00914FDF">
      <w:pPr>
        <w:spacing w:after="0"/>
        <w:jc w:val="both"/>
        <w:rPr>
          <w:rFonts w:asciiTheme="minorHAnsi" w:hAnsiTheme="minorHAnsi" w:cstheme="minorHAnsi"/>
        </w:rPr>
      </w:pPr>
    </w:p>
    <w:p w14:paraId="744A2BEF" w14:textId="3E0E1DFE" w:rsidR="00914FDF" w:rsidRPr="001B016C" w:rsidRDefault="00914FDF" w:rsidP="00914FDF">
      <w:pPr>
        <w:spacing w:after="0"/>
        <w:jc w:val="both"/>
        <w:rPr>
          <w:rFonts w:asciiTheme="minorHAnsi" w:hAnsiTheme="minorHAnsi" w:cstheme="minorHAnsi"/>
        </w:rPr>
      </w:pPr>
    </w:p>
    <w:p w14:paraId="5B3F36AC" w14:textId="77777777" w:rsidR="00914FDF" w:rsidRPr="001B016C" w:rsidRDefault="00914FDF" w:rsidP="00914FDF">
      <w:pPr>
        <w:spacing w:after="0"/>
        <w:jc w:val="center"/>
        <w:rPr>
          <w:rFonts w:asciiTheme="minorHAnsi" w:hAnsiTheme="minorHAnsi" w:cstheme="minorHAnsi"/>
          <w:b/>
        </w:rPr>
      </w:pPr>
      <w:r w:rsidRPr="001B016C">
        <w:rPr>
          <w:rFonts w:asciiTheme="minorHAnsi" w:hAnsiTheme="minorHAnsi" w:cstheme="minorHAnsi"/>
          <w:b/>
        </w:rPr>
        <w:lastRenderedPageBreak/>
        <w:t>VIII.</w:t>
      </w:r>
    </w:p>
    <w:p w14:paraId="232144B2" w14:textId="77777777" w:rsidR="00914FDF" w:rsidRPr="001B016C" w:rsidRDefault="00914FDF" w:rsidP="00914FDF">
      <w:pPr>
        <w:spacing w:after="0"/>
        <w:jc w:val="center"/>
        <w:rPr>
          <w:rFonts w:asciiTheme="minorHAnsi" w:hAnsiTheme="minorHAnsi" w:cstheme="minorHAnsi"/>
          <w:b/>
        </w:rPr>
      </w:pPr>
      <w:r w:rsidRPr="001B016C">
        <w:rPr>
          <w:rFonts w:asciiTheme="minorHAnsi" w:hAnsiTheme="minorHAnsi" w:cstheme="minorHAnsi"/>
          <w:b/>
        </w:rPr>
        <w:t>Výpověď smlouvy</w:t>
      </w:r>
    </w:p>
    <w:p w14:paraId="4E551CD5" w14:textId="77777777" w:rsidR="00914FDF" w:rsidRPr="001B016C" w:rsidRDefault="00914FDF" w:rsidP="00914FDF">
      <w:pPr>
        <w:spacing w:after="0"/>
        <w:jc w:val="center"/>
        <w:rPr>
          <w:rFonts w:asciiTheme="minorHAnsi" w:hAnsiTheme="minorHAnsi" w:cstheme="minorHAnsi"/>
          <w:b/>
        </w:rPr>
      </w:pPr>
    </w:p>
    <w:p w14:paraId="323FEBC0" w14:textId="77777777" w:rsidR="00914FDF" w:rsidRPr="001B016C" w:rsidRDefault="00914FDF" w:rsidP="00914FDF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1. </w:t>
      </w:r>
      <w:r w:rsidRPr="001B016C">
        <w:rPr>
          <w:rFonts w:asciiTheme="minorHAnsi" w:hAnsiTheme="minorHAnsi" w:cstheme="minorHAnsi"/>
        </w:rPr>
        <w:tab/>
        <w:t xml:space="preserve">Účastníci této smlouvy jsou oprávněni smlouvu vypovědět písemnou výpovědí doručenou druhé smluvní straně. Vypovědět tuto smlouvu jednotlivými účastníky lze výhradně v některém z níže uvedených případů: </w:t>
      </w:r>
    </w:p>
    <w:p w14:paraId="5943EC75" w14:textId="77777777" w:rsidR="00914FDF" w:rsidRPr="001B016C" w:rsidRDefault="00914FDF" w:rsidP="00914FDF">
      <w:pPr>
        <w:numPr>
          <w:ilvl w:val="0"/>
          <w:numId w:val="5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Příkazník je oprávněn vypovědět tuto smlouvu, pokud je Příkazce v prodlení s plněním svých finančních závazků vůči Příkazníkovi po dobu delší než 30 dní. </w:t>
      </w:r>
    </w:p>
    <w:p w14:paraId="1DD317D4" w14:textId="4F6C90F8" w:rsidR="00914FDF" w:rsidRPr="001B016C" w:rsidRDefault="00914FDF" w:rsidP="00914FDF">
      <w:pPr>
        <w:numPr>
          <w:ilvl w:val="0"/>
          <w:numId w:val="5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Příkazce je oprávněn vypovědět tuto smlouvu, pokud Příkazník jedná v rozporu s touto smlouvou. </w:t>
      </w:r>
    </w:p>
    <w:p w14:paraId="3EA169D2" w14:textId="2BEA8667" w:rsidR="00914FDF" w:rsidRPr="001B016C" w:rsidRDefault="00914FDF" w:rsidP="00914FDF">
      <w:pPr>
        <w:numPr>
          <w:ilvl w:val="0"/>
          <w:numId w:val="5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>Příkazce je oprávněn vypovědět tuto smlouvu, pokud Příkazník nevykonává svou činnost podle této smlouvy po dobu delší 15 (patnácti) dnů.</w:t>
      </w:r>
    </w:p>
    <w:p w14:paraId="5F32EDBD" w14:textId="3AF310CB" w:rsidR="00914FDF" w:rsidRPr="001B016C" w:rsidRDefault="00914FDF" w:rsidP="00914FDF">
      <w:pPr>
        <w:spacing w:after="0"/>
        <w:jc w:val="both"/>
        <w:rPr>
          <w:rFonts w:asciiTheme="minorHAnsi" w:hAnsiTheme="minorHAnsi" w:cstheme="minorHAnsi"/>
        </w:rPr>
      </w:pPr>
    </w:p>
    <w:p w14:paraId="19D81417" w14:textId="0D7CB61F" w:rsidR="00914FDF" w:rsidRPr="001B016C" w:rsidRDefault="00914FDF" w:rsidP="00914FDF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2. </w:t>
      </w:r>
      <w:r w:rsidRPr="001B016C">
        <w:rPr>
          <w:rFonts w:asciiTheme="minorHAnsi" w:hAnsiTheme="minorHAnsi" w:cstheme="minorHAnsi"/>
        </w:rPr>
        <w:tab/>
        <w:t>Výpověď provede smluvní strana písemnou formou, a to doporučeným dopisem zaslaným na adresu druhé smluvní strany. V pochybnostech se výpověď odeslaná doporučenou poštou má za doručenou třetím dnem od data razítka poštovního úřadu na podacím lístku. Výpověď odeslan</w:t>
      </w:r>
      <w:r w:rsidR="001B016C" w:rsidRPr="001B016C">
        <w:rPr>
          <w:rFonts w:asciiTheme="minorHAnsi" w:hAnsiTheme="minorHAnsi" w:cstheme="minorHAnsi"/>
        </w:rPr>
        <w:t>á</w:t>
      </w:r>
      <w:r w:rsidRPr="001B016C">
        <w:rPr>
          <w:rFonts w:asciiTheme="minorHAnsi" w:hAnsiTheme="minorHAnsi" w:cstheme="minorHAnsi"/>
        </w:rPr>
        <w:t xml:space="preserve"> prostřednictvím datové schránky se na základě dohody smluvních stran považuje za doručen</w:t>
      </w:r>
      <w:r w:rsidR="001B016C" w:rsidRPr="001B016C">
        <w:rPr>
          <w:rFonts w:asciiTheme="minorHAnsi" w:hAnsiTheme="minorHAnsi" w:cstheme="minorHAnsi"/>
        </w:rPr>
        <w:t>ou</w:t>
      </w:r>
      <w:r w:rsidRPr="001B016C">
        <w:rPr>
          <w:rFonts w:asciiTheme="minorHAnsi" w:hAnsiTheme="minorHAnsi" w:cstheme="minorHAnsi"/>
        </w:rPr>
        <w:t xml:space="preserve"> již okamžikem je</w:t>
      </w:r>
      <w:r w:rsidR="001B016C" w:rsidRPr="001B016C">
        <w:rPr>
          <w:rFonts w:asciiTheme="minorHAnsi" w:hAnsiTheme="minorHAnsi" w:cstheme="minorHAnsi"/>
        </w:rPr>
        <w:t>jí</w:t>
      </w:r>
      <w:r w:rsidRPr="001B016C">
        <w:rPr>
          <w:rFonts w:asciiTheme="minorHAnsi" w:hAnsiTheme="minorHAnsi" w:cstheme="minorHAnsi"/>
        </w:rPr>
        <w:t>ho dodání do datové schránky Příkazníka.</w:t>
      </w:r>
      <w:r w:rsidR="001B016C" w:rsidRPr="001B016C">
        <w:rPr>
          <w:rFonts w:asciiTheme="minorHAnsi" w:hAnsiTheme="minorHAnsi" w:cstheme="minorHAnsi"/>
        </w:rPr>
        <w:t xml:space="preserve"> </w:t>
      </w:r>
      <w:r w:rsidRPr="001B016C">
        <w:rPr>
          <w:rFonts w:asciiTheme="minorHAnsi" w:hAnsiTheme="minorHAnsi" w:cstheme="minorHAnsi"/>
        </w:rPr>
        <w:t>Výpovědní lhůta činí 14 (čtrnáct) dnů a počíná běžet od prvního dne následujícího po dni odeslání výpovědi.</w:t>
      </w:r>
    </w:p>
    <w:p w14:paraId="04637997" w14:textId="578E0650" w:rsidR="001B016C" w:rsidRPr="001B016C" w:rsidRDefault="001B016C" w:rsidP="00914FDF">
      <w:pPr>
        <w:spacing w:after="0"/>
        <w:jc w:val="both"/>
        <w:rPr>
          <w:rFonts w:asciiTheme="minorHAnsi" w:hAnsiTheme="minorHAnsi" w:cstheme="minorHAnsi"/>
        </w:rPr>
      </w:pPr>
    </w:p>
    <w:p w14:paraId="7E9506C5" w14:textId="2403F1B9" w:rsidR="001B016C" w:rsidRPr="001B016C" w:rsidRDefault="001B016C" w:rsidP="00914FDF">
      <w:pPr>
        <w:spacing w:after="0"/>
        <w:jc w:val="both"/>
        <w:rPr>
          <w:rFonts w:asciiTheme="minorHAnsi" w:hAnsiTheme="minorHAnsi" w:cstheme="minorHAnsi"/>
        </w:rPr>
      </w:pPr>
    </w:p>
    <w:p w14:paraId="228E0CD7" w14:textId="77777777" w:rsidR="001B016C" w:rsidRPr="001B016C" w:rsidRDefault="001B016C" w:rsidP="001B016C">
      <w:pPr>
        <w:spacing w:after="0"/>
        <w:jc w:val="center"/>
        <w:rPr>
          <w:rFonts w:asciiTheme="minorHAnsi" w:hAnsiTheme="minorHAnsi" w:cstheme="minorHAnsi"/>
          <w:b/>
        </w:rPr>
      </w:pPr>
      <w:r w:rsidRPr="001B016C">
        <w:rPr>
          <w:rFonts w:asciiTheme="minorHAnsi" w:hAnsiTheme="minorHAnsi" w:cstheme="minorHAnsi"/>
          <w:b/>
        </w:rPr>
        <w:t>IX.</w:t>
      </w:r>
    </w:p>
    <w:p w14:paraId="3E8F61F5" w14:textId="77777777" w:rsidR="001B016C" w:rsidRPr="001B016C" w:rsidRDefault="001B016C" w:rsidP="001B016C">
      <w:pPr>
        <w:spacing w:after="0"/>
        <w:jc w:val="center"/>
        <w:rPr>
          <w:rFonts w:asciiTheme="minorHAnsi" w:hAnsiTheme="minorHAnsi" w:cstheme="minorHAnsi"/>
          <w:b/>
        </w:rPr>
      </w:pPr>
      <w:r w:rsidRPr="001B016C">
        <w:rPr>
          <w:rFonts w:asciiTheme="minorHAnsi" w:hAnsiTheme="minorHAnsi" w:cstheme="minorHAnsi"/>
          <w:b/>
        </w:rPr>
        <w:t>Závěrečná ustanovení</w:t>
      </w:r>
    </w:p>
    <w:p w14:paraId="1DADC348" w14:textId="77777777" w:rsidR="001B016C" w:rsidRPr="001B016C" w:rsidRDefault="001B016C" w:rsidP="001B016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E295B60" w14:textId="77777777" w:rsidR="001B016C" w:rsidRPr="001B016C" w:rsidRDefault="001B016C" w:rsidP="001B016C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1B016C">
        <w:rPr>
          <w:rFonts w:asciiTheme="minorHAnsi" w:hAnsiTheme="minorHAnsi" w:cstheme="minorHAnsi"/>
        </w:rPr>
        <w:t xml:space="preserve">1. </w:t>
      </w:r>
      <w:r w:rsidRPr="001B016C">
        <w:rPr>
          <w:rFonts w:asciiTheme="minorHAnsi" w:hAnsiTheme="minorHAnsi" w:cstheme="minorHAnsi"/>
        </w:rPr>
        <w:tab/>
        <w:t xml:space="preserve">Pověřenou osobou pro jednání s Příkazníkem je ze strany Příkazce výhradně </w:t>
      </w:r>
      <w:r w:rsidRPr="001B016C">
        <w:rPr>
          <w:rFonts w:asciiTheme="minorHAnsi" w:hAnsiTheme="minorHAnsi" w:cstheme="minorHAnsi"/>
          <w:b/>
        </w:rPr>
        <w:t>starosta města.</w:t>
      </w:r>
    </w:p>
    <w:p w14:paraId="03A350E3" w14:textId="77777777" w:rsidR="001B016C" w:rsidRPr="001B016C" w:rsidRDefault="001B016C" w:rsidP="001B016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B62D43B" w14:textId="77777777" w:rsidR="001B016C" w:rsidRPr="001B016C" w:rsidRDefault="001B016C" w:rsidP="001B016C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2. </w:t>
      </w:r>
      <w:r w:rsidRPr="001B016C">
        <w:rPr>
          <w:rFonts w:asciiTheme="minorHAnsi" w:hAnsiTheme="minorHAnsi" w:cstheme="minorHAnsi"/>
        </w:rPr>
        <w:tab/>
        <w:t xml:space="preserve">Smluvní strany se dohodly, že dokumenty, které si budou předávat v elektronické podobě, budou v následujících formátech: </w:t>
      </w:r>
    </w:p>
    <w:p w14:paraId="0974A504" w14:textId="77777777" w:rsidR="001B016C" w:rsidRPr="001B016C" w:rsidRDefault="001B016C" w:rsidP="001B016C">
      <w:pPr>
        <w:numPr>
          <w:ilvl w:val="0"/>
          <w:numId w:val="6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Word, </w:t>
      </w:r>
    </w:p>
    <w:p w14:paraId="5AEB4C2A" w14:textId="77777777" w:rsidR="001B016C" w:rsidRPr="001B016C" w:rsidRDefault="001B016C" w:rsidP="001B016C">
      <w:pPr>
        <w:numPr>
          <w:ilvl w:val="0"/>
          <w:numId w:val="6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Excel, </w:t>
      </w:r>
    </w:p>
    <w:p w14:paraId="0FD5CC90" w14:textId="77777777" w:rsidR="001B016C" w:rsidRPr="001B016C" w:rsidRDefault="001B016C" w:rsidP="001B016C">
      <w:pPr>
        <w:numPr>
          <w:ilvl w:val="0"/>
          <w:numId w:val="6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PDF. </w:t>
      </w:r>
    </w:p>
    <w:p w14:paraId="465D19FA" w14:textId="6A1CD09D" w:rsidR="001B016C" w:rsidRPr="001B016C" w:rsidRDefault="001B016C" w:rsidP="00914FDF">
      <w:pPr>
        <w:spacing w:after="0"/>
        <w:jc w:val="both"/>
        <w:rPr>
          <w:rFonts w:asciiTheme="minorHAnsi" w:hAnsiTheme="minorHAnsi" w:cstheme="minorHAnsi"/>
        </w:rPr>
      </w:pPr>
    </w:p>
    <w:p w14:paraId="110FF1A1" w14:textId="77777777" w:rsidR="001B016C" w:rsidRPr="001B016C" w:rsidRDefault="001B016C" w:rsidP="001B016C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3. </w:t>
      </w:r>
      <w:r w:rsidRPr="001B016C">
        <w:rPr>
          <w:rFonts w:asciiTheme="minorHAnsi" w:hAnsiTheme="minorHAnsi" w:cstheme="minorHAnsi"/>
        </w:rPr>
        <w:tab/>
        <w:t xml:space="preserve">Smluvní strany se zavazují chránit svoji výpočetní techniku průběžně aktualizovanými rezistentními antivirovými programy. </w:t>
      </w:r>
    </w:p>
    <w:p w14:paraId="2BB572B9" w14:textId="77777777" w:rsidR="001B016C" w:rsidRPr="001B016C" w:rsidRDefault="001B016C" w:rsidP="001B016C">
      <w:pPr>
        <w:spacing w:after="0"/>
        <w:jc w:val="both"/>
        <w:rPr>
          <w:rFonts w:asciiTheme="minorHAnsi" w:hAnsiTheme="minorHAnsi" w:cstheme="minorHAnsi"/>
        </w:rPr>
      </w:pPr>
    </w:p>
    <w:p w14:paraId="6AFEF6C0" w14:textId="77777777" w:rsidR="001B016C" w:rsidRPr="001B016C" w:rsidRDefault="001B016C" w:rsidP="001B016C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4. </w:t>
      </w:r>
      <w:r w:rsidRPr="001B016C">
        <w:rPr>
          <w:rFonts w:asciiTheme="minorHAnsi" w:hAnsiTheme="minorHAnsi" w:cstheme="minorHAnsi"/>
        </w:rPr>
        <w:tab/>
        <w:t xml:space="preserve">Smluvní strany se zavazují zachovávat mlčenlivost o všech informacích a dokumentech, jež získají v souvislosti s plněním předmětu této smlouvy a při styku s klienty Příkazce, případně zhotoviteli stavby a jejich poddodavateli. Pro účely této smlouvy se za důvěrné informace považují ty informace, které tak označí kterákoliv ze smluvních stran s výjimkou informací, jež jsou veřejně známy. </w:t>
      </w:r>
    </w:p>
    <w:p w14:paraId="524D11E5" w14:textId="77777777" w:rsidR="001B016C" w:rsidRPr="001B016C" w:rsidRDefault="001B016C" w:rsidP="001B016C">
      <w:pPr>
        <w:spacing w:after="0"/>
        <w:jc w:val="both"/>
        <w:rPr>
          <w:rFonts w:asciiTheme="minorHAnsi" w:hAnsiTheme="minorHAnsi" w:cstheme="minorHAnsi"/>
        </w:rPr>
      </w:pPr>
    </w:p>
    <w:p w14:paraId="71B458A1" w14:textId="77777777" w:rsidR="001B016C" w:rsidRPr="001B016C" w:rsidRDefault="001B016C" w:rsidP="001B016C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5. </w:t>
      </w:r>
      <w:r w:rsidRPr="001B016C">
        <w:rPr>
          <w:rFonts w:asciiTheme="minorHAnsi" w:hAnsiTheme="minorHAnsi" w:cstheme="minorHAnsi"/>
        </w:rPr>
        <w:tab/>
        <w:t xml:space="preserve">Příkazník bere na vědomí a souhlasí s tím, že Příkazce může v rámci zprůhlednění veřejné správy občanům zveřejnit tuto smlouvu po anonymizaci osobních údajů Příkazníka na úřední desce, resp. na svojí webové stránce. </w:t>
      </w:r>
    </w:p>
    <w:p w14:paraId="2EB8FB8B" w14:textId="77777777" w:rsidR="001B016C" w:rsidRPr="001B016C" w:rsidRDefault="001B016C" w:rsidP="001B016C">
      <w:pPr>
        <w:spacing w:after="0"/>
        <w:jc w:val="both"/>
        <w:rPr>
          <w:rFonts w:asciiTheme="minorHAnsi" w:hAnsiTheme="minorHAnsi" w:cstheme="minorHAnsi"/>
        </w:rPr>
      </w:pPr>
    </w:p>
    <w:p w14:paraId="0996E26F" w14:textId="77777777" w:rsidR="001B016C" w:rsidRPr="001B016C" w:rsidRDefault="001B016C" w:rsidP="001B016C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6. </w:t>
      </w:r>
      <w:r w:rsidRPr="001B016C">
        <w:rPr>
          <w:rFonts w:asciiTheme="minorHAnsi" w:hAnsiTheme="minorHAnsi" w:cstheme="minorHAnsi"/>
        </w:rPr>
        <w:tab/>
        <w:t xml:space="preserve">Vztahy smluvních stran v této smlouvě zvláště neupravené se řídí příslušnými ustanoveními občanského zákoníku, případně dalšími platnými právními předpisy České republiky. </w:t>
      </w:r>
    </w:p>
    <w:p w14:paraId="5A8EF3F6" w14:textId="77777777" w:rsidR="001B016C" w:rsidRPr="001B016C" w:rsidRDefault="001B016C" w:rsidP="001B016C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lastRenderedPageBreak/>
        <w:t xml:space="preserve">7. </w:t>
      </w:r>
      <w:r w:rsidRPr="001B016C">
        <w:rPr>
          <w:rFonts w:asciiTheme="minorHAnsi" w:hAnsiTheme="minorHAnsi" w:cstheme="minorHAnsi"/>
        </w:rPr>
        <w:tab/>
        <w:t xml:space="preserve">Tuto smlouvu lze měnit či doplňovat pouze písemně, a to formou číslovaných dodatků podepsaných oprávněnými zástupci smluvních stran. Jakákoliv ústní ujednání jsou právně neúčinná. </w:t>
      </w:r>
    </w:p>
    <w:p w14:paraId="39320C25" w14:textId="77777777" w:rsidR="001B016C" w:rsidRPr="001B016C" w:rsidRDefault="001B016C" w:rsidP="001B016C">
      <w:pPr>
        <w:spacing w:after="0"/>
        <w:jc w:val="both"/>
        <w:rPr>
          <w:rFonts w:asciiTheme="minorHAnsi" w:hAnsiTheme="minorHAnsi" w:cstheme="minorHAnsi"/>
        </w:rPr>
      </w:pPr>
    </w:p>
    <w:p w14:paraId="5008B0DF" w14:textId="0A5CEFDF" w:rsidR="001B016C" w:rsidRPr="001B016C" w:rsidRDefault="001B016C" w:rsidP="001B016C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8. </w:t>
      </w:r>
      <w:r w:rsidRPr="001B016C">
        <w:rPr>
          <w:rFonts w:asciiTheme="minorHAnsi" w:hAnsiTheme="minorHAnsi" w:cstheme="minorHAnsi"/>
        </w:rPr>
        <w:tab/>
        <w:t xml:space="preserve">Smluvní strany prohlašují po přečtení této smlouvy, že smlouva odpovídá jejich pravé a svobodné vůli, že nebyla učiněna v tísni za nápadně nevýhodných podmínek a na důkaz toho připojují své vlastnoruční podpisy. </w:t>
      </w:r>
    </w:p>
    <w:p w14:paraId="2A6AE234" w14:textId="68FD4EE2" w:rsidR="001B016C" w:rsidRPr="001B016C" w:rsidRDefault="001B016C" w:rsidP="001B016C">
      <w:pPr>
        <w:spacing w:after="0"/>
        <w:jc w:val="both"/>
        <w:rPr>
          <w:rFonts w:asciiTheme="minorHAnsi" w:hAnsiTheme="minorHAnsi" w:cstheme="minorHAnsi"/>
        </w:rPr>
      </w:pPr>
    </w:p>
    <w:p w14:paraId="247669F1" w14:textId="49DD2C08" w:rsidR="001B016C" w:rsidRPr="001B016C" w:rsidRDefault="001B016C" w:rsidP="001B016C">
      <w:pPr>
        <w:tabs>
          <w:tab w:val="left" w:pos="567"/>
        </w:tabs>
        <w:suppressAutoHyphens/>
        <w:spacing w:after="0" w:line="240" w:lineRule="auto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>9.</w:t>
      </w:r>
      <w:r w:rsidRPr="001B016C">
        <w:rPr>
          <w:rFonts w:asciiTheme="minorHAnsi" w:hAnsiTheme="minorHAnsi" w:cstheme="minorHAnsi"/>
        </w:rPr>
        <w:tab/>
        <w:t>Tato smlouva nabývá platnosti dnem jejího podepsání oběma smluvními stranami, tj. připojením platného kvalifikovaného elektronického podpisu Příkazce dle zákona č. 297/2016 Sb., o službách vytvářejících důvěru pro elektronické transakce, ve znění pozdějších předpisů, a uznávaného elektronického podpisu či zaručeného elektronického podpisu Příkazníka dle téhož zákona do této smlouvy. Účinnosti tato smlouva nabývá jejím uveřejněním v registru smluv dle zákona č. 340/2015 Sb., o zvláštních podmínkách účinnosti některých smluv, uveřejňování těchto smluv a o registru smluv (zákon o registru smluv). Smluvní strany výslovně souhlasí s uveřejněním této smlouvy v registru smluv a dohodly se, že smlouvu v registru smluv uveřejní Příkazce.</w:t>
      </w:r>
    </w:p>
    <w:p w14:paraId="58C833A1" w14:textId="77777777" w:rsidR="001B016C" w:rsidRPr="001B016C" w:rsidRDefault="001B016C" w:rsidP="001B016C">
      <w:pPr>
        <w:spacing w:after="0"/>
        <w:jc w:val="both"/>
        <w:rPr>
          <w:rFonts w:asciiTheme="minorHAnsi" w:hAnsiTheme="minorHAnsi" w:cstheme="minorHAnsi"/>
        </w:rPr>
      </w:pPr>
    </w:p>
    <w:p w14:paraId="6E7C045A" w14:textId="7D12F2A3" w:rsidR="001B016C" w:rsidRPr="001B016C" w:rsidRDefault="001B016C" w:rsidP="00914FDF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>10.</w:t>
      </w:r>
      <w:r w:rsidRPr="001B016C">
        <w:rPr>
          <w:rFonts w:asciiTheme="minorHAnsi" w:hAnsiTheme="minorHAnsi" w:cstheme="minorHAnsi"/>
        </w:rPr>
        <w:tab/>
        <w:t>Tato smlouva je uzavřena v elektronické podobě, přičemž každá smluvní strana obdrží její elektronický originál.</w:t>
      </w:r>
    </w:p>
    <w:p w14:paraId="5AF35EFC" w14:textId="6AE8DC9D" w:rsidR="001B016C" w:rsidRPr="001B016C" w:rsidRDefault="001B016C" w:rsidP="00914FDF">
      <w:pPr>
        <w:spacing w:after="0"/>
        <w:jc w:val="both"/>
        <w:rPr>
          <w:rFonts w:asciiTheme="minorHAnsi" w:hAnsiTheme="minorHAnsi" w:cstheme="minorHAnsi"/>
        </w:rPr>
      </w:pPr>
    </w:p>
    <w:p w14:paraId="63D8B36E" w14:textId="2D0AB0E0" w:rsidR="001B016C" w:rsidRPr="001B016C" w:rsidRDefault="001B016C" w:rsidP="001B016C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>11.</w:t>
      </w:r>
      <w:r w:rsidRPr="001B016C">
        <w:rPr>
          <w:rFonts w:asciiTheme="minorHAnsi" w:hAnsiTheme="minorHAnsi" w:cstheme="minorHAnsi"/>
        </w:rPr>
        <w:tab/>
        <w:t xml:space="preserve">Uzavření této smlouvy schválila Rada města Dobrušky na své schůzi konané dne </w:t>
      </w:r>
      <w:r w:rsidR="000B28FF">
        <w:rPr>
          <w:rFonts w:asciiTheme="minorHAnsi" w:hAnsiTheme="minorHAnsi" w:cstheme="minorHAnsi"/>
        </w:rPr>
        <w:t>11.08.</w:t>
      </w:r>
      <w:r w:rsidRPr="001B016C">
        <w:rPr>
          <w:rFonts w:asciiTheme="minorHAnsi" w:hAnsiTheme="minorHAnsi" w:cstheme="minorHAnsi"/>
        </w:rPr>
        <w:t>2025.</w:t>
      </w:r>
    </w:p>
    <w:p w14:paraId="0B685E9A" w14:textId="77777777" w:rsidR="001B016C" w:rsidRPr="001B016C" w:rsidRDefault="001B016C" w:rsidP="001B016C">
      <w:pPr>
        <w:spacing w:after="0"/>
        <w:jc w:val="both"/>
        <w:rPr>
          <w:rFonts w:asciiTheme="minorHAnsi" w:hAnsiTheme="minorHAnsi" w:cstheme="minorHAnsi"/>
        </w:rPr>
      </w:pPr>
    </w:p>
    <w:p w14:paraId="3E01F30B" w14:textId="77777777" w:rsidR="001B016C" w:rsidRPr="001B016C" w:rsidRDefault="001B016C" w:rsidP="001B016C">
      <w:pPr>
        <w:spacing w:after="0"/>
        <w:jc w:val="both"/>
        <w:rPr>
          <w:rFonts w:asciiTheme="minorHAnsi" w:hAnsiTheme="minorHAnsi" w:cstheme="minorHAnsi"/>
        </w:rPr>
      </w:pPr>
    </w:p>
    <w:p w14:paraId="6BD5B034" w14:textId="197F5BD5" w:rsidR="001B016C" w:rsidRPr="001B016C" w:rsidRDefault="001B016C" w:rsidP="001B016C">
      <w:pPr>
        <w:pStyle w:val="Bezmezer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>Dobruška, v den elektronického podpisu</w:t>
      </w:r>
      <w:r w:rsidRPr="001B016C">
        <w:rPr>
          <w:rFonts w:asciiTheme="minorHAnsi" w:hAnsiTheme="minorHAnsi" w:cstheme="minorHAnsi"/>
        </w:rPr>
        <w:tab/>
      </w:r>
      <w:r w:rsidRPr="001B016C">
        <w:rPr>
          <w:rFonts w:asciiTheme="minorHAnsi" w:hAnsiTheme="minorHAnsi" w:cstheme="minorHAnsi"/>
        </w:rPr>
        <w:tab/>
        <w:t>Mělník, v den elektronického podpisu</w:t>
      </w:r>
    </w:p>
    <w:p w14:paraId="7FD5B878" w14:textId="77777777" w:rsidR="001B016C" w:rsidRPr="001B016C" w:rsidRDefault="001B016C" w:rsidP="001B016C">
      <w:pPr>
        <w:jc w:val="both"/>
        <w:rPr>
          <w:rFonts w:asciiTheme="minorHAnsi" w:hAnsiTheme="minorHAnsi" w:cstheme="minorHAnsi"/>
        </w:rPr>
      </w:pPr>
    </w:p>
    <w:p w14:paraId="4512BDEB" w14:textId="77777777" w:rsidR="001B016C" w:rsidRPr="001B016C" w:rsidRDefault="001B016C" w:rsidP="001B016C">
      <w:pPr>
        <w:jc w:val="both"/>
        <w:rPr>
          <w:rFonts w:asciiTheme="minorHAnsi" w:hAnsiTheme="minorHAnsi" w:cstheme="minorHAnsi"/>
        </w:rPr>
      </w:pPr>
    </w:p>
    <w:p w14:paraId="7B0CB09E" w14:textId="77777777" w:rsidR="001B016C" w:rsidRPr="001B016C" w:rsidRDefault="001B016C" w:rsidP="001B016C">
      <w:pPr>
        <w:jc w:val="both"/>
        <w:rPr>
          <w:rFonts w:asciiTheme="minorHAnsi" w:hAnsiTheme="minorHAnsi" w:cstheme="minorHAnsi"/>
        </w:rPr>
      </w:pPr>
    </w:p>
    <w:p w14:paraId="30E08BD8" w14:textId="77777777" w:rsidR="001B016C" w:rsidRPr="001B016C" w:rsidRDefault="001B016C" w:rsidP="001B016C">
      <w:pPr>
        <w:pStyle w:val="Bezmezer"/>
        <w:rPr>
          <w:rFonts w:asciiTheme="minorHAnsi" w:hAnsiTheme="minorHAnsi" w:cstheme="minorHAnsi"/>
        </w:rPr>
      </w:pPr>
    </w:p>
    <w:p w14:paraId="3161AD6B" w14:textId="77777777" w:rsidR="001B016C" w:rsidRPr="001B016C" w:rsidRDefault="001B016C" w:rsidP="001B016C">
      <w:pPr>
        <w:pStyle w:val="Bezmezer"/>
        <w:rPr>
          <w:rFonts w:asciiTheme="minorHAnsi" w:hAnsiTheme="minorHAnsi" w:cstheme="minorHAnsi"/>
        </w:rPr>
      </w:pPr>
    </w:p>
    <w:p w14:paraId="0B46B472" w14:textId="59F88F7D" w:rsidR="001B016C" w:rsidRPr="001B016C" w:rsidRDefault="001B016C" w:rsidP="001B016C">
      <w:pPr>
        <w:pStyle w:val="Bezmezer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br/>
        <w:t xml:space="preserve">              za Příkazce</w:t>
      </w:r>
      <w:r w:rsidRPr="001B016C">
        <w:rPr>
          <w:rFonts w:asciiTheme="minorHAnsi" w:hAnsiTheme="minorHAnsi" w:cstheme="minorHAnsi"/>
        </w:rPr>
        <w:tab/>
      </w:r>
      <w:r w:rsidRPr="001B016C">
        <w:rPr>
          <w:rFonts w:asciiTheme="minorHAnsi" w:hAnsiTheme="minorHAnsi" w:cstheme="minorHAnsi"/>
        </w:rPr>
        <w:tab/>
        <w:t xml:space="preserve">                  </w:t>
      </w:r>
      <w:r w:rsidRPr="001B016C">
        <w:rPr>
          <w:rFonts w:asciiTheme="minorHAnsi" w:hAnsiTheme="minorHAnsi" w:cstheme="minorHAnsi"/>
        </w:rPr>
        <w:tab/>
        <w:t xml:space="preserve">    </w:t>
      </w:r>
      <w:r w:rsidRPr="001B016C">
        <w:rPr>
          <w:rFonts w:asciiTheme="minorHAnsi" w:hAnsiTheme="minorHAnsi" w:cstheme="minorHAnsi"/>
        </w:rPr>
        <w:tab/>
        <w:t xml:space="preserve">                   za Příkazníka                 </w:t>
      </w:r>
    </w:p>
    <w:p w14:paraId="32853356" w14:textId="77777777" w:rsidR="001B016C" w:rsidRPr="001B016C" w:rsidRDefault="001B016C" w:rsidP="001B016C">
      <w:pPr>
        <w:pStyle w:val="Bezmezer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 xml:space="preserve"> Miroslav Sixta, starosta města </w:t>
      </w:r>
      <w:r w:rsidRPr="001B016C">
        <w:rPr>
          <w:rFonts w:asciiTheme="minorHAnsi" w:hAnsiTheme="minorHAnsi" w:cstheme="minorHAnsi"/>
        </w:rPr>
        <w:tab/>
        <w:t xml:space="preserve">                                   </w:t>
      </w:r>
      <w:r w:rsidRPr="001B016C">
        <w:rPr>
          <w:rFonts w:asciiTheme="minorHAnsi" w:hAnsiTheme="minorHAnsi" w:cstheme="minorHAnsi"/>
        </w:rPr>
        <w:tab/>
      </w:r>
      <w:r w:rsidRPr="001B016C">
        <w:rPr>
          <w:rFonts w:asciiTheme="minorHAnsi" w:hAnsiTheme="minorHAnsi" w:cstheme="minorHAnsi"/>
        </w:rPr>
        <w:tab/>
        <w:t xml:space="preserve"> TENDRA, spol. s  r.o.</w:t>
      </w:r>
    </w:p>
    <w:p w14:paraId="0264514D" w14:textId="3B0F2D61" w:rsidR="001B016C" w:rsidRPr="001B016C" w:rsidRDefault="001B016C" w:rsidP="001B016C">
      <w:pPr>
        <w:spacing w:after="0"/>
        <w:jc w:val="both"/>
        <w:rPr>
          <w:rFonts w:asciiTheme="minorHAnsi" w:hAnsiTheme="minorHAnsi" w:cstheme="minorHAnsi"/>
        </w:rPr>
      </w:pPr>
      <w:r w:rsidRPr="001B016C">
        <w:rPr>
          <w:rFonts w:asciiTheme="minorHAnsi" w:hAnsiTheme="minorHAnsi" w:cstheme="minorHAnsi"/>
        </w:rPr>
        <w:tab/>
      </w:r>
      <w:r w:rsidRPr="001B016C">
        <w:rPr>
          <w:rFonts w:asciiTheme="minorHAnsi" w:hAnsiTheme="minorHAnsi" w:cstheme="minorHAnsi"/>
        </w:rPr>
        <w:tab/>
      </w:r>
      <w:r w:rsidRPr="001B016C">
        <w:rPr>
          <w:rFonts w:asciiTheme="minorHAnsi" w:hAnsiTheme="minorHAnsi" w:cstheme="minorHAnsi"/>
        </w:rPr>
        <w:tab/>
      </w:r>
      <w:r w:rsidRPr="001B016C">
        <w:rPr>
          <w:rFonts w:asciiTheme="minorHAnsi" w:hAnsiTheme="minorHAnsi" w:cstheme="minorHAnsi"/>
        </w:rPr>
        <w:tab/>
      </w:r>
      <w:r w:rsidRPr="001B016C">
        <w:rPr>
          <w:rFonts w:asciiTheme="minorHAnsi" w:hAnsiTheme="minorHAnsi" w:cstheme="minorHAnsi"/>
        </w:rPr>
        <w:tab/>
      </w:r>
      <w:r w:rsidRPr="001B016C">
        <w:rPr>
          <w:rFonts w:asciiTheme="minorHAnsi" w:hAnsiTheme="minorHAnsi" w:cstheme="minorHAnsi"/>
        </w:rPr>
        <w:tab/>
        <w:t xml:space="preserve">        </w:t>
      </w:r>
      <w:r w:rsidRPr="001B016C">
        <w:rPr>
          <w:rFonts w:asciiTheme="minorHAnsi" w:hAnsiTheme="minorHAnsi" w:cstheme="minorHAnsi"/>
        </w:rPr>
        <w:tab/>
        <w:t xml:space="preserve">                Ing. Jitka Plíštilová</w:t>
      </w:r>
    </w:p>
    <w:sectPr w:rsidR="001B016C" w:rsidRPr="001B016C" w:rsidSect="00ED5AD2">
      <w:footerReference w:type="default" r:id="rId7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44774" w14:textId="77777777" w:rsidR="00571023" w:rsidRDefault="00571023" w:rsidP="00ED5AD2">
      <w:pPr>
        <w:spacing w:after="0" w:line="240" w:lineRule="auto"/>
      </w:pPr>
      <w:r>
        <w:separator/>
      </w:r>
    </w:p>
  </w:endnote>
  <w:endnote w:type="continuationSeparator" w:id="0">
    <w:p w14:paraId="031A860B" w14:textId="77777777" w:rsidR="00571023" w:rsidRDefault="00571023" w:rsidP="00ED5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1025167"/>
      <w:docPartObj>
        <w:docPartGallery w:val="Page Numbers (Bottom of Page)"/>
        <w:docPartUnique/>
      </w:docPartObj>
    </w:sdtPr>
    <w:sdtEndPr/>
    <w:sdtContent>
      <w:p w14:paraId="1CF7760B" w14:textId="7A9D3AAB" w:rsidR="005B478A" w:rsidRDefault="005B478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3C2">
          <w:rPr>
            <w:noProof/>
          </w:rPr>
          <w:t>- 7 -</w:t>
        </w:r>
        <w:r>
          <w:fldChar w:fldCharType="end"/>
        </w:r>
      </w:p>
    </w:sdtContent>
  </w:sdt>
  <w:p w14:paraId="5C784568" w14:textId="77777777" w:rsidR="005B478A" w:rsidRDefault="005B47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06B05" w14:textId="77777777" w:rsidR="00571023" w:rsidRDefault="00571023" w:rsidP="00ED5AD2">
      <w:pPr>
        <w:spacing w:after="0" w:line="240" w:lineRule="auto"/>
      </w:pPr>
      <w:r>
        <w:separator/>
      </w:r>
    </w:p>
  </w:footnote>
  <w:footnote w:type="continuationSeparator" w:id="0">
    <w:p w14:paraId="06720AC1" w14:textId="77777777" w:rsidR="00571023" w:rsidRDefault="00571023" w:rsidP="00ED5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B2365"/>
    <w:multiLevelType w:val="hybridMultilevel"/>
    <w:tmpl w:val="C82611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860C7"/>
    <w:multiLevelType w:val="hybridMultilevel"/>
    <w:tmpl w:val="2A4ADE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56491"/>
    <w:multiLevelType w:val="hybridMultilevel"/>
    <w:tmpl w:val="0A1C1C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C1A92"/>
    <w:multiLevelType w:val="hybridMultilevel"/>
    <w:tmpl w:val="B3EE47DE"/>
    <w:lvl w:ilvl="0" w:tplc="C6DA2AB6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95B54"/>
    <w:multiLevelType w:val="hybridMultilevel"/>
    <w:tmpl w:val="36C20F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F1661"/>
    <w:multiLevelType w:val="hybridMultilevel"/>
    <w:tmpl w:val="7F3EF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072C0"/>
    <w:multiLevelType w:val="hybridMultilevel"/>
    <w:tmpl w:val="FBE29C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85849"/>
    <w:multiLevelType w:val="multilevel"/>
    <w:tmpl w:val="9AF04E94"/>
    <w:name w:val="WW8Num11242222222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14.%2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  <w:sz w:val="20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C2D"/>
    <w:rsid w:val="00043C99"/>
    <w:rsid w:val="00066CED"/>
    <w:rsid w:val="00077043"/>
    <w:rsid w:val="00095058"/>
    <w:rsid w:val="00097C2D"/>
    <w:rsid w:val="000B28FF"/>
    <w:rsid w:val="001B016C"/>
    <w:rsid w:val="001D5C2D"/>
    <w:rsid w:val="00240775"/>
    <w:rsid w:val="0028425E"/>
    <w:rsid w:val="00296313"/>
    <w:rsid w:val="00364EDA"/>
    <w:rsid w:val="0036628D"/>
    <w:rsid w:val="004122FD"/>
    <w:rsid w:val="004547CD"/>
    <w:rsid w:val="004F2021"/>
    <w:rsid w:val="00571023"/>
    <w:rsid w:val="00596507"/>
    <w:rsid w:val="005A0D91"/>
    <w:rsid w:val="005B478A"/>
    <w:rsid w:val="006814E6"/>
    <w:rsid w:val="00682865"/>
    <w:rsid w:val="00725422"/>
    <w:rsid w:val="007F4BE4"/>
    <w:rsid w:val="00821D26"/>
    <w:rsid w:val="008D63C2"/>
    <w:rsid w:val="00914FDF"/>
    <w:rsid w:val="009341AE"/>
    <w:rsid w:val="00940CF2"/>
    <w:rsid w:val="00A07084"/>
    <w:rsid w:val="00C573FA"/>
    <w:rsid w:val="00CD6305"/>
    <w:rsid w:val="00D15BEC"/>
    <w:rsid w:val="00DB7076"/>
    <w:rsid w:val="00DC3B78"/>
    <w:rsid w:val="00E23A7C"/>
    <w:rsid w:val="00E51FF0"/>
    <w:rsid w:val="00ED5AD2"/>
    <w:rsid w:val="00F3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C21E"/>
  <w15:chartTrackingRefBased/>
  <w15:docId w15:val="{018619BA-CB7A-4C1B-B769-B0BF0605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7C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5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5AD2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D5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AD2"/>
    <w:rPr>
      <w:rFonts w:ascii="Calibri" w:eastAsia="Calibri" w:hAnsi="Calibri" w:cs="Times New Roman"/>
    </w:rPr>
  </w:style>
  <w:style w:type="paragraph" w:styleId="Odstavecseseznamem">
    <w:name w:val="List Paragraph"/>
    <w:basedOn w:val="Normln"/>
    <w:qFormat/>
    <w:rsid w:val="00ED5AD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D5A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5A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5AD2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5A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5AD2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5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AD2"/>
    <w:rPr>
      <w:rFonts w:ascii="Segoe UI" w:eastAsia="Calibri" w:hAnsi="Segoe UI" w:cs="Segoe UI"/>
      <w:sz w:val="18"/>
      <w:szCs w:val="18"/>
    </w:rPr>
  </w:style>
  <w:style w:type="paragraph" w:styleId="Bezmezer">
    <w:name w:val="No Spacing"/>
    <w:uiPriority w:val="1"/>
    <w:qFormat/>
    <w:rsid w:val="001B016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2213</Words>
  <Characters>13063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Pošvář</dc:creator>
  <cp:keywords/>
  <dc:description/>
  <cp:lastModifiedBy>Pošvář Martin</cp:lastModifiedBy>
  <cp:revision>2</cp:revision>
  <dcterms:created xsi:type="dcterms:W3CDTF">2025-08-11T14:37:00Z</dcterms:created>
  <dcterms:modified xsi:type="dcterms:W3CDTF">2025-08-11T14:37:00Z</dcterms:modified>
</cp:coreProperties>
</file>