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D6EB0" w14:textId="77777777" w:rsidR="00EA30DB" w:rsidRDefault="00295189">
      <w:pPr>
        <w:tabs>
          <w:tab w:val="center" w:pos="4770"/>
        </w:tabs>
        <w:spacing w:after="49" w:line="259" w:lineRule="auto"/>
        <w:ind w:left="-15" w:firstLine="0"/>
      </w:pPr>
      <w:r>
        <w:rPr>
          <w:b/>
          <w:sz w:val="36"/>
        </w:rPr>
        <w:t xml:space="preserve"> </w:t>
      </w:r>
      <w:r>
        <w:rPr>
          <w:b/>
          <w:sz w:val="36"/>
        </w:rPr>
        <w:tab/>
      </w:r>
      <w:r>
        <w:rPr>
          <w:b/>
          <w:sz w:val="48"/>
        </w:rPr>
        <w:t>DODATEK č. 41</w:t>
      </w:r>
    </w:p>
    <w:p w14:paraId="067C2B82" w14:textId="77777777" w:rsidR="00EA30DB" w:rsidRDefault="00295189">
      <w:pPr>
        <w:tabs>
          <w:tab w:val="center" w:pos="4710"/>
          <w:tab w:val="center" w:pos="6829"/>
        </w:tabs>
        <w:spacing w:after="411" w:line="259" w:lineRule="auto"/>
        <w:ind w:left="0" w:firstLine="0"/>
      </w:pPr>
      <w:r>
        <w:rPr>
          <w:b/>
          <w:sz w:val="48"/>
        </w:rPr>
        <w:t xml:space="preserve"> </w:t>
      </w:r>
      <w:r>
        <w:rPr>
          <w:b/>
          <w:sz w:val="48"/>
        </w:rPr>
        <w:tab/>
      </w:r>
      <w:r>
        <w:rPr>
          <w:b/>
          <w:sz w:val="36"/>
        </w:rPr>
        <w:t xml:space="preserve">(dále také jen „dodatek“ </w:t>
      </w:r>
      <w:r>
        <w:rPr>
          <w:b/>
          <w:sz w:val="36"/>
        </w:rPr>
        <w:tab/>
        <w:t>)</w:t>
      </w:r>
    </w:p>
    <w:p w14:paraId="649DDE56" w14:textId="77777777" w:rsidR="00EA30DB" w:rsidRDefault="00295189">
      <w:pPr>
        <w:tabs>
          <w:tab w:val="center" w:pos="4770"/>
        </w:tabs>
        <w:spacing w:after="234" w:line="259" w:lineRule="auto"/>
        <w:ind w:left="-15" w:firstLine="0"/>
      </w:pPr>
      <w:r>
        <w:rPr>
          <w:b/>
          <w:sz w:val="48"/>
        </w:rPr>
        <w:t xml:space="preserve"> </w:t>
      </w:r>
      <w:r>
        <w:rPr>
          <w:b/>
          <w:sz w:val="48"/>
        </w:rPr>
        <w:tab/>
        <w:t xml:space="preserve">K POJISTNÉ SMLOUVĚ č. </w:t>
      </w:r>
    </w:p>
    <w:p w14:paraId="1767675B" w14:textId="77777777" w:rsidR="00EA30DB" w:rsidRDefault="00295189">
      <w:pPr>
        <w:tabs>
          <w:tab w:val="center" w:pos="4770"/>
        </w:tabs>
        <w:spacing w:after="0" w:line="259" w:lineRule="auto"/>
        <w:ind w:left="-15" w:firstLine="0"/>
      </w:pPr>
      <w:r>
        <w:rPr>
          <w:b/>
          <w:sz w:val="36"/>
        </w:rPr>
        <w:t xml:space="preserve"> </w:t>
      </w:r>
      <w:r>
        <w:rPr>
          <w:b/>
          <w:sz w:val="36"/>
        </w:rPr>
        <w:tab/>
      </w:r>
      <w:r>
        <w:rPr>
          <w:b/>
          <w:sz w:val="48"/>
        </w:rPr>
        <w:t>8050895513</w:t>
      </w:r>
    </w:p>
    <w:p w14:paraId="74F4C6ED" w14:textId="77777777" w:rsidR="00EA30DB" w:rsidRDefault="00295189">
      <w:pPr>
        <w:tabs>
          <w:tab w:val="center" w:pos="4710"/>
          <w:tab w:val="center" w:pos="7608"/>
        </w:tabs>
        <w:spacing w:after="0" w:line="259" w:lineRule="auto"/>
        <w:ind w:left="0" w:firstLine="0"/>
      </w:pPr>
      <w:r>
        <w:rPr>
          <w:rFonts w:ascii="Calibri" w:eastAsia="Calibri" w:hAnsi="Calibri" w:cs="Calibri"/>
          <w:sz w:val="22"/>
        </w:rPr>
        <w:tab/>
      </w:r>
      <w:r>
        <w:rPr>
          <w:b/>
          <w:sz w:val="36"/>
        </w:rPr>
        <w:t>(dále také jen „pojistná smlouva“</w:t>
      </w:r>
      <w:r>
        <w:rPr>
          <w:b/>
          <w:sz w:val="55"/>
          <w:vertAlign w:val="subscript"/>
        </w:rPr>
        <w:t xml:space="preserve"> </w:t>
      </w:r>
      <w:r>
        <w:rPr>
          <w:b/>
          <w:sz w:val="55"/>
          <w:vertAlign w:val="subscript"/>
        </w:rPr>
        <w:tab/>
      </w:r>
      <w:r>
        <w:rPr>
          <w:b/>
          <w:sz w:val="36"/>
        </w:rPr>
        <w:t>)</w:t>
      </w:r>
    </w:p>
    <w:p w14:paraId="6D806D21" w14:textId="77777777" w:rsidR="00EA30DB" w:rsidRDefault="00295189">
      <w:pPr>
        <w:spacing w:after="273" w:line="259" w:lineRule="auto"/>
        <w:ind w:left="0" w:firstLine="0"/>
      </w:pPr>
      <w:r>
        <w:rPr>
          <w:sz w:val="24"/>
        </w:rPr>
        <w:t xml:space="preserve">   </w:t>
      </w:r>
    </w:p>
    <w:p w14:paraId="72E76EB7" w14:textId="77777777" w:rsidR="00EA30DB" w:rsidRDefault="00295189">
      <w:pPr>
        <w:spacing w:after="156" w:line="259" w:lineRule="auto"/>
        <w:ind w:left="0" w:firstLine="0"/>
      </w:pPr>
      <w:r>
        <w:rPr>
          <w:sz w:val="24"/>
        </w:rPr>
        <w:t xml:space="preserve"> </w:t>
      </w:r>
      <w:r>
        <w:t xml:space="preserve"> </w:t>
      </w:r>
    </w:p>
    <w:p w14:paraId="338F59B1" w14:textId="77777777" w:rsidR="00EA30DB" w:rsidRDefault="00295189">
      <w:pPr>
        <w:spacing w:after="260"/>
        <w:ind w:left="24" w:right="17"/>
      </w:pPr>
      <w:r>
        <w:t>Smluvní strany:</w:t>
      </w:r>
      <w:r>
        <w:rPr>
          <w:b/>
          <w:sz w:val="24"/>
        </w:rPr>
        <w:t xml:space="preserve"> </w:t>
      </w:r>
    </w:p>
    <w:p w14:paraId="1D70B4D8" w14:textId="77777777" w:rsidR="00EA30DB" w:rsidRDefault="00295189">
      <w:pPr>
        <w:pStyle w:val="Nadpis1"/>
        <w:ind w:left="5"/>
      </w:pPr>
      <w:r>
        <w:t>ČSOB Pojišťovna, a. s., člen holdingu ČSOB</w:t>
      </w:r>
      <w:r>
        <w:rPr>
          <w:b w:val="0"/>
          <w:sz w:val="31"/>
          <w:vertAlign w:val="subscript"/>
        </w:rPr>
        <w:t xml:space="preserve"> </w:t>
      </w:r>
    </w:p>
    <w:p w14:paraId="07D67845" w14:textId="77777777" w:rsidR="00EA30DB" w:rsidRDefault="00295189">
      <w:pPr>
        <w:ind w:left="24" w:right="17"/>
      </w:pPr>
      <w:r>
        <w:t xml:space="preserve">se sídlem Masarykovo náměstí 1458, </w:t>
      </w:r>
      <w:proofErr w:type="gramStart"/>
      <w:r>
        <w:t>Zelené</w:t>
      </w:r>
      <w:proofErr w:type="gramEnd"/>
      <w:r>
        <w:t xml:space="preserve"> Předměstí</w:t>
      </w:r>
    </w:p>
    <w:p w14:paraId="49D0B294" w14:textId="77777777" w:rsidR="00EA30DB" w:rsidRDefault="00295189">
      <w:pPr>
        <w:ind w:left="24" w:right="1896"/>
      </w:pPr>
      <w:r>
        <w:t>530 02 Pardubice, Česká republika IČO: 455 34 306, DIČ: CZ699000761 zapsaná v obchodním rejstříku u Krajského soudu Hradec Králové, oddíl B, vložka 567</w:t>
      </w:r>
    </w:p>
    <w:p w14:paraId="665FA47D" w14:textId="77777777" w:rsidR="00EA30DB" w:rsidRDefault="00295189">
      <w:pPr>
        <w:spacing w:after="97"/>
        <w:ind w:left="24" w:right="17"/>
      </w:pPr>
      <w:r>
        <w:t>(dále jen „pojistitel“)</w:t>
      </w:r>
    </w:p>
    <w:p w14:paraId="7E364F9C" w14:textId="77777777" w:rsidR="00EA30DB" w:rsidRDefault="00295189">
      <w:pPr>
        <w:spacing w:after="0"/>
        <w:ind w:left="24" w:right="17"/>
      </w:pPr>
      <w:r>
        <w:t>tel.: 466 100 777      fax: 467 007 444    www.csobpoj.cz</w:t>
      </w:r>
      <w:r>
        <w:rPr>
          <w:sz w:val="37"/>
          <w:vertAlign w:val="subscript"/>
        </w:rPr>
        <w:t xml:space="preserve"> </w:t>
      </w:r>
    </w:p>
    <w:p w14:paraId="04990BB6" w14:textId="77777777" w:rsidR="00EA30DB" w:rsidRDefault="00295189">
      <w:pPr>
        <w:spacing w:after="193" w:line="259" w:lineRule="auto"/>
        <w:ind w:left="0" w:firstLine="0"/>
      </w:pPr>
      <w:r>
        <w:rPr>
          <w:sz w:val="24"/>
        </w:rPr>
        <w:t xml:space="preserve">  </w:t>
      </w:r>
    </w:p>
    <w:p w14:paraId="7E62F84A" w14:textId="77777777" w:rsidR="00EA30DB" w:rsidRDefault="00295189">
      <w:pPr>
        <w:spacing w:after="193" w:line="259" w:lineRule="auto"/>
        <w:ind w:left="0" w:firstLine="0"/>
      </w:pPr>
      <w:r>
        <w:rPr>
          <w:sz w:val="24"/>
        </w:rPr>
        <w:t xml:space="preserve"> </w:t>
      </w:r>
      <w:r>
        <w:t xml:space="preserve"> </w:t>
      </w:r>
    </w:p>
    <w:p w14:paraId="35DC3169" w14:textId="77777777" w:rsidR="00EA30DB" w:rsidRDefault="00295189">
      <w:pPr>
        <w:spacing w:after="89"/>
        <w:ind w:left="24" w:right="17"/>
      </w:pPr>
      <w:r>
        <w:t>a</w:t>
      </w:r>
      <w:r>
        <w:rPr>
          <w:sz w:val="37"/>
          <w:vertAlign w:val="subscript"/>
        </w:rPr>
        <w:t xml:space="preserve"> </w:t>
      </w:r>
    </w:p>
    <w:p w14:paraId="5B604CCE" w14:textId="77777777" w:rsidR="00EA30DB" w:rsidRDefault="00295189">
      <w:pPr>
        <w:spacing w:after="217" w:line="259" w:lineRule="auto"/>
        <w:ind w:left="0" w:firstLine="0"/>
      </w:pPr>
      <w:r>
        <w:rPr>
          <w:sz w:val="24"/>
        </w:rPr>
        <w:t xml:space="preserve"> </w:t>
      </w:r>
      <w:r>
        <w:rPr>
          <w:b/>
          <w:sz w:val="24"/>
        </w:rPr>
        <w:t xml:space="preserve"> </w:t>
      </w:r>
    </w:p>
    <w:p w14:paraId="186F5580" w14:textId="77777777" w:rsidR="00EA30DB" w:rsidRDefault="00295189">
      <w:pPr>
        <w:pStyle w:val="Nadpis1"/>
        <w:ind w:left="5"/>
      </w:pPr>
      <w:r>
        <w:t>Město Kaplice</w:t>
      </w:r>
      <w:r>
        <w:rPr>
          <w:b w:val="0"/>
          <w:sz w:val="31"/>
          <w:vertAlign w:val="subscript"/>
        </w:rPr>
        <w:t xml:space="preserve"> </w:t>
      </w:r>
    </w:p>
    <w:p w14:paraId="022FE11A" w14:textId="77777777" w:rsidR="00EA30DB" w:rsidRDefault="00295189">
      <w:pPr>
        <w:spacing w:after="152" w:line="370" w:lineRule="auto"/>
        <w:ind w:left="24" w:right="5330"/>
      </w:pPr>
      <w:r>
        <w:t xml:space="preserve">se sídlem / místem podnikání Náměstí 70 38241 </w:t>
      </w:r>
      <w:r>
        <w:tab/>
        <w:t xml:space="preserve"> Kaplice</w:t>
      </w:r>
    </w:p>
    <w:p w14:paraId="01DB4E82" w14:textId="77777777" w:rsidR="00EA30DB" w:rsidRDefault="00295189">
      <w:pPr>
        <w:spacing w:after="243"/>
        <w:ind w:left="24" w:right="17"/>
      </w:pPr>
      <w:r>
        <w:t xml:space="preserve">IČO: 00245941 </w:t>
      </w:r>
    </w:p>
    <w:p w14:paraId="555F7D36" w14:textId="77777777" w:rsidR="00EA30DB" w:rsidRDefault="00295189">
      <w:pPr>
        <w:spacing w:after="193"/>
        <w:ind w:left="24" w:right="17"/>
      </w:pPr>
      <w:r>
        <w:t xml:space="preserve">Výpis ze ŽR ze dne 3.10.2011 </w:t>
      </w:r>
    </w:p>
    <w:p w14:paraId="4B5362FE" w14:textId="77777777" w:rsidR="00EA30DB" w:rsidRDefault="00295189">
      <w:pPr>
        <w:spacing w:after="0"/>
        <w:ind w:left="24" w:right="17"/>
      </w:pPr>
      <w:r>
        <w:t>(dále jen „pojistník“)</w:t>
      </w:r>
    </w:p>
    <w:p w14:paraId="59098F6D" w14:textId="77777777" w:rsidR="00EA30DB" w:rsidRDefault="00295189">
      <w:pPr>
        <w:spacing w:after="453" w:line="259" w:lineRule="auto"/>
        <w:ind w:left="0" w:firstLine="0"/>
      </w:pPr>
      <w:r>
        <w:rPr>
          <w:sz w:val="24"/>
        </w:rPr>
        <w:t xml:space="preserve">  </w:t>
      </w:r>
    </w:p>
    <w:p w14:paraId="5ED02AAD" w14:textId="77777777" w:rsidR="00EA30DB" w:rsidRDefault="00295189">
      <w:pPr>
        <w:spacing w:after="103" w:line="259" w:lineRule="auto"/>
        <w:ind w:left="0" w:firstLine="0"/>
      </w:pPr>
      <w:r>
        <w:rPr>
          <w:sz w:val="24"/>
        </w:rPr>
        <w:t xml:space="preserve"> </w:t>
      </w:r>
      <w:r>
        <w:t xml:space="preserve"> </w:t>
      </w:r>
    </w:p>
    <w:p w14:paraId="73022621" w14:textId="77777777" w:rsidR="00EA30DB" w:rsidRDefault="00295189">
      <w:pPr>
        <w:ind w:left="24" w:right="17"/>
      </w:pPr>
      <w:r>
        <w:t>se dohodly, že výše uvedená pojistná smlouva se mění a doplňuje takto:</w:t>
      </w:r>
    </w:p>
    <w:p w14:paraId="5A41DA15" w14:textId="77777777" w:rsidR="00820339" w:rsidRDefault="00820339">
      <w:pPr>
        <w:ind w:left="24" w:right="17"/>
      </w:pPr>
    </w:p>
    <w:p w14:paraId="71603AE9" w14:textId="77777777" w:rsidR="00820339" w:rsidRDefault="00820339">
      <w:pPr>
        <w:ind w:left="24" w:right="17"/>
      </w:pPr>
    </w:p>
    <w:p w14:paraId="6AF661EE" w14:textId="77777777" w:rsidR="00820339" w:rsidRDefault="00820339">
      <w:pPr>
        <w:ind w:left="24" w:right="17"/>
      </w:pPr>
    </w:p>
    <w:p w14:paraId="7BF01762" w14:textId="77777777" w:rsidR="00B937CD" w:rsidRDefault="00B937CD">
      <w:pPr>
        <w:ind w:left="24" w:right="17"/>
      </w:pPr>
    </w:p>
    <w:p w14:paraId="347DC6C9" w14:textId="77777777" w:rsidR="00EA30DB" w:rsidRDefault="00295189">
      <w:pPr>
        <w:spacing w:after="0" w:line="259" w:lineRule="auto"/>
        <w:ind w:right="22"/>
        <w:jc w:val="center"/>
      </w:pPr>
      <w:r>
        <w:rPr>
          <w:b/>
          <w:i/>
          <w:sz w:val="28"/>
        </w:rPr>
        <w:lastRenderedPageBreak/>
        <w:t>Článek I.</w:t>
      </w:r>
    </w:p>
    <w:p w14:paraId="583FDE2A" w14:textId="77777777" w:rsidR="00EA30DB" w:rsidRDefault="00295189">
      <w:pPr>
        <w:tabs>
          <w:tab w:val="center" w:pos="4770"/>
        </w:tabs>
        <w:spacing w:after="0" w:line="259" w:lineRule="auto"/>
        <w:ind w:left="-15" w:firstLine="0"/>
      </w:pPr>
      <w:r>
        <w:rPr>
          <w:sz w:val="37"/>
          <w:vertAlign w:val="subscript"/>
        </w:rPr>
        <w:t xml:space="preserve"> </w:t>
      </w:r>
      <w:r>
        <w:rPr>
          <w:sz w:val="37"/>
          <w:vertAlign w:val="subscript"/>
        </w:rPr>
        <w:tab/>
      </w:r>
      <w:r>
        <w:rPr>
          <w:b/>
          <w:i/>
        </w:rPr>
        <w:t>Změna již existujících právních vztahů pojištění sjednaných pojistnou smlouvou</w:t>
      </w:r>
    </w:p>
    <w:p w14:paraId="253AE699" w14:textId="77777777" w:rsidR="00EA30DB" w:rsidRDefault="00295189">
      <w:pPr>
        <w:spacing w:after="51" w:line="259" w:lineRule="auto"/>
        <w:ind w:left="0" w:firstLine="0"/>
      </w:pPr>
      <w:r>
        <w:rPr>
          <w:sz w:val="24"/>
        </w:rPr>
        <w:t xml:space="preserve"> </w:t>
      </w:r>
    </w:p>
    <w:p w14:paraId="5FAD404A" w14:textId="77777777" w:rsidR="00EA30DB" w:rsidRDefault="00295189">
      <w:pPr>
        <w:spacing w:after="0" w:line="259" w:lineRule="auto"/>
        <w:ind w:left="-5"/>
      </w:pPr>
      <w:r>
        <w:rPr>
          <w:sz w:val="24"/>
        </w:rPr>
        <w:t xml:space="preserve">1. </w:t>
      </w:r>
      <w:r>
        <w:rPr>
          <w:b/>
          <w:sz w:val="24"/>
        </w:rPr>
        <w:t xml:space="preserve">Pojištění vozidel </w:t>
      </w:r>
      <w:r>
        <w:rPr>
          <w:b/>
        </w:rPr>
        <w:t xml:space="preserve">sjednané článkem II. pojistné smlouvy se ode dne nabytí účinnosti </w:t>
      </w:r>
      <w:proofErr w:type="gramStart"/>
      <w:r>
        <w:rPr>
          <w:b/>
        </w:rPr>
        <w:t xml:space="preserve">tohoto </w:t>
      </w:r>
      <w:r>
        <w:rPr>
          <w:sz w:val="37"/>
          <w:vertAlign w:val="subscript"/>
        </w:rPr>
        <w:t xml:space="preserve"> </w:t>
      </w:r>
      <w:r>
        <w:rPr>
          <w:b/>
        </w:rPr>
        <w:t>dodatku</w:t>
      </w:r>
      <w:proofErr w:type="gramEnd"/>
      <w:r>
        <w:rPr>
          <w:b/>
        </w:rPr>
        <w:t xml:space="preserve"> mění následovně</w:t>
      </w:r>
    </w:p>
    <w:p w14:paraId="14884661" w14:textId="77777777" w:rsidR="00EA30DB" w:rsidRDefault="00295189">
      <w:pPr>
        <w:spacing w:after="162" w:line="259" w:lineRule="auto"/>
        <w:ind w:left="0" w:firstLine="0"/>
      </w:pPr>
      <w:r>
        <w:rPr>
          <w:sz w:val="24"/>
        </w:rPr>
        <w:t xml:space="preserve"> </w:t>
      </w:r>
      <w:r>
        <w:t xml:space="preserve"> </w:t>
      </w:r>
    </w:p>
    <w:p w14:paraId="4B00B581" w14:textId="77777777" w:rsidR="00EA30DB" w:rsidRDefault="00295189">
      <w:pPr>
        <w:spacing w:after="193" w:line="259" w:lineRule="auto"/>
        <w:ind w:left="-5"/>
      </w:pPr>
      <w:r>
        <w:rPr>
          <w:b/>
        </w:rPr>
        <w:t>NOVÉ</w:t>
      </w:r>
      <w:r>
        <w:t xml:space="preserve"> </w:t>
      </w:r>
    </w:p>
    <w:p w14:paraId="753FED87" w14:textId="77777777" w:rsidR="00EA30DB" w:rsidRDefault="00295189">
      <w:pPr>
        <w:spacing w:after="0" w:line="315" w:lineRule="auto"/>
        <w:ind w:left="-5" w:right="7"/>
        <w:jc w:val="both"/>
      </w:pPr>
      <w:r>
        <w:t xml:space="preserve">Pojistitel a pojistník výslovně sjednávají, že </w:t>
      </w:r>
      <w:r>
        <w:rPr>
          <w:b/>
        </w:rPr>
        <w:t>pojištění</w:t>
      </w:r>
      <w:r>
        <w:t xml:space="preserve"> se ode dne nabytí účinnosti tohoto dodatku </w:t>
      </w:r>
      <w:r>
        <w:rPr>
          <w:b/>
        </w:rPr>
        <w:t>NOVĚ VZTAHUJE i na následující hodnoty pojistného zájmu (následující nové předměty pojištění)</w:t>
      </w:r>
      <w:r>
        <w:t>, a to s parametry pojištění uvedenými u jednotlivých nových hodnot pojistného zájmu (nových předmětů pojištění):</w:t>
      </w:r>
      <w:r>
        <w:rPr>
          <w:sz w:val="37"/>
          <w:vertAlign w:val="subscript"/>
        </w:rPr>
        <w:t xml:space="preserve"> </w:t>
      </w:r>
    </w:p>
    <w:p w14:paraId="308841D0" w14:textId="77777777" w:rsidR="00EA30DB" w:rsidRDefault="00295189">
      <w:pPr>
        <w:spacing w:after="103" w:line="259" w:lineRule="auto"/>
        <w:ind w:left="0" w:firstLine="0"/>
      </w:pPr>
      <w:r>
        <w:rPr>
          <w:sz w:val="24"/>
        </w:rPr>
        <w:t xml:space="preserve"> </w:t>
      </w:r>
      <w:r>
        <w:t xml:space="preserve"> </w:t>
      </w:r>
    </w:p>
    <w:p w14:paraId="7651A672" w14:textId="77777777" w:rsidR="00EA30DB" w:rsidRDefault="00295189">
      <w:pPr>
        <w:spacing w:after="7"/>
        <w:ind w:left="24" w:right="17"/>
      </w:pPr>
      <w:r>
        <w:t>V souladu s článkem I. pojistné smlouvy se toto pojištění řídí také Všeobecnými pojistnými podmínkami – zvláštní část Pojištění vozidel (dále jen „VPP HA 2008“), které tvoří přílohu této pojistné smlouvy. Dále se toto pojištění řídí také doplňkovými pojistnými podmínkami Pojištění asistenčních služeb jako součást pojištění vozidel (dále jen „DPP AS 2011“) a   které tvoří také přílohu této pojistné smlouvy.</w:t>
      </w:r>
      <w:r>
        <w:rPr>
          <w:sz w:val="37"/>
          <w:vertAlign w:val="subscript"/>
        </w:rPr>
        <w:t xml:space="preserve"> </w:t>
      </w:r>
    </w:p>
    <w:p w14:paraId="356B541B" w14:textId="77777777" w:rsidR="00EA30DB" w:rsidRDefault="00295189">
      <w:pPr>
        <w:spacing w:after="255" w:line="259" w:lineRule="auto"/>
        <w:ind w:left="0" w:firstLine="0"/>
      </w:pPr>
      <w:r>
        <w:rPr>
          <w:sz w:val="24"/>
        </w:rPr>
        <w:t xml:space="preserve"> </w:t>
      </w:r>
      <w:r>
        <w:t xml:space="preserve"> </w:t>
      </w:r>
    </w:p>
    <w:p w14:paraId="718670D7" w14:textId="77777777" w:rsidR="00EA30DB" w:rsidRDefault="00295189">
      <w:pPr>
        <w:spacing w:after="230"/>
        <w:ind w:left="24" w:right="17"/>
      </w:pPr>
      <w:r>
        <w:t>ROZSAH POJIŠTĚNÍ</w:t>
      </w:r>
      <w:r>
        <w:rPr>
          <w:sz w:val="24"/>
        </w:rPr>
        <w:t xml:space="preserve">   </w:t>
      </w:r>
    </w:p>
    <w:p w14:paraId="4DA3CA90" w14:textId="77777777" w:rsidR="00EA30DB" w:rsidRDefault="00295189">
      <w:pPr>
        <w:spacing w:after="0" w:line="259" w:lineRule="auto"/>
        <w:ind w:left="0" w:firstLine="0"/>
      </w:pPr>
      <w:r>
        <w:rPr>
          <w:sz w:val="24"/>
        </w:rPr>
        <w:t xml:space="preserve"> </w:t>
      </w:r>
    </w:p>
    <w:tbl>
      <w:tblPr>
        <w:tblStyle w:val="TableGrid"/>
        <w:tblW w:w="9500" w:type="dxa"/>
        <w:tblInd w:w="20" w:type="dxa"/>
        <w:tblCellMar>
          <w:top w:w="19" w:type="dxa"/>
          <w:left w:w="50" w:type="dxa"/>
          <w:right w:w="74" w:type="dxa"/>
        </w:tblCellMar>
        <w:tblLook w:val="04A0" w:firstRow="1" w:lastRow="0" w:firstColumn="1" w:lastColumn="0" w:noHBand="0" w:noVBand="1"/>
      </w:tblPr>
      <w:tblGrid>
        <w:gridCol w:w="2370"/>
        <w:gridCol w:w="296"/>
        <w:gridCol w:w="198"/>
        <w:gridCol w:w="949"/>
        <w:gridCol w:w="937"/>
        <w:gridCol w:w="90"/>
        <w:gridCol w:w="775"/>
        <w:gridCol w:w="1147"/>
        <w:gridCol w:w="413"/>
        <w:gridCol w:w="1061"/>
        <w:gridCol w:w="1264"/>
      </w:tblGrid>
      <w:tr w:rsidR="00EA30DB" w14:paraId="443E7074" w14:textId="77777777">
        <w:trPr>
          <w:trHeight w:val="710"/>
        </w:trPr>
        <w:tc>
          <w:tcPr>
            <w:tcW w:w="2370" w:type="dxa"/>
            <w:tcBorders>
              <w:top w:val="single" w:sz="14" w:space="0" w:color="000000"/>
              <w:left w:val="single" w:sz="14" w:space="0" w:color="000000"/>
              <w:bottom w:val="single" w:sz="8" w:space="0" w:color="000000"/>
              <w:right w:val="single" w:sz="4" w:space="0" w:color="000000"/>
            </w:tcBorders>
          </w:tcPr>
          <w:p w14:paraId="1F9EC3DE" w14:textId="77777777" w:rsidR="00EA30DB" w:rsidRDefault="00295189">
            <w:pPr>
              <w:spacing w:after="0" w:line="259" w:lineRule="auto"/>
              <w:ind w:left="0" w:firstLine="0"/>
            </w:pPr>
            <w:r>
              <w:t>předmět pojištění:</w:t>
            </w:r>
          </w:p>
          <w:p w14:paraId="28CCCF0D" w14:textId="77777777" w:rsidR="00EA30DB" w:rsidRDefault="00295189">
            <w:pPr>
              <w:spacing w:after="0" w:line="259" w:lineRule="auto"/>
              <w:ind w:left="0" w:firstLine="0"/>
            </w:pPr>
            <w:r>
              <w:rPr>
                <w:b/>
              </w:rPr>
              <w:t>33. vozidlo včetně mimořádné výbavy</w:t>
            </w:r>
          </w:p>
        </w:tc>
        <w:tc>
          <w:tcPr>
            <w:tcW w:w="2380" w:type="dxa"/>
            <w:gridSpan w:val="4"/>
            <w:tcBorders>
              <w:top w:val="single" w:sz="14" w:space="0" w:color="000000"/>
              <w:left w:val="single" w:sz="4" w:space="0" w:color="000000"/>
              <w:bottom w:val="single" w:sz="8" w:space="0" w:color="000000"/>
              <w:right w:val="single" w:sz="4" w:space="0" w:color="000000"/>
            </w:tcBorders>
          </w:tcPr>
          <w:p w14:paraId="542FF06D" w14:textId="77777777" w:rsidR="00EA30DB" w:rsidRDefault="00295189">
            <w:pPr>
              <w:spacing w:after="0" w:line="259" w:lineRule="auto"/>
              <w:ind w:right="14" w:firstLine="0"/>
            </w:pPr>
            <w:r>
              <w:t xml:space="preserve">Registrační značka: </w:t>
            </w:r>
            <w:r>
              <w:rPr>
                <w:b/>
              </w:rPr>
              <w:t>NENI</w:t>
            </w:r>
          </w:p>
        </w:tc>
        <w:tc>
          <w:tcPr>
            <w:tcW w:w="4750" w:type="dxa"/>
            <w:gridSpan w:val="6"/>
            <w:tcBorders>
              <w:top w:val="single" w:sz="14" w:space="0" w:color="000000"/>
              <w:left w:val="single" w:sz="4" w:space="0" w:color="000000"/>
              <w:bottom w:val="single" w:sz="8" w:space="0" w:color="000000"/>
              <w:right w:val="single" w:sz="14" w:space="0" w:color="000000"/>
            </w:tcBorders>
          </w:tcPr>
          <w:p w14:paraId="4E27631C" w14:textId="77777777" w:rsidR="00EA30DB" w:rsidRDefault="00295189">
            <w:pPr>
              <w:spacing w:after="0" w:line="259" w:lineRule="auto"/>
              <w:ind w:firstLine="0"/>
            </w:pPr>
            <w:r>
              <w:t>Tovární značka / typ / druh:</w:t>
            </w:r>
          </w:p>
          <w:p w14:paraId="5811F705" w14:textId="77777777" w:rsidR="00EA30DB" w:rsidRDefault="00295189">
            <w:pPr>
              <w:spacing w:after="0" w:line="259" w:lineRule="auto"/>
              <w:ind w:firstLine="0"/>
            </w:pPr>
            <w:r>
              <w:rPr>
                <w:b/>
              </w:rPr>
              <w:t>Tatra / T 815 / Nákladní tuzemská</w:t>
            </w:r>
          </w:p>
        </w:tc>
      </w:tr>
      <w:tr w:rsidR="00EA30DB" w14:paraId="05B4C914" w14:textId="77777777">
        <w:trPr>
          <w:trHeight w:val="500"/>
        </w:trPr>
        <w:tc>
          <w:tcPr>
            <w:tcW w:w="2864" w:type="dxa"/>
            <w:gridSpan w:val="3"/>
            <w:tcBorders>
              <w:top w:val="single" w:sz="8" w:space="0" w:color="000000"/>
              <w:left w:val="single" w:sz="14" w:space="0" w:color="000000"/>
              <w:bottom w:val="single" w:sz="24" w:space="0" w:color="000000"/>
              <w:right w:val="single" w:sz="4" w:space="0" w:color="000000"/>
            </w:tcBorders>
          </w:tcPr>
          <w:p w14:paraId="2A6CF2BA" w14:textId="77777777" w:rsidR="00EA30DB" w:rsidRDefault="00295189">
            <w:pPr>
              <w:spacing w:after="0" w:line="259" w:lineRule="auto"/>
              <w:ind w:left="0" w:firstLine="0"/>
            </w:pPr>
            <w:r>
              <w:t>VIN:</w:t>
            </w:r>
          </w:p>
          <w:p w14:paraId="30A88238" w14:textId="77777777" w:rsidR="00EA30DB" w:rsidRDefault="00295189">
            <w:pPr>
              <w:spacing w:after="0" w:line="259" w:lineRule="auto"/>
              <w:ind w:left="0" w:firstLine="0"/>
            </w:pPr>
            <w:r>
              <w:t>TNU75RA37TSK05945</w:t>
            </w:r>
          </w:p>
        </w:tc>
        <w:tc>
          <w:tcPr>
            <w:tcW w:w="1976" w:type="dxa"/>
            <w:gridSpan w:val="3"/>
            <w:tcBorders>
              <w:top w:val="single" w:sz="8" w:space="0" w:color="000000"/>
              <w:left w:val="single" w:sz="4" w:space="0" w:color="000000"/>
              <w:bottom w:val="single" w:sz="24" w:space="0" w:color="000000"/>
              <w:right w:val="single" w:sz="4" w:space="0" w:color="000000"/>
            </w:tcBorders>
          </w:tcPr>
          <w:p w14:paraId="4B985E1B" w14:textId="77777777" w:rsidR="00EA30DB" w:rsidRDefault="00295189">
            <w:pPr>
              <w:spacing w:after="0" w:line="259" w:lineRule="auto"/>
              <w:ind w:right="342" w:firstLine="0"/>
            </w:pPr>
            <w:r>
              <w:t>Rok výroby: 2025</w:t>
            </w:r>
          </w:p>
        </w:tc>
        <w:tc>
          <w:tcPr>
            <w:tcW w:w="2335" w:type="dxa"/>
            <w:gridSpan w:val="3"/>
            <w:tcBorders>
              <w:top w:val="single" w:sz="8" w:space="0" w:color="000000"/>
              <w:left w:val="single" w:sz="4" w:space="0" w:color="000000"/>
              <w:bottom w:val="single" w:sz="24" w:space="0" w:color="000000"/>
              <w:right w:val="single" w:sz="4" w:space="0" w:color="000000"/>
            </w:tcBorders>
          </w:tcPr>
          <w:p w14:paraId="2F5F21C1" w14:textId="77777777" w:rsidR="00EA30DB" w:rsidRDefault="00295189">
            <w:pPr>
              <w:spacing w:after="0" w:line="259" w:lineRule="auto"/>
              <w:ind w:firstLine="0"/>
            </w:pPr>
            <w:r>
              <w:t>pojistné riziko:</w:t>
            </w:r>
          </w:p>
          <w:p w14:paraId="6F9EAAD3" w14:textId="77777777" w:rsidR="00EA30DB" w:rsidRDefault="00295189">
            <w:pPr>
              <w:spacing w:after="0" w:line="259" w:lineRule="auto"/>
              <w:ind w:firstLine="0"/>
            </w:pPr>
            <w:r>
              <w:t>vlastní i cizí</w:t>
            </w:r>
          </w:p>
        </w:tc>
        <w:tc>
          <w:tcPr>
            <w:tcW w:w="2325" w:type="dxa"/>
            <w:gridSpan w:val="2"/>
            <w:tcBorders>
              <w:top w:val="single" w:sz="8" w:space="0" w:color="000000"/>
              <w:left w:val="single" w:sz="4" w:space="0" w:color="000000"/>
              <w:bottom w:val="single" w:sz="24" w:space="0" w:color="000000"/>
              <w:right w:val="single" w:sz="14" w:space="0" w:color="000000"/>
            </w:tcBorders>
          </w:tcPr>
          <w:p w14:paraId="350C45F5" w14:textId="77777777" w:rsidR="00EA30DB" w:rsidRDefault="00295189">
            <w:pPr>
              <w:spacing w:after="0" w:line="259" w:lineRule="auto"/>
              <w:ind w:firstLine="0"/>
            </w:pPr>
            <w:r>
              <w:t>pojistná hodnota:</w:t>
            </w:r>
          </w:p>
          <w:p w14:paraId="32E491A9" w14:textId="77777777" w:rsidR="00EA30DB" w:rsidRDefault="00295189">
            <w:pPr>
              <w:spacing w:after="0" w:line="259" w:lineRule="auto"/>
              <w:ind w:firstLine="0"/>
            </w:pPr>
            <w:r>
              <w:t>nová cena</w:t>
            </w:r>
          </w:p>
        </w:tc>
      </w:tr>
      <w:tr w:rsidR="00EA30DB" w14:paraId="12A5BCB9" w14:textId="77777777">
        <w:trPr>
          <w:trHeight w:val="710"/>
        </w:trPr>
        <w:tc>
          <w:tcPr>
            <w:tcW w:w="2666" w:type="dxa"/>
            <w:gridSpan w:val="2"/>
            <w:tcBorders>
              <w:top w:val="single" w:sz="24" w:space="0" w:color="000000"/>
              <w:left w:val="single" w:sz="14" w:space="0" w:color="000000"/>
              <w:bottom w:val="single" w:sz="14" w:space="0" w:color="000000"/>
              <w:right w:val="single" w:sz="8" w:space="0" w:color="000000"/>
            </w:tcBorders>
            <w:shd w:val="clear" w:color="auto" w:fill="E6E6E6"/>
          </w:tcPr>
          <w:p w14:paraId="0392BF17" w14:textId="77777777" w:rsidR="00EA30DB" w:rsidRDefault="00295189">
            <w:pPr>
              <w:spacing w:after="0" w:line="259" w:lineRule="auto"/>
              <w:ind w:left="0" w:firstLine="0"/>
            </w:pPr>
            <w:r>
              <w:rPr>
                <w:b/>
              </w:rPr>
              <w:t>Ujednává se pojištění proti pojistným nebezpečím:</w:t>
            </w:r>
          </w:p>
        </w:tc>
        <w:tc>
          <w:tcPr>
            <w:tcW w:w="1147" w:type="dxa"/>
            <w:gridSpan w:val="2"/>
            <w:tcBorders>
              <w:top w:val="single" w:sz="24" w:space="0" w:color="000000"/>
              <w:left w:val="single" w:sz="8" w:space="0" w:color="000000"/>
              <w:bottom w:val="single" w:sz="14" w:space="0" w:color="000000"/>
              <w:right w:val="single" w:sz="8" w:space="0" w:color="000000"/>
            </w:tcBorders>
            <w:shd w:val="clear" w:color="auto" w:fill="E6E6E6"/>
          </w:tcPr>
          <w:p w14:paraId="2FB97906" w14:textId="77777777" w:rsidR="00EA30DB" w:rsidRDefault="00295189">
            <w:pPr>
              <w:spacing w:after="0" w:line="259" w:lineRule="auto"/>
              <w:ind w:firstLine="0"/>
            </w:pPr>
            <w:r>
              <w:rPr>
                <w:b/>
              </w:rPr>
              <w:t>územní platnost pojištění:</w:t>
            </w:r>
          </w:p>
        </w:tc>
        <w:tc>
          <w:tcPr>
            <w:tcW w:w="1802" w:type="dxa"/>
            <w:gridSpan w:val="3"/>
            <w:tcBorders>
              <w:top w:val="single" w:sz="24" w:space="0" w:color="000000"/>
              <w:left w:val="single" w:sz="8" w:space="0" w:color="000000"/>
              <w:bottom w:val="single" w:sz="14" w:space="0" w:color="000000"/>
              <w:right w:val="single" w:sz="8" w:space="0" w:color="000000"/>
            </w:tcBorders>
            <w:shd w:val="clear" w:color="auto" w:fill="E6E6E6"/>
          </w:tcPr>
          <w:p w14:paraId="7964A056" w14:textId="77777777" w:rsidR="00EA30DB" w:rsidRDefault="00295189">
            <w:pPr>
              <w:spacing w:after="0" w:line="259" w:lineRule="auto"/>
              <w:ind w:firstLine="0"/>
            </w:pPr>
            <w:r>
              <w:rPr>
                <w:b/>
              </w:rPr>
              <w:t>pojistná částka (Kč)</w:t>
            </w:r>
          </w:p>
        </w:tc>
        <w:tc>
          <w:tcPr>
            <w:tcW w:w="1147" w:type="dxa"/>
            <w:tcBorders>
              <w:top w:val="single" w:sz="24" w:space="0" w:color="000000"/>
              <w:left w:val="single" w:sz="8" w:space="0" w:color="000000"/>
              <w:bottom w:val="single" w:sz="14" w:space="0" w:color="000000"/>
              <w:right w:val="single" w:sz="8" w:space="0" w:color="000000"/>
            </w:tcBorders>
            <w:shd w:val="clear" w:color="auto" w:fill="E6E6E6"/>
          </w:tcPr>
          <w:p w14:paraId="2467F62F" w14:textId="77777777" w:rsidR="00EA30DB" w:rsidRDefault="00295189">
            <w:pPr>
              <w:spacing w:after="0" w:line="259" w:lineRule="auto"/>
              <w:ind w:right="36" w:firstLine="0"/>
            </w:pPr>
            <w:r>
              <w:rPr>
                <w:b/>
              </w:rPr>
              <w:t>roční limit plnění (Kč)</w:t>
            </w:r>
          </w:p>
        </w:tc>
        <w:tc>
          <w:tcPr>
            <w:tcW w:w="1474" w:type="dxa"/>
            <w:gridSpan w:val="2"/>
            <w:tcBorders>
              <w:top w:val="single" w:sz="24" w:space="0" w:color="000000"/>
              <w:left w:val="single" w:sz="8" w:space="0" w:color="000000"/>
              <w:bottom w:val="single" w:sz="14" w:space="0" w:color="000000"/>
              <w:right w:val="single" w:sz="8" w:space="0" w:color="000000"/>
            </w:tcBorders>
            <w:shd w:val="clear" w:color="auto" w:fill="E6E6E6"/>
          </w:tcPr>
          <w:p w14:paraId="435C3520" w14:textId="77777777" w:rsidR="00EA30DB" w:rsidRDefault="00295189">
            <w:pPr>
              <w:spacing w:after="0" w:line="259" w:lineRule="auto"/>
              <w:ind w:firstLine="0"/>
            </w:pPr>
            <w:r>
              <w:rPr>
                <w:b/>
              </w:rPr>
              <w:t>spoluúčast</w:t>
            </w:r>
          </w:p>
        </w:tc>
        <w:tc>
          <w:tcPr>
            <w:tcW w:w="1264" w:type="dxa"/>
            <w:tcBorders>
              <w:top w:val="single" w:sz="24" w:space="0" w:color="000000"/>
              <w:left w:val="single" w:sz="8" w:space="0" w:color="000000"/>
              <w:bottom w:val="single" w:sz="14" w:space="0" w:color="000000"/>
              <w:right w:val="single" w:sz="14" w:space="0" w:color="000000"/>
            </w:tcBorders>
            <w:shd w:val="clear" w:color="auto" w:fill="E6E6E6"/>
          </w:tcPr>
          <w:p w14:paraId="436EF47A" w14:textId="77777777" w:rsidR="00EA30DB" w:rsidRDefault="00295189">
            <w:pPr>
              <w:spacing w:after="0" w:line="259" w:lineRule="auto"/>
              <w:ind w:firstLine="0"/>
            </w:pPr>
            <w:r>
              <w:rPr>
                <w:b/>
              </w:rPr>
              <w:t>roční pojistné (Kč)</w:t>
            </w:r>
          </w:p>
        </w:tc>
      </w:tr>
      <w:tr w:rsidR="00EA30DB" w14:paraId="1BB38E7C" w14:textId="77777777">
        <w:trPr>
          <w:trHeight w:val="470"/>
        </w:trPr>
        <w:tc>
          <w:tcPr>
            <w:tcW w:w="2666" w:type="dxa"/>
            <w:gridSpan w:val="2"/>
            <w:tcBorders>
              <w:top w:val="single" w:sz="14" w:space="0" w:color="000000"/>
              <w:left w:val="single" w:sz="14" w:space="0" w:color="000000"/>
              <w:bottom w:val="single" w:sz="4" w:space="0" w:color="000000"/>
              <w:right w:val="single" w:sz="4" w:space="0" w:color="000000"/>
            </w:tcBorders>
          </w:tcPr>
          <w:p w14:paraId="7B45B4DC" w14:textId="77777777" w:rsidR="00EA30DB" w:rsidRDefault="00295189">
            <w:pPr>
              <w:spacing w:after="0" w:line="259" w:lineRule="auto"/>
              <w:ind w:left="0" w:firstLine="0"/>
            </w:pPr>
            <w:r>
              <w:t>Havárie vozidla</w:t>
            </w:r>
          </w:p>
        </w:tc>
        <w:tc>
          <w:tcPr>
            <w:tcW w:w="1147" w:type="dxa"/>
            <w:gridSpan w:val="2"/>
            <w:tcBorders>
              <w:top w:val="single" w:sz="14" w:space="0" w:color="000000"/>
              <w:left w:val="single" w:sz="4" w:space="0" w:color="000000"/>
              <w:bottom w:val="single" w:sz="4" w:space="0" w:color="000000"/>
              <w:right w:val="single" w:sz="4" w:space="0" w:color="000000"/>
            </w:tcBorders>
          </w:tcPr>
          <w:p w14:paraId="3C3849D8" w14:textId="77777777" w:rsidR="00EA30DB" w:rsidRDefault="00295189">
            <w:pPr>
              <w:spacing w:after="0" w:line="259" w:lineRule="auto"/>
              <w:ind w:firstLine="0"/>
            </w:pPr>
            <w:r>
              <w:t>ČR</w:t>
            </w:r>
          </w:p>
        </w:tc>
        <w:tc>
          <w:tcPr>
            <w:tcW w:w="1802" w:type="dxa"/>
            <w:gridSpan w:val="3"/>
            <w:tcBorders>
              <w:top w:val="single" w:sz="14" w:space="0" w:color="000000"/>
              <w:left w:val="single" w:sz="4" w:space="0" w:color="000000"/>
              <w:bottom w:val="single" w:sz="4" w:space="0" w:color="000000"/>
              <w:right w:val="single" w:sz="4" w:space="0" w:color="000000"/>
            </w:tcBorders>
          </w:tcPr>
          <w:p w14:paraId="5675A8ED" w14:textId="77777777" w:rsidR="00EA30DB" w:rsidRDefault="00295189">
            <w:pPr>
              <w:spacing w:after="0" w:line="259" w:lineRule="auto"/>
              <w:ind w:firstLine="0"/>
            </w:pPr>
            <w:r>
              <w:t>8 021 181</w:t>
            </w:r>
          </w:p>
        </w:tc>
        <w:tc>
          <w:tcPr>
            <w:tcW w:w="1147" w:type="dxa"/>
            <w:tcBorders>
              <w:top w:val="single" w:sz="14" w:space="0" w:color="000000"/>
              <w:left w:val="single" w:sz="4" w:space="0" w:color="000000"/>
              <w:bottom w:val="single" w:sz="4" w:space="0" w:color="000000"/>
              <w:right w:val="single" w:sz="4" w:space="0" w:color="000000"/>
            </w:tcBorders>
          </w:tcPr>
          <w:p w14:paraId="7ADE748B" w14:textId="77777777" w:rsidR="00EA30DB" w:rsidRDefault="00EA30DB">
            <w:pPr>
              <w:spacing w:after="160" w:line="259" w:lineRule="auto"/>
              <w:ind w:left="0" w:firstLine="0"/>
            </w:pPr>
          </w:p>
        </w:tc>
        <w:tc>
          <w:tcPr>
            <w:tcW w:w="1474" w:type="dxa"/>
            <w:gridSpan w:val="2"/>
            <w:tcBorders>
              <w:top w:val="single" w:sz="14" w:space="0" w:color="000000"/>
              <w:left w:val="single" w:sz="4" w:space="0" w:color="000000"/>
              <w:bottom w:val="single" w:sz="4" w:space="0" w:color="000000"/>
              <w:right w:val="single" w:sz="4" w:space="0" w:color="000000"/>
            </w:tcBorders>
          </w:tcPr>
          <w:p w14:paraId="432A00A4" w14:textId="77777777" w:rsidR="00EA30DB" w:rsidRDefault="00295189">
            <w:pPr>
              <w:spacing w:after="0" w:line="259" w:lineRule="auto"/>
              <w:ind w:firstLine="0"/>
            </w:pPr>
            <w:r>
              <w:t>10 %, min.</w:t>
            </w:r>
          </w:p>
          <w:p w14:paraId="3D676F11" w14:textId="77777777" w:rsidR="00EA30DB" w:rsidRDefault="00295189">
            <w:pPr>
              <w:spacing w:after="0" w:line="259" w:lineRule="auto"/>
              <w:ind w:firstLine="0"/>
            </w:pPr>
            <w:r>
              <w:t>10 000 Kč</w:t>
            </w:r>
          </w:p>
        </w:tc>
        <w:tc>
          <w:tcPr>
            <w:tcW w:w="1264" w:type="dxa"/>
            <w:tcBorders>
              <w:top w:val="single" w:sz="14" w:space="0" w:color="000000"/>
              <w:left w:val="single" w:sz="4" w:space="0" w:color="000000"/>
              <w:bottom w:val="single" w:sz="4" w:space="0" w:color="000000"/>
              <w:right w:val="single" w:sz="14" w:space="0" w:color="000000"/>
            </w:tcBorders>
          </w:tcPr>
          <w:p w14:paraId="441CB0B3" w14:textId="77777777" w:rsidR="00EA30DB" w:rsidRDefault="00295189">
            <w:pPr>
              <w:spacing w:after="0" w:line="259" w:lineRule="auto"/>
              <w:ind w:firstLine="0"/>
            </w:pPr>
            <w:r>
              <w:t>55 668</w:t>
            </w:r>
          </w:p>
        </w:tc>
      </w:tr>
      <w:tr w:rsidR="00EA30DB" w14:paraId="0F29B310" w14:textId="77777777">
        <w:trPr>
          <w:trHeight w:val="450"/>
        </w:trPr>
        <w:tc>
          <w:tcPr>
            <w:tcW w:w="2666" w:type="dxa"/>
            <w:gridSpan w:val="2"/>
            <w:tcBorders>
              <w:top w:val="single" w:sz="4" w:space="0" w:color="000000"/>
              <w:left w:val="single" w:sz="14" w:space="0" w:color="000000"/>
              <w:bottom w:val="single" w:sz="14" w:space="0" w:color="000000"/>
              <w:right w:val="single" w:sz="4" w:space="0" w:color="000000"/>
            </w:tcBorders>
          </w:tcPr>
          <w:p w14:paraId="526DDB26" w14:textId="77777777" w:rsidR="00EA30DB" w:rsidRDefault="00295189">
            <w:pPr>
              <w:spacing w:after="0" w:line="259" w:lineRule="auto"/>
              <w:ind w:left="0" w:firstLine="0"/>
            </w:pPr>
            <w:r>
              <w:t>Odcizení vozidla</w:t>
            </w:r>
          </w:p>
        </w:tc>
        <w:tc>
          <w:tcPr>
            <w:tcW w:w="1147" w:type="dxa"/>
            <w:gridSpan w:val="2"/>
            <w:tcBorders>
              <w:top w:val="single" w:sz="4" w:space="0" w:color="000000"/>
              <w:left w:val="single" w:sz="4" w:space="0" w:color="000000"/>
              <w:bottom w:val="single" w:sz="14" w:space="0" w:color="000000"/>
              <w:right w:val="single" w:sz="4" w:space="0" w:color="000000"/>
            </w:tcBorders>
          </w:tcPr>
          <w:p w14:paraId="5B7D322B" w14:textId="77777777" w:rsidR="00EA30DB" w:rsidRDefault="00295189">
            <w:pPr>
              <w:spacing w:after="0" w:line="259" w:lineRule="auto"/>
              <w:ind w:firstLine="0"/>
            </w:pPr>
            <w:r>
              <w:t>ČR</w:t>
            </w:r>
          </w:p>
        </w:tc>
        <w:tc>
          <w:tcPr>
            <w:tcW w:w="1802" w:type="dxa"/>
            <w:gridSpan w:val="3"/>
            <w:tcBorders>
              <w:top w:val="single" w:sz="4" w:space="0" w:color="000000"/>
              <w:left w:val="single" w:sz="4" w:space="0" w:color="000000"/>
              <w:bottom w:val="single" w:sz="14" w:space="0" w:color="000000"/>
              <w:right w:val="single" w:sz="4" w:space="0" w:color="000000"/>
            </w:tcBorders>
          </w:tcPr>
          <w:p w14:paraId="6CFA9501" w14:textId="77777777" w:rsidR="00EA30DB" w:rsidRDefault="00295189">
            <w:pPr>
              <w:spacing w:after="0" w:line="259" w:lineRule="auto"/>
              <w:ind w:firstLine="0"/>
            </w:pPr>
            <w:r>
              <w:t>8 021 181</w:t>
            </w:r>
          </w:p>
        </w:tc>
        <w:tc>
          <w:tcPr>
            <w:tcW w:w="1147" w:type="dxa"/>
            <w:tcBorders>
              <w:top w:val="single" w:sz="4" w:space="0" w:color="000000"/>
              <w:left w:val="single" w:sz="4" w:space="0" w:color="000000"/>
              <w:bottom w:val="single" w:sz="14" w:space="0" w:color="000000"/>
              <w:right w:val="single" w:sz="4" w:space="0" w:color="000000"/>
            </w:tcBorders>
          </w:tcPr>
          <w:p w14:paraId="64332B17" w14:textId="77777777" w:rsidR="00EA30DB" w:rsidRDefault="00EA30DB">
            <w:pPr>
              <w:spacing w:after="160" w:line="259" w:lineRule="auto"/>
              <w:ind w:left="0" w:firstLine="0"/>
            </w:pPr>
          </w:p>
        </w:tc>
        <w:tc>
          <w:tcPr>
            <w:tcW w:w="1474" w:type="dxa"/>
            <w:gridSpan w:val="2"/>
            <w:tcBorders>
              <w:top w:val="single" w:sz="4" w:space="0" w:color="000000"/>
              <w:left w:val="single" w:sz="4" w:space="0" w:color="000000"/>
              <w:bottom w:val="single" w:sz="14" w:space="0" w:color="000000"/>
              <w:right w:val="single" w:sz="4" w:space="0" w:color="000000"/>
            </w:tcBorders>
          </w:tcPr>
          <w:p w14:paraId="1A090892" w14:textId="77777777" w:rsidR="00EA30DB" w:rsidRDefault="00295189">
            <w:pPr>
              <w:spacing w:after="0" w:line="259" w:lineRule="auto"/>
              <w:ind w:firstLine="0"/>
            </w:pPr>
            <w:r>
              <w:t>20 %, min.</w:t>
            </w:r>
          </w:p>
          <w:p w14:paraId="679A7C23" w14:textId="77777777" w:rsidR="00EA30DB" w:rsidRDefault="00295189">
            <w:pPr>
              <w:spacing w:after="0" w:line="259" w:lineRule="auto"/>
              <w:ind w:firstLine="0"/>
            </w:pPr>
            <w:r>
              <w:t>20 000 Kč</w:t>
            </w:r>
          </w:p>
        </w:tc>
        <w:tc>
          <w:tcPr>
            <w:tcW w:w="1264" w:type="dxa"/>
            <w:tcBorders>
              <w:top w:val="single" w:sz="4" w:space="0" w:color="000000"/>
              <w:left w:val="single" w:sz="4" w:space="0" w:color="000000"/>
              <w:bottom w:val="single" w:sz="14" w:space="0" w:color="000000"/>
              <w:right w:val="single" w:sz="14" w:space="0" w:color="000000"/>
            </w:tcBorders>
          </w:tcPr>
          <w:p w14:paraId="2C994646" w14:textId="77777777" w:rsidR="00EA30DB" w:rsidRDefault="00295189">
            <w:pPr>
              <w:spacing w:after="0" w:line="259" w:lineRule="auto"/>
              <w:ind w:firstLine="0"/>
            </w:pPr>
            <w:r>
              <w:t>11 267</w:t>
            </w:r>
          </w:p>
        </w:tc>
      </w:tr>
    </w:tbl>
    <w:p w14:paraId="4DC7392A" w14:textId="77777777" w:rsidR="00EA30DB" w:rsidRDefault="00295189">
      <w:pPr>
        <w:spacing w:after="0" w:line="259" w:lineRule="auto"/>
        <w:ind w:left="0" w:firstLine="0"/>
      </w:pPr>
      <w:r>
        <w:rPr>
          <w:sz w:val="24"/>
        </w:rPr>
        <w:t xml:space="preserve"> </w:t>
      </w:r>
    </w:p>
    <w:p w14:paraId="6EE8DD9E" w14:textId="77777777" w:rsidR="00EA30DB" w:rsidRDefault="00295189">
      <w:pPr>
        <w:spacing w:after="155" w:line="259" w:lineRule="auto"/>
        <w:ind w:left="0" w:firstLine="0"/>
      </w:pPr>
      <w:r>
        <w:rPr>
          <w:sz w:val="24"/>
        </w:rPr>
        <w:t xml:space="preserve"> </w:t>
      </w:r>
      <w:r>
        <w:t xml:space="preserve"> </w:t>
      </w:r>
    </w:p>
    <w:p w14:paraId="768ADCAC" w14:textId="77777777" w:rsidR="00EA30DB" w:rsidRDefault="00295189">
      <w:pPr>
        <w:spacing w:after="192"/>
        <w:ind w:left="24" w:right="17"/>
      </w:pPr>
      <w:r>
        <w:t xml:space="preserve">ASISTENČNÍ SLUŽBA </w:t>
      </w:r>
    </w:p>
    <w:p w14:paraId="4840B070" w14:textId="77777777" w:rsidR="00EA30DB" w:rsidRDefault="00295189">
      <w:pPr>
        <w:spacing w:after="162" w:line="328" w:lineRule="auto"/>
        <w:ind w:left="24" w:right="17"/>
      </w:pPr>
      <w:r>
        <w:t xml:space="preserve">V případě havárie, odcizení nebo poruchy motorového vozidla druhu: osobní, terénní, dodávkové, obytné, nákladní, tahač návěsů, autobus, se pojištěný může obrátit na asistenční službu </w:t>
      </w:r>
      <w:r>
        <w:rPr>
          <w:b/>
        </w:rPr>
        <w:t xml:space="preserve">ČSOB Pojišťovna </w:t>
      </w:r>
      <w:proofErr w:type="spellStart"/>
      <w:r>
        <w:rPr>
          <w:b/>
        </w:rPr>
        <w:t>Assistance</w:t>
      </w:r>
      <w:proofErr w:type="spellEnd"/>
      <w:r>
        <w:t xml:space="preserve"> </w:t>
      </w:r>
      <w:r>
        <w:tab/>
        <w:t xml:space="preserve"> na </w:t>
      </w:r>
      <w:proofErr w:type="gramStart"/>
      <w:r>
        <w:t xml:space="preserve">telefon  </w:t>
      </w:r>
      <w:r>
        <w:rPr>
          <w:b/>
        </w:rPr>
        <w:t>+</w:t>
      </w:r>
      <w:proofErr w:type="gramEnd"/>
      <w:r>
        <w:rPr>
          <w:b/>
        </w:rPr>
        <w:t xml:space="preserve"> 420 222 803 </w:t>
      </w:r>
      <w:proofErr w:type="gramStart"/>
      <w:r>
        <w:rPr>
          <w:b/>
        </w:rPr>
        <w:t xml:space="preserve">442 </w:t>
      </w:r>
      <w:r>
        <w:t xml:space="preserve"> s</w:t>
      </w:r>
      <w:proofErr w:type="gramEnd"/>
      <w:r>
        <w:t xml:space="preserve"> nepřetržitou službou 24 hodin denně.</w:t>
      </w:r>
    </w:p>
    <w:p w14:paraId="74BD9F90" w14:textId="77777777" w:rsidR="00EA30DB" w:rsidRDefault="00295189">
      <w:pPr>
        <w:spacing w:after="97" w:line="367" w:lineRule="auto"/>
        <w:ind w:left="24" w:right="17"/>
      </w:pPr>
      <w:r>
        <w:t xml:space="preserve">Rozsah a podmínky asistenčních služeb jsou dány doplňkovými pojistnými podmínkami DPP AS 2011, které jsou přílohou této pojistné smlouvy. </w:t>
      </w:r>
    </w:p>
    <w:p w14:paraId="299F4037" w14:textId="77777777" w:rsidR="00EA30DB" w:rsidRDefault="00295189">
      <w:pPr>
        <w:spacing w:after="176" w:line="340" w:lineRule="auto"/>
        <w:ind w:left="24" w:right="17"/>
      </w:pPr>
      <w:r>
        <w:t xml:space="preserve">V případě sjednání doplňkového pojištění asistenčních služeb AS Nadstandard se rozsah poskytovaných služeb řídí Doplňkovými pojistnými podmínkami Pojištění asistenčních služeb NADSTANDARD (dále jen „DPP ASN 2011“) které tvoří přílohu této pojistné smlouvy. </w:t>
      </w:r>
    </w:p>
    <w:p w14:paraId="5D6F3CD8" w14:textId="77777777" w:rsidR="00EA30DB" w:rsidRDefault="00295189">
      <w:pPr>
        <w:spacing w:after="192"/>
        <w:ind w:left="24" w:right="17"/>
      </w:pPr>
      <w:r>
        <w:t xml:space="preserve">POJISTNÉ PLNĚNÍ </w:t>
      </w:r>
    </w:p>
    <w:p w14:paraId="0F7E1386" w14:textId="77777777" w:rsidR="00EA30DB" w:rsidRDefault="00295189">
      <w:pPr>
        <w:ind w:left="24" w:right="17"/>
      </w:pPr>
      <w:r>
        <w:lastRenderedPageBreak/>
        <w:t>Pojistné plnění poskytne pojistitel při parciální (dílčí) škodě v nových cenách.</w:t>
      </w:r>
    </w:p>
    <w:p w14:paraId="72BFA21D" w14:textId="77777777" w:rsidR="00EA30DB" w:rsidRDefault="00295189">
      <w:pPr>
        <w:spacing w:after="175"/>
        <w:ind w:left="24" w:right="17"/>
      </w:pPr>
      <w:r>
        <w:t xml:space="preserve">Pojistné plnění poskytne pojistitel při zničení vozidla (totální škoda) nebo při odcizení vozidla do výše obvyklé ceny vozidla v době vzniku pojistné události. Pokud by obvyklá cena vozidla v době vzniku pojistné události byla vyšší než pojistná částka vozidla, poskytne pojistitel pojistné plnění do výše pojistné částky vozidla. </w:t>
      </w:r>
    </w:p>
    <w:p w14:paraId="3CBB39B5" w14:textId="77777777" w:rsidR="00EA30DB" w:rsidRDefault="00295189">
      <w:pPr>
        <w:spacing w:after="194"/>
        <w:ind w:left="24" w:right="17"/>
      </w:pPr>
      <w:proofErr w:type="gramStart"/>
      <w:r>
        <w:t>ZABEZPEČENÍ  VOZIDEL</w:t>
      </w:r>
      <w:proofErr w:type="gramEnd"/>
      <w:r>
        <w:t xml:space="preserve"> PROTI ODCIZENÍ: </w:t>
      </w:r>
    </w:p>
    <w:p w14:paraId="75A1A24D" w14:textId="77777777" w:rsidR="00EA30DB" w:rsidRDefault="00295189">
      <w:pPr>
        <w:ind w:left="24" w:right="17"/>
      </w:pPr>
      <w:r>
        <w:rPr>
          <w:b/>
        </w:rPr>
        <w:t>Osobní vozidla</w:t>
      </w:r>
      <w:r>
        <w:t xml:space="preserve"> (vozidla určená pro přepravu jen sedících osob a jejich zavazadel, která mají nejvýše devět míst k sezení včetně místa řidiče; celková hmotnost nesmí převýšit 3,5 t a prostor pro zavazadla nesmí být větší, než pro přepravu osob) musí být pro vznik nároku na pojistné plnění z pojistného nebezpečí odcizení zabezpečena následujícím způsobem:</w:t>
      </w:r>
    </w:p>
    <w:p w14:paraId="54DC6419" w14:textId="77777777" w:rsidR="00EA30DB" w:rsidRDefault="00295189">
      <w:pPr>
        <w:numPr>
          <w:ilvl w:val="0"/>
          <w:numId w:val="1"/>
        </w:numPr>
        <w:ind w:right="17"/>
      </w:pPr>
      <w:r>
        <w:rPr>
          <w:b/>
        </w:rPr>
        <w:t xml:space="preserve">s pojistnou částkou do </w:t>
      </w:r>
      <w:proofErr w:type="gramStart"/>
      <w:r>
        <w:rPr>
          <w:b/>
        </w:rPr>
        <w:t>500.000,-</w:t>
      </w:r>
      <w:proofErr w:type="gramEnd"/>
      <w:r>
        <w:rPr>
          <w:b/>
        </w:rPr>
        <w:t xml:space="preserve"> Kč:</w:t>
      </w:r>
      <w:r>
        <w:t xml:space="preserve"> mechanický systém nebo imobilizér nebo alarm nebo aktivní systém vyhledávání vozidel nebo pasivní systém vyhledávání vozidel,</w:t>
      </w:r>
    </w:p>
    <w:p w14:paraId="25F9044D" w14:textId="77777777" w:rsidR="00EA30DB" w:rsidRDefault="00295189">
      <w:pPr>
        <w:numPr>
          <w:ilvl w:val="0"/>
          <w:numId w:val="1"/>
        </w:numPr>
        <w:ind w:right="17"/>
      </w:pPr>
      <w:r>
        <w:rPr>
          <w:b/>
        </w:rPr>
        <w:t xml:space="preserve">s pojistnou částkou do </w:t>
      </w:r>
      <w:proofErr w:type="gramStart"/>
      <w:r>
        <w:rPr>
          <w:b/>
        </w:rPr>
        <w:t>800.000,-</w:t>
      </w:r>
      <w:proofErr w:type="gramEnd"/>
      <w:r>
        <w:rPr>
          <w:b/>
        </w:rPr>
        <w:t xml:space="preserve"> Kč:</w:t>
      </w:r>
      <w:r>
        <w:t xml:space="preserve"> kombinace dvou z těchto způsobů zabezpečení: mechanický systém; imobilizér; alarm; aktivní systém vyhledávání vozidel nebo pasivní systém vyhledávání vozidel; bezpečnostní značení skel,</w:t>
      </w:r>
    </w:p>
    <w:p w14:paraId="5D26C30E" w14:textId="77777777" w:rsidR="00EA30DB" w:rsidRDefault="00295189">
      <w:pPr>
        <w:numPr>
          <w:ilvl w:val="0"/>
          <w:numId w:val="1"/>
        </w:numPr>
        <w:ind w:right="17"/>
      </w:pPr>
      <w:r>
        <w:rPr>
          <w:b/>
        </w:rPr>
        <w:t xml:space="preserve">s pojistnou částkou nad </w:t>
      </w:r>
      <w:proofErr w:type="gramStart"/>
      <w:r>
        <w:rPr>
          <w:b/>
        </w:rPr>
        <w:t>800.000,-</w:t>
      </w:r>
      <w:proofErr w:type="gramEnd"/>
      <w:r>
        <w:rPr>
          <w:b/>
        </w:rPr>
        <w:t xml:space="preserve"> Kč:</w:t>
      </w:r>
      <w:r>
        <w:t xml:space="preserve"> kombinace tří z těchto způsobů zabezpečení: mechanický systém; imobilizér; alarm; aktivní systém vyhledávání vozidel nebo pasivní systém vyhledávání vozidel; bezpečnostní značení skel.</w:t>
      </w:r>
    </w:p>
    <w:p w14:paraId="3315DC0F" w14:textId="77777777" w:rsidR="00EA30DB" w:rsidRDefault="00295189">
      <w:pPr>
        <w:ind w:left="24" w:right="17"/>
      </w:pPr>
      <w:r>
        <w:rPr>
          <w:b/>
        </w:rPr>
        <w:t>Dodávková vozidla</w:t>
      </w:r>
      <w:r>
        <w:t xml:space="preserve"> (vozidla určená pro přepravu věcí, jejichž celková hmotnost nepřevyšuje 3,5 t): musí být pro vznik nároku na pojistné plnění z pojistného nebezpečí odcizení zabezpečena následujícím způsobem:</w:t>
      </w:r>
    </w:p>
    <w:p w14:paraId="68A7FB78" w14:textId="77777777" w:rsidR="00EA30DB" w:rsidRDefault="00295189">
      <w:pPr>
        <w:numPr>
          <w:ilvl w:val="0"/>
          <w:numId w:val="1"/>
        </w:numPr>
        <w:ind w:right="17"/>
      </w:pPr>
      <w:r>
        <w:rPr>
          <w:b/>
        </w:rPr>
        <w:t xml:space="preserve">s pojistnou částkou do </w:t>
      </w:r>
      <w:proofErr w:type="gramStart"/>
      <w:r>
        <w:rPr>
          <w:b/>
        </w:rPr>
        <w:t>750.000,-</w:t>
      </w:r>
      <w:proofErr w:type="gramEnd"/>
      <w:r>
        <w:rPr>
          <w:b/>
        </w:rPr>
        <w:t xml:space="preserve"> Kč:</w:t>
      </w:r>
      <w:r>
        <w:t xml:space="preserve"> mechanický systém nebo imobilizér nebo alarm nebo aktivní systém vyhledávání vozidel nebo pasivní systém vyhledávání vozidel,</w:t>
      </w:r>
    </w:p>
    <w:p w14:paraId="0F672A80" w14:textId="77777777" w:rsidR="00EA30DB" w:rsidRDefault="00295189">
      <w:pPr>
        <w:numPr>
          <w:ilvl w:val="0"/>
          <w:numId w:val="1"/>
        </w:numPr>
        <w:spacing w:after="122" w:line="340" w:lineRule="auto"/>
        <w:ind w:right="17"/>
      </w:pPr>
      <w:r>
        <w:rPr>
          <w:b/>
        </w:rPr>
        <w:t xml:space="preserve">s pojistnou částkou nad </w:t>
      </w:r>
      <w:proofErr w:type="gramStart"/>
      <w:r>
        <w:rPr>
          <w:b/>
        </w:rPr>
        <w:t>750.000,-</w:t>
      </w:r>
      <w:proofErr w:type="gramEnd"/>
      <w:r>
        <w:rPr>
          <w:b/>
        </w:rPr>
        <w:t xml:space="preserve"> Kč:</w:t>
      </w:r>
      <w:r>
        <w:t xml:space="preserve"> kombinací dvou z těchto způsobů zabezpečení: mechanický systém; imobilizér; alarm; aktivní systém vyhledávání vozidel nebo pasivní systém vyhledávání vozidel; bezpečnostní značení skel. </w:t>
      </w:r>
    </w:p>
    <w:p w14:paraId="03D6264D" w14:textId="77777777" w:rsidR="00EA30DB" w:rsidRDefault="00295189">
      <w:pPr>
        <w:spacing w:after="148" w:line="331" w:lineRule="auto"/>
        <w:ind w:left="-5" w:right="734"/>
      </w:pPr>
      <w:r>
        <w:rPr>
          <w:b/>
        </w:rPr>
        <w:t>Zahraniční nákladní vozidla včetně tahačů a zahraniční autobusy</w:t>
      </w:r>
      <w:r>
        <w:t xml:space="preserve"> (musí být pro vznik nároku na pojistné plnění zabezpečena následujícím způsobem: </w:t>
      </w:r>
      <w:proofErr w:type="gramStart"/>
      <w:r>
        <w:rPr>
          <w:b/>
        </w:rPr>
        <w:t>-</w:t>
      </w:r>
      <w:r>
        <w:t xml:space="preserve"> </w:t>
      </w:r>
      <w:r>
        <w:rPr>
          <w:b/>
        </w:rPr>
        <w:t xml:space="preserve"> mechanický</w:t>
      </w:r>
      <w:proofErr w:type="gramEnd"/>
      <w:r>
        <w:rPr>
          <w:b/>
        </w:rPr>
        <w:t xml:space="preserve"> systém nebo imobilizér nebo alarm</w:t>
      </w:r>
    </w:p>
    <w:p w14:paraId="49881B7C" w14:textId="77777777" w:rsidR="00EA30DB" w:rsidRDefault="00295189">
      <w:pPr>
        <w:ind w:left="24" w:right="17"/>
      </w:pPr>
      <w:r>
        <w:t>Uvedená zařízení musí být instalována nejpozději do jednoho měsíce ode dne platnosti pojistné smlouvy. V případě nesplnění podmínky zabezpečení vozidla předepsaným způsobem a v předepsané lhůtě se spoluúčast pro pojistné nebezpečí odcizení zvyšuje na 50 %.</w:t>
      </w:r>
    </w:p>
    <w:p w14:paraId="059330C7" w14:textId="77777777" w:rsidR="00EA30DB" w:rsidRDefault="00295189">
      <w:pPr>
        <w:spacing w:after="172" w:line="341" w:lineRule="auto"/>
        <w:ind w:left="24" w:right="17"/>
      </w:pPr>
      <w:r>
        <w:t xml:space="preserve">Veškeré zabezpečovací prostředky, kterými není vozidlo vybaveno od výrobce a jsou namontovány na vozidle, budou pojistitelem uznány, pokud tato zařízení byla prokazatelně schválena pro provoz v motorových vozidlech. </w:t>
      </w:r>
    </w:p>
    <w:p w14:paraId="7AC2F5C4" w14:textId="77777777" w:rsidR="00EA30DB" w:rsidRDefault="00295189">
      <w:pPr>
        <w:spacing w:after="200" w:line="259" w:lineRule="auto"/>
        <w:ind w:left="-5"/>
      </w:pPr>
      <w:r>
        <w:rPr>
          <w:b/>
        </w:rPr>
        <w:t>Popis jednotlivých způsobů zabezpečení:</w:t>
      </w:r>
      <w:r>
        <w:t xml:space="preserve"> </w:t>
      </w:r>
    </w:p>
    <w:p w14:paraId="245B583E" w14:textId="77777777" w:rsidR="00EA30DB" w:rsidRDefault="00295189">
      <w:pPr>
        <w:spacing w:after="130" w:line="331" w:lineRule="auto"/>
        <w:ind w:left="24" w:right="17"/>
      </w:pPr>
      <w:r>
        <w:rPr>
          <w:b/>
        </w:rPr>
        <w:t>aktivní systém vyhledávání vozidel</w:t>
      </w:r>
      <w:r>
        <w:t xml:space="preserve"> – monitorovací a lokalizační systém u kterého aktivační detektory a čidla sami zjistí neoprávněnou manipulaci s vozidlem. Systém sám aktivuje dispečink poskytovatele. Dispečink dále sleduje pohyb vozidla, zajistí výjezd vlastní zásahové jednotky, popř. ve spolupráci s policií zajistí zadržení vozidla; </w:t>
      </w:r>
    </w:p>
    <w:p w14:paraId="5F54F5B3" w14:textId="77777777" w:rsidR="00EA30DB" w:rsidRDefault="00295189">
      <w:pPr>
        <w:spacing w:after="120" w:line="341" w:lineRule="auto"/>
        <w:ind w:left="24" w:right="17"/>
      </w:pPr>
      <w:r>
        <w:rPr>
          <w:b/>
        </w:rPr>
        <w:t>alarm</w:t>
      </w:r>
      <w:r>
        <w:t xml:space="preserve"> – elektronické aktivní zabezpečovací zařízení pevně zabudované ve vozidle signalizující akusticky nebo opticky pokus o neoprávněný vstup do vozidla, případně zároveň zabraňující jeho rozjezdu blokováním motoru, </w:t>
      </w:r>
    </w:p>
    <w:p w14:paraId="5962B030" w14:textId="77777777" w:rsidR="00EA30DB" w:rsidRDefault="00295189">
      <w:pPr>
        <w:ind w:left="24" w:right="17"/>
      </w:pPr>
      <w:r>
        <w:rPr>
          <w:b/>
        </w:rPr>
        <w:lastRenderedPageBreak/>
        <w:t>bezpečnostní značení skel</w:t>
      </w:r>
      <w:r>
        <w:t xml:space="preserve"> – tzv. pískování nebo leptání speciálního kódu či </w:t>
      </w:r>
      <w:proofErr w:type="spellStart"/>
      <w:r>
        <w:t>VINu</w:t>
      </w:r>
      <w:proofErr w:type="spellEnd"/>
      <w:r>
        <w:t xml:space="preserve"> na všechna skla na vozidle systémem OCIS s následným zpracováním dat o takto označených vozidlech. Jako bezpečnostní značení skel nelze uznat VIN na palubní desce pouze viditelné pod čelním sklem,</w:t>
      </w:r>
    </w:p>
    <w:p w14:paraId="3A0E0B50" w14:textId="77777777" w:rsidR="00EA30DB" w:rsidRDefault="00295189">
      <w:pPr>
        <w:spacing w:after="1" w:line="365" w:lineRule="auto"/>
        <w:ind w:left="24" w:right="151"/>
      </w:pPr>
      <w:r>
        <w:rPr>
          <w:b/>
        </w:rPr>
        <w:t>imobilizér</w:t>
      </w:r>
      <w:r>
        <w:t xml:space="preserve"> – elektronické pasivní zabezpečovací zařízení pevně zabudované ve vozidle zabraňující neoprávněnému rozjezdu vozidla tím, že vyřadí z provozu oddělené proudové okruhy vozidla, </w:t>
      </w:r>
      <w:r>
        <w:rPr>
          <w:b/>
        </w:rPr>
        <w:t>mechanický systém</w:t>
      </w:r>
      <w:r>
        <w:t xml:space="preserve"> – zařízení, které je pevně spojeno s vozidlem a mechanickým způsobem brání neoprávněnému použití vozidla tím, že blokuje převodové ústrojí či blokuje řazení rychlostí – např. CONSTRUCT, DEFEND-LOCK, MUL-T-LOCK, MEDVĚD BLOK; nelze uznat různá provedení</w:t>
      </w:r>
    </w:p>
    <w:p w14:paraId="47D4C8CA" w14:textId="77777777" w:rsidR="00EA30DB" w:rsidRDefault="00295189">
      <w:pPr>
        <w:spacing w:after="152" w:line="365" w:lineRule="auto"/>
        <w:ind w:left="24" w:right="17"/>
      </w:pPr>
      <w:r>
        <w:t xml:space="preserve">odnímatelných pák na volant, mezi volant a pedály nebo mezi řadící páku a parkovací (ruční) brzdu, </w:t>
      </w:r>
      <w:r>
        <w:rPr>
          <w:b/>
        </w:rPr>
        <w:t>pasivní systém vyhledávání vozidel</w:t>
      </w:r>
      <w:r>
        <w:t xml:space="preserve"> – monitorovací a lokalizační systém, který aktivně nehlásí neoprávněnou manipulaci s vozidlem (tj. aktivuje se až na základě oznámení krádeže vozidla). Jedná se spíše o tzv. elektronickou knihu jízd apod. Pro potřeby tohoto předpisu lze tímto systémem nahradit jedno z těchto zabezpečení: imobilizér nebo alarm nebo mechanický systém. </w:t>
      </w:r>
    </w:p>
    <w:p w14:paraId="4927C739" w14:textId="77777777" w:rsidR="00EA30DB" w:rsidRDefault="00295189">
      <w:pPr>
        <w:spacing w:after="192"/>
        <w:ind w:left="24" w:right="17"/>
      </w:pPr>
      <w:r>
        <w:t xml:space="preserve">VÝKLAD POJMŮ </w:t>
      </w:r>
    </w:p>
    <w:p w14:paraId="1612A762" w14:textId="77777777" w:rsidR="00EA30DB" w:rsidRDefault="00295189">
      <w:pPr>
        <w:spacing w:after="124" w:line="339" w:lineRule="auto"/>
        <w:ind w:left="24" w:right="17"/>
      </w:pPr>
      <w:r>
        <w:rPr>
          <w:b/>
        </w:rPr>
        <w:t>Havárií vozidla</w:t>
      </w:r>
      <w:r>
        <w:t xml:space="preserve"> se rozumí pojištění dle VPP HA 2008 čl. II odst. 1 proti negativnímu působení pojistných nebezpečí střet, pád, náraz, požár, výbuch, blesk, krupobití, vichřice, pád jakýchkoliv věcí, povodeň, záplava, zásah cizí osoby, pohřešování v příčinné souvislosti s dopravní nehodou šetřenou policií. </w:t>
      </w:r>
    </w:p>
    <w:p w14:paraId="64AC0DA0" w14:textId="77777777" w:rsidR="00EA30DB" w:rsidRDefault="00295189">
      <w:pPr>
        <w:spacing w:after="0"/>
        <w:ind w:left="24" w:right="17"/>
      </w:pPr>
      <w:r>
        <w:rPr>
          <w:b/>
        </w:rPr>
        <w:t>Odcizením vozidla</w:t>
      </w:r>
      <w:r>
        <w:t xml:space="preserve"> se rozumí pojištění dle VPP HA 2008 čl. II odst. 2 proti negativnímu působení pojistných nebezpečí odcizení krádeží nebo loupežným přepadením.</w:t>
      </w:r>
      <w:r>
        <w:rPr>
          <w:sz w:val="37"/>
          <w:vertAlign w:val="subscript"/>
        </w:rPr>
        <w:t xml:space="preserve"> </w:t>
      </w:r>
    </w:p>
    <w:p w14:paraId="3793A7B7" w14:textId="77777777" w:rsidR="00EA30DB" w:rsidRDefault="00295189">
      <w:pPr>
        <w:spacing w:line="259" w:lineRule="auto"/>
        <w:ind w:left="0" w:firstLine="0"/>
      </w:pPr>
      <w:r>
        <w:rPr>
          <w:sz w:val="24"/>
        </w:rPr>
        <w:t xml:space="preserve">  </w:t>
      </w:r>
    </w:p>
    <w:p w14:paraId="3695E33C" w14:textId="77777777" w:rsidR="00EA30DB" w:rsidRDefault="00295189">
      <w:pPr>
        <w:spacing w:after="0" w:line="259" w:lineRule="auto"/>
        <w:ind w:left="0" w:firstLine="0"/>
      </w:pPr>
      <w:r>
        <w:rPr>
          <w:sz w:val="24"/>
        </w:rPr>
        <w:t xml:space="preserve">  </w:t>
      </w:r>
    </w:p>
    <w:p w14:paraId="2F3B40C7" w14:textId="77777777" w:rsidR="00EA30DB" w:rsidRDefault="00295189">
      <w:pPr>
        <w:spacing w:after="122" w:line="259" w:lineRule="auto"/>
        <w:ind w:left="0" w:firstLine="0"/>
      </w:pPr>
      <w:r>
        <w:rPr>
          <w:sz w:val="24"/>
        </w:rPr>
        <w:t xml:space="preserve"> </w:t>
      </w:r>
    </w:p>
    <w:p w14:paraId="0F30CCD1" w14:textId="77777777" w:rsidR="00EA30DB" w:rsidRDefault="00295189">
      <w:pPr>
        <w:spacing w:after="0" w:line="259" w:lineRule="auto"/>
        <w:ind w:right="22"/>
        <w:jc w:val="center"/>
      </w:pPr>
      <w:r>
        <w:rPr>
          <w:b/>
          <w:i/>
          <w:sz w:val="28"/>
        </w:rPr>
        <w:t>Článek II.</w:t>
      </w:r>
    </w:p>
    <w:p w14:paraId="5E2E1C15" w14:textId="77777777" w:rsidR="00EA30DB" w:rsidRDefault="00295189">
      <w:pPr>
        <w:tabs>
          <w:tab w:val="center" w:pos="4770"/>
        </w:tabs>
        <w:spacing w:after="80" w:line="259" w:lineRule="auto"/>
        <w:ind w:left="-15" w:firstLine="0"/>
      </w:pPr>
      <w:r>
        <w:rPr>
          <w:sz w:val="24"/>
        </w:rPr>
        <w:t xml:space="preserve"> </w:t>
      </w:r>
      <w:r>
        <w:rPr>
          <w:sz w:val="24"/>
        </w:rPr>
        <w:tab/>
      </w:r>
      <w:r>
        <w:rPr>
          <w:b/>
          <w:i/>
        </w:rPr>
        <w:t>Speciální smluvní ujednání</w:t>
      </w:r>
    </w:p>
    <w:p w14:paraId="29F82746" w14:textId="77777777" w:rsidR="00EA30DB" w:rsidRDefault="00295189">
      <w:pPr>
        <w:spacing w:after="155" w:line="259" w:lineRule="auto"/>
        <w:ind w:left="0" w:firstLine="0"/>
      </w:pPr>
      <w:r>
        <w:rPr>
          <w:sz w:val="24"/>
        </w:rPr>
        <w:t xml:space="preserve"> </w:t>
      </w:r>
      <w:r>
        <w:rPr>
          <w:b/>
        </w:rPr>
        <w:t xml:space="preserve"> </w:t>
      </w:r>
    </w:p>
    <w:p w14:paraId="30077382" w14:textId="77777777" w:rsidR="00EA30DB" w:rsidRDefault="00295189">
      <w:pPr>
        <w:spacing w:after="200" w:line="259" w:lineRule="auto"/>
        <w:ind w:left="-5"/>
      </w:pPr>
      <w:r>
        <w:rPr>
          <w:b/>
        </w:rPr>
        <w:t>Speciální smluvní ujednání</w:t>
      </w:r>
      <w:r>
        <w:t xml:space="preserve"> </w:t>
      </w:r>
    </w:p>
    <w:p w14:paraId="28E71C38" w14:textId="77777777" w:rsidR="00EA30DB" w:rsidRDefault="00295189">
      <w:pPr>
        <w:spacing w:after="98" w:line="366" w:lineRule="auto"/>
        <w:ind w:left="24" w:right="17"/>
      </w:pPr>
      <w:r>
        <w:t xml:space="preserve">Pojistitel a pojistník výslovně sjednávají, že právní vztahy založené pojistnou smlouvou se ode dne nabytí účinnosti tohoto dodatku řídí mimo jiné následujícími speciálními ujednáními: </w:t>
      </w:r>
    </w:p>
    <w:p w14:paraId="45324997" w14:textId="77777777" w:rsidR="00EA30DB" w:rsidRDefault="00295189">
      <w:pPr>
        <w:spacing w:after="0" w:line="315" w:lineRule="auto"/>
        <w:ind w:left="-5" w:right="7"/>
        <w:jc w:val="both"/>
      </w:pPr>
      <w:r>
        <w:t xml:space="preserve">5717 - Odchylně od VPP HA 2014 část F Předpis zabezpečení vozidel proti odcizení se ujednává tento způsob </w:t>
      </w:r>
      <w:proofErr w:type="gramStart"/>
      <w:r>
        <w:t>zabezpečení :</w:t>
      </w:r>
      <w:proofErr w:type="gramEnd"/>
      <w:r>
        <w:t xml:space="preserve"> Vozidlo musí být pro vznik nároku na pojistné plnění zabezpečeno funkčním imobilizérem.</w:t>
      </w:r>
    </w:p>
    <w:p w14:paraId="353DF701" w14:textId="77777777" w:rsidR="00EA30DB" w:rsidRDefault="00295189">
      <w:pPr>
        <w:spacing w:after="52" w:line="259" w:lineRule="auto"/>
        <w:ind w:left="0" w:firstLine="0"/>
      </w:pPr>
      <w:r>
        <w:t xml:space="preserve"> </w:t>
      </w:r>
    </w:p>
    <w:p w14:paraId="2539B057" w14:textId="77777777" w:rsidR="00EA30DB" w:rsidRDefault="00295189">
      <w:pPr>
        <w:spacing w:after="52" w:line="259" w:lineRule="auto"/>
        <w:ind w:left="0" w:firstLine="0"/>
      </w:pPr>
      <w:r>
        <w:t xml:space="preserve"> </w:t>
      </w:r>
    </w:p>
    <w:p w14:paraId="312EBE51" w14:textId="77777777" w:rsidR="00EA30DB" w:rsidRDefault="00295189">
      <w:pPr>
        <w:spacing w:after="0"/>
        <w:ind w:left="24" w:right="17"/>
      </w:pPr>
      <w:r>
        <w:t>"17-O-HA-</w:t>
      </w:r>
      <w:proofErr w:type="gramStart"/>
      <w:r>
        <w:t>0002-pracstr</w:t>
      </w:r>
      <w:proofErr w:type="gramEnd"/>
      <w:r>
        <w:t xml:space="preserve"> 6552" Odchylně od VPP HA 2017 část A, článek V bod 1. písm. h) se ujednává, že pojištění se vztahuje i na škody vzniklé při činnosti vozidla nebo jeho části jako pracovního stroje.</w:t>
      </w:r>
      <w:r>
        <w:rPr>
          <w:sz w:val="37"/>
          <w:vertAlign w:val="subscript"/>
        </w:rPr>
        <w:t xml:space="preserve"> </w:t>
      </w:r>
    </w:p>
    <w:p w14:paraId="6947F28E" w14:textId="77777777" w:rsidR="00EA30DB" w:rsidRDefault="00295189">
      <w:pPr>
        <w:spacing w:after="0" w:line="259" w:lineRule="auto"/>
        <w:ind w:left="0" w:firstLine="0"/>
      </w:pPr>
      <w:r>
        <w:rPr>
          <w:sz w:val="24"/>
        </w:rPr>
        <w:t xml:space="preserve">  </w:t>
      </w:r>
    </w:p>
    <w:p w14:paraId="08311638" w14:textId="77777777" w:rsidR="00EA30DB" w:rsidRDefault="00295189">
      <w:pPr>
        <w:spacing w:after="122" w:line="259" w:lineRule="auto"/>
        <w:ind w:left="0" w:firstLine="0"/>
      </w:pPr>
      <w:r>
        <w:rPr>
          <w:sz w:val="24"/>
        </w:rPr>
        <w:t xml:space="preserve"> </w:t>
      </w:r>
    </w:p>
    <w:p w14:paraId="5E2E13A5" w14:textId="77777777" w:rsidR="00EA30DB" w:rsidRDefault="00295189">
      <w:pPr>
        <w:spacing w:after="0" w:line="259" w:lineRule="auto"/>
        <w:ind w:right="22"/>
        <w:jc w:val="center"/>
      </w:pPr>
      <w:r>
        <w:rPr>
          <w:b/>
          <w:i/>
          <w:sz w:val="28"/>
        </w:rPr>
        <w:t>Článek III.</w:t>
      </w:r>
    </w:p>
    <w:p w14:paraId="28B48EB7" w14:textId="77777777" w:rsidR="00EA30DB" w:rsidRDefault="00295189">
      <w:pPr>
        <w:spacing w:after="122" w:line="259" w:lineRule="auto"/>
        <w:ind w:left="184"/>
      </w:pPr>
      <w:r>
        <w:rPr>
          <w:b/>
          <w:i/>
        </w:rPr>
        <w:t>Změny ve výši pojistného za všechna pojištění sjednaná pojistnou smlouvou po nabytí účinnosti</w:t>
      </w:r>
    </w:p>
    <w:p w14:paraId="31D3B9EE" w14:textId="77777777" w:rsidR="00EA30DB" w:rsidRDefault="00295189">
      <w:pPr>
        <w:tabs>
          <w:tab w:val="center" w:pos="4770"/>
        </w:tabs>
        <w:spacing w:after="188" w:line="259" w:lineRule="auto"/>
        <w:ind w:left="-15" w:firstLine="0"/>
      </w:pPr>
      <w:r>
        <w:t xml:space="preserve"> </w:t>
      </w:r>
      <w:r>
        <w:tab/>
      </w:r>
      <w:r>
        <w:rPr>
          <w:b/>
          <w:i/>
        </w:rPr>
        <w:t>tohoto dodatku</w:t>
      </w:r>
    </w:p>
    <w:p w14:paraId="2290A2D3" w14:textId="77777777" w:rsidR="00EA30DB" w:rsidRDefault="00295189">
      <w:pPr>
        <w:spacing w:after="0"/>
        <w:ind w:left="24" w:right="17"/>
      </w:pPr>
      <w:r>
        <w:t>Výše pojistného za jednotlivá pojištění činí:</w:t>
      </w:r>
    </w:p>
    <w:p w14:paraId="21C33772" w14:textId="77777777" w:rsidR="00EA30DB" w:rsidRDefault="00295189">
      <w:pPr>
        <w:tabs>
          <w:tab w:val="center" w:pos="5465"/>
          <w:tab w:val="right" w:pos="9562"/>
        </w:tabs>
        <w:spacing w:after="38" w:line="259" w:lineRule="auto"/>
        <w:ind w:left="-15" w:firstLine="0"/>
      </w:pPr>
      <w:r>
        <w:rPr>
          <w:b/>
        </w:rPr>
        <w:lastRenderedPageBreak/>
        <w:t>Pojištění</w:t>
      </w:r>
      <w:r>
        <w:rPr>
          <w:b/>
        </w:rPr>
        <w:tab/>
        <w:t>Změna ročního pojistného</w:t>
      </w:r>
      <w:r>
        <w:rPr>
          <w:b/>
        </w:rPr>
        <w:tab/>
        <w:t>Roční pojistné po změnách</w:t>
      </w:r>
    </w:p>
    <w:p w14:paraId="5932CC21" w14:textId="77777777" w:rsidR="00EA30DB" w:rsidRDefault="00295189">
      <w:pPr>
        <w:tabs>
          <w:tab w:val="center" w:pos="6263"/>
          <w:tab w:val="right" w:pos="9562"/>
        </w:tabs>
        <w:ind w:left="0" w:firstLine="0"/>
      </w:pPr>
      <w:r>
        <w:t>1. Pojištění vozidel</w:t>
      </w:r>
      <w:r>
        <w:tab/>
        <w:t>66 933 Kč</w:t>
      </w:r>
      <w:r>
        <w:tab/>
        <w:t>226 086 Kč</w:t>
      </w:r>
    </w:p>
    <w:p w14:paraId="0CCE0547" w14:textId="2B29037E" w:rsidR="00EA30DB" w:rsidRDefault="00295189">
      <w:pPr>
        <w:spacing w:after="38" w:line="259" w:lineRule="auto"/>
        <w:ind w:left="-5"/>
      </w:pPr>
      <w:r>
        <w:rPr>
          <w:b/>
        </w:rPr>
        <w:t>Součet</w:t>
      </w:r>
      <w:r w:rsidR="00C92D81">
        <w:rPr>
          <w:b/>
        </w:rPr>
        <w:t xml:space="preserve">                                                                               </w:t>
      </w:r>
      <w:r>
        <w:rPr>
          <w:b/>
        </w:rPr>
        <w:tab/>
        <w:t>66 933 Kč</w:t>
      </w:r>
      <w:r>
        <w:rPr>
          <w:b/>
        </w:rPr>
        <w:tab/>
      </w:r>
      <w:r w:rsidR="00C92D81">
        <w:rPr>
          <w:b/>
        </w:rPr>
        <w:t xml:space="preserve">                          </w:t>
      </w:r>
      <w:r>
        <w:rPr>
          <w:b/>
        </w:rPr>
        <w:t>226 086 Kč Změna pojistného celkem</w:t>
      </w:r>
      <w:r>
        <w:rPr>
          <w:b/>
        </w:rPr>
        <w:tab/>
        <w:t>22 372 Kč</w:t>
      </w:r>
    </w:p>
    <w:p w14:paraId="56AD2EDD" w14:textId="77777777" w:rsidR="00EA30DB" w:rsidRDefault="00295189">
      <w:pPr>
        <w:spacing w:after="0" w:line="259" w:lineRule="auto"/>
        <w:ind w:left="-5"/>
      </w:pPr>
      <w:r>
        <w:rPr>
          <w:b/>
        </w:rPr>
        <w:t>Od 01.08.2025</w:t>
      </w:r>
      <w:r>
        <w:t xml:space="preserve"> 00:00 hodin </w:t>
      </w:r>
      <w:r>
        <w:rPr>
          <w:b/>
        </w:rPr>
        <w:t>do 01.12.2025</w:t>
      </w:r>
      <w:r>
        <w:t xml:space="preserve"> 00:00 hodin</w:t>
      </w:r>
    </w:p>
    <w:p w14:paraId="4CEBA55B" w14:textId="77777777" w:rsidR="00EA30DB" w:rsidRDefault="00295189">
      <w:pPr>
        <w:spacing w:after="41" w:line="259" w:lineRule="auto"/>
        <w:ind w:left="0" w:firstLine="0"/>
      </w:pPr>
      <w:r>
        <w:rPr>
          <w:sz w:val="16"/>
        </w:rPr>
        <w:t xml:space="preserve"> </w:t>
      </w:r>
    </w:p>
    <w:p w14:paraId="0733826F" w14:textId="77777777" w:rsidR="00EA30DB" w:rsidRDefault="00295189">
      <w:pPr>
        <w:spacing w:after="1" w:line="311" w:lineRule="auto"/>
        <w:ind w:left="-5" w:right="7"/>
        <w:jc w:val="both"/>
      </w:pPr>
      <w:r>
        <w:rPr>
          <w:b/>
          <w:sz w:val="16"/>
          <w:u w:val="single" w:color="000000"/>
        </w:rPr>
        <w:t>Změna pojistného</w:t>
      </w:r>
      <w:r>
        <w:rPr>
          <w:sz w:val="16"/>
        </w:rPr>
        <w:t xml:space="preserve"> = pokud se tímto dodatkem ruší stávající pojištění a zároveň se toto pojištění znovu sjednává z důvodu změny pojištění, je to rozdíl mezi původní a novou výší pojistného (kladná nebo záporná částka) NEBO pokud se tímto dodatkem sjednává nové pojištění, je to výše pojistného za nově sjednané pojištění (kladná částka) NEBO pokud se tímto dodatkem ruší stávající pojištění, je to výše pojistného za zrušené pojištění (záporná částka)</w:t>
      </w:r>
    </w:p>
    <w:p w14:paraId="5E1F7ECA" w14:textId="77777777" w:rsidR="00EA30DB" w:rsidRDefault="00295189">
      <w:pPr>
        <w:spacing w:after="41" w:line="259" w:lineRule="auto"/>
        <w:ind w:left="0" w:firstLine="0"/>
      </w:pPr>
      <w:r>
        <w:rPr>
          <w:sz w:val="16"/>
        </w:rPr>
        <w:t xml:space="preserve"> </w:t>
      </w:r>
    </w:p>
    <w:p w14:paraId="794FFA80" w14:textId="77777777" w:rsidR="00EA30DB" w:rsidRDefault="00295189">
      <w:pPr>
        <w:spacing w:after="1" w:line="311" w:lineRule="auto"/>
        <w:ind w:left="-5" w:right="7"/>
        <w:jc w:val="both"/>
      </w:pPr>
      <w:r>
        <w:rPr>
          <w:b/>
          <w:sz w:val="16"/>
          <w:u w:val="single" w:color="000000"/>
        </w:rPr>
        <w:t>Změna ročního pojistného</w:t>
      </w:r>
      <w:r>
        <w:rPr>
          <w:sz w:val="16"/>
        </w:rPr>
        <w:t xml:space="preserve"> = změna pojistného vyjádřená v ročním pojistném</w:t>
      </w:r>
    </w:p>
    <w:p w14:paraId="0C49E8A7" w14:textId="77777777" w:rsidR="00EA30DB" w:rsidRDefault="00295189">
      <w:pPr>
        <w:spacing w:after="41" w:line="259" w:lineRule="auto"/>
        <w:ind w:left="0" w:firstLine="0"/>
      </w:pPr>
      <w:r>
        <w:rPr>
          <w:sz w:val="16"/>
        </w:rPr>
        <w:t xml:space="preserve"> </w:t>
      </w:r>
    </w:p>
    <w:p w14:paraId="0A6F14BB" w14:textId="77777777" w:rsidR="00EA30DB" w:rsidRDefault="00295189">
      <w:pPr>
        <w:spacing w:after="1" w:line="311" w:lineRule="auto"/>
        <w:ind w:left="-5" w:right="7"/>
        <w:jc w:val="both"/>
      </w:pPr>
      <w:r>
        <w:rPr>
          <w:b/>
          <w:sz w:val="16"/>
          <w:u w:val="single" w:color="000000"/>
        </w:rPr>
        <w:t>Roční pojistné po změnách</w:t>
      </w:r>
      <w:r>
        <w:rPr>
          <w:sz w:val="16"/>
        </w:rPr>
        <w:t xml:space="preserve"> = pojistné za všechna platná pojištění sjednaná pojistnou smlouvou a dodatky pojistné smlouvy vyjádřené v ročním pojistném</w:t>
      </w:r>
    </w:p>
    <w:p w14:paraId="627AF70A" w14:textId="77777777" w:rsidR="00EA30DB" w:rsidRDefault="00295189">
      <w:pPr>
        <w:spacing w:after="0" w:line="259" w:lineRule="auto"/>
        <w:ind w:left="0" w:firstLine="0"/>
      </w:pPr>
      <w:r>
        <w:rPr>
          <w:sz w:val="24"/>
        </w:rPr>
        <w:t xml:space="preserve"> </w:t>
      </w:r>
    </w:p>
    <w:p w14:paraId="226421D0" w14:textId="77777777" w:rsidR="00EA30DB" w:rsidRDefault="00295189">
      <w:pPr>
        <w:spacing w:after="82" w:line="259" w:lineRule="auto"/>
        <w:ind w:left="0" w:firstLine="0"/>
      </w:pPr>
      <w:r>
        <w:rPr>
          <w:sz w:val="24"/>
        </w:rPr>
        <w:t xml:space="preserve"> </w:t>
      </w:r>
      <w:r>
        <w:rPr>
          <w:rFonts w:ascii="Calibri" w:eastAsia="Calibri" w:hAnsi="Calibri" w:cs="Calibri"/>
          <w:noProof/>
          <w:sz w:val="22"/>
        </w:rPr>
        <mc:AlternateContent>
          <mc:Choice Requires="wpg">
            <w:drawing>
              <wp:inline distT="0" distB="0" distL="0" distR="0" wp14:anchorId="31537676" wp14:editId="69F45818">
                <wp:extent cx="6045200" cy="19050"/>
                <wp:effectExtent l="0" t="0" r="0" b="0"/>
                <wp:docPr id="5862" name="Group 5862"/>
                <wp:cNvGraphicFramePr/>
                <a:graphic xmlns:a="http://schemas.openxmlformats.org/drawingml/2006/main">
                  <a:graphicData uri="http://schemas.microsoft.com/office/word/2010/wordprocessingGroup">
                    <wpg:wgp>
                      <wpg:cNvGrpSpPr/>
                      <wpg:grpSpPr>
                        <a:xfrm>
                          <a:off x="0" y="0"/>
                          <a:ext cx="6045200" cy="19050"/>
                          <a:chOff x="0" y="0"/>
                          <a:chExt cx="6045200" cy="19050"/>
                        </a:xfrm>
                      </wpg:grpSpPr>
                      <wps:wsp>
                        <wps:cNvPr id="541" name="Shape 541"/>
                        <wps:cNvSpPr/>
                        <wps:spPr>
                          <a:xfrm>
                            <a:off x="0" y="0"/>
                            <a:ext cx="6045200" cy="0"/>
                          </a:xfrm>
                          <a:custGeom>
                            <a:avLst/>
                            <a:gdLst/>
                            <a:ahLst/>
                            <a:cxnLst/>
                            <a:rect l="0" t="0" r="0" b="0"/>
                            <a:pathLst>
                              <a:path w="6045200">
                                <a:moveTo>
                                  <a:pt x="0" y="0"/>
                                </a:moveTo>
                                <a:lnTo>
                                  <a:pt x="6045200" y="0"/>
                                </a:lnTo>
                              </a:path>
                            </a:pathLst>
                          </a:custGeom>
                          <a:ln w="190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62" style="width:476pt;height:1.5pt;mso-position-horizontal-relative:char;mso-position-vertical-relative:line" coordsize="60452,190">
                <v:shape id="Shape 541" style="position:absolute;width:60452;height:0;left:0;top:0;" coordsize="6045200,0" path="m0,0l6045200,0">
                  <v:stroke weight="1.5pt" endcap="flat" joinstyle="miter" miterlimit="10" on="true" color="#000000"/>
                  <v:fill on="false" color="#000000" opacity="0"/>
                </v:shape>
              </v:group>
            </w:pict>
          </mc:Fallback>
        </mc:AlternateContent>
      </w:r>
    </w:p>
    <w:p w14:paraId="7671E09B" w14:textId="77777777" w:rsidR="00EA30DB" w:rsidRDefault="00295189">
      <w:pPr>
        <w:spacing w:after="0" w:line="259" w:lineRule="auto"/>
        <w:ind w:left="5"/>
      </w:pPr>
      <w:r>
        <w:rPr>
          <w:b/>
          <w:sz w:val="24"/>
        </w:rPr>
        <w:t>Splátkový kalendář:</w:t>
      </w:r>
    </w:p>
    <w:p w14:paraId="09C2956B" w14:textId="77777777" w:rsidR="00EA30DB" w:rsidRDefault="00295189">
      <w:pPr>
        <w:spacing w:after="52" w:line="259" w:lineRule="auto"/>
        <w:ind w:left="0" w:firstLine="0"/>
      </w:pPr>
      <w:r>
        <w:t xml:space="preserve"> </w:t>
      </w:r>
    </w:p>
    <w:p w14:paraId="08EAEE22" w14:textId="77777777" w:rsidR="00EA30DB" w:rsidRDefault="00295189">
      <w:pPr>
        <w:spacing w:after="114"/>
        <w:ind w:left="24" w:right="17"/>
      </w:pPr>
      <w:r>
        <w:rPr>
          <w:b/>
        </w:rPr>
        <w:t>Placení pojistného</w:t>
      </w:r>
      <w:r>
        <w:t xml:space="preserve"> za všechna pojištění sjednaná pojistnou smlouvou a po změnách provedených tímto dodatkem pojistné smlouvy </w:t>
      </w:r>
      <w:r>
        <w:rPr>
          <w:sz w:val="37"/>
          <w:vertAlign w:val="subscript"/>
        </w:rPr>
        <w:t xml:space="preserve">  </w:t>
      </w:r>
      <w:r>
        <w:rPr>
          <w:sz w:val="37"/>
          <w:vertAlign w:val="subscript"/>
        </w:rPr>
        <w:tab/>
      </w:r>
      <w:r>
        <w:rPr>
          <w:b/>
        </w:rPr>
        <w:t>se do 01.12.2025</w:t>
      </w:r>
      <w:r>
        <w:t xml:space="preserve"> 00:00 hodin </w:t>
      </w:r>
      <w:r>
        <w:rPr>
          <w:b/>
        </w:rPr>
        <w:t>řídí následujícím splátkovým kalendářem</w:t>
      </w:r>
      <w:r>
        <w:t>:</w:t>
      </w:r>
    </w:p>
    <w:p w14:paraId="37BE5409" w14:textId="77777777" w:rsidR="00EA30DB" w:rsidRDefault="00295189">
      <w:pPr>
        <w:tabs>
          <w:tab w:val="right" w:pos="9562"/>
        </w:tabs>
        <w:ind w:left="0" w:firstLine="0"/>
      </w:pPr>
      <w:r>
        <w:t>Datum splátky pojistného</w:t>
      </w:r>
      <w:r>
        <w:tab/>
        <w:t>Splátka pojistného</w:t>
      </w:r>
    </w:p>
    <w:p w14:paraId="1BAAB444" w14:textId="77777777" w:rsidR="00EA30DB" w:rsidRDefault="00295189">
      <w:pPr>
        <w:tabs>
          <w:tab w:val="right" w:pos="9562"/>
        </w:tabs>
        <w:spacing w:after="0" w:line="259" w:lineRule="auto"/>
        <w:ind w:left="-15" w:firstLine="0"/>
      </w:pPr>
      <w:r>
        <w:t xml:space="preserve">1. </w:t>
      </w:r>
      <w:r>
        <w:rPr>
          <w:b/>
        </w:rPr>
        <w:t>01.08.2025</w:t>
      </w:r>
      <w:r>
        <w:rPr>
          <w:b/>
        </w:rPr>
        <w:tab/>
        <w:t>22 372 Kč</w:t>
      </w:r>
    </w:p>
    <w:p w14:paraId="7ED243C1" w14:textId="77777777" w:rsidR="00EA30DB" w:rsidRDefault="00295189">
      <w:pPr>
        <w:spacing w:after="52" w:line="259" w:lineRule="auto"/>
        <w:ind w:left="0" w:firstLine="0"/>
      </w:pPr>
      <w:r>
        <w:t xml:space="preserve"> </w:t>
      </w:r>
    </w:p>
    <w:p w14:paraId="637E4603" w14:textId="77777777" w:rsidR="00EA30DB" w:rsidRDefault="00295189">
      <w:pPr>
        <w:spacing w:after="89"/>
        <w:ind w:left="24" w:right="2367"/>
      </w:pPr>
      <w:r>
        <w:t xml:space="preserve">Pojistné poukáže pojistník na účet ČSOB Pojišťovny, a. s., člena holdingu ČSOB, číslo </w:t>
      </w:r>
      <w:r>
        <w:rPr>
          <w:b/>
        </w:rPr>
        <w:t>180135112/0300</w:t>
      </w:r>
      <w:r>
        <w:t xml:space="preserve"> u Československé obchodní banky, a. s., konstantní symbol 3558, variabilní symbol </w:t>
      </w:r>
      <w:r>
        <w:rPr>
          <w:b/>
        </w:rPr>
        <w:t>8050895513</w:t>
      </w:r>
      <w:r>
        <w:t>.</w:t>
      </w:r>
    </w:p>
    <w:p w14:paraId="7E50C783" w14:textId="77777777" w:rsidR="00EA30DB" w:rsidRDefault="00295189">
      <w:pPr>
        <w:spacing w:after="195"/>
        <w:ind w:left="24" w:right="17"/>
      </w:pPr>
      <w:r>
        <w:t xml:space="preserve">Pojistné se považuje za uhrazené dnem připsání na účet ČSOB Pojišťovny, a. s., člena holdingu ČSOB. </w:t>
      </w:r>
    </w:p>
    <w:p w14:paraId="7C02F867" w14:textId="77777777" w:rsidR="00EA30DB" w:rsidRDefault="00295189">
      <w:pPr>
        <w:spacing w:after="0" w:line="315" w:lineRule="auto"/>
        <w:ind w:left="-5" w:right="7"/>
        <w:jc w:val="both"/>
      </w:pPr>
      <w:r>
        <w:t>V souladu s ustanovením § 3 písm. s) zákona o pojistné smlouvě a odchylně od ustanovení čl. V odst.  1. VPP OC 2005 pojistitel a pojistník sjednávají délku pojistného období ve všech pojištěních sjednaných tímto dodatkem pojistné smlouvy následovně:</w:t>
      </w:r>
    </w:p>
    <w:p w14:paraId="19008586" w14:textId="77777777" w:rsidR="00EA30DB" w:rsidRDefault="00295189">
      <w:pPr>
        <w:numPr>
          <w:ilvl w:val="0"/>
          <w:numId w:val="2"/>
        </w:numPr>
        <w:spacing w:after="0" w:line="315" w:lineRule="auto"/>
        <w:ind w:right="12" w:hanging="400"/>
      </w:pPr>
      <w:r>
        <w:t>první pojistné období ve všech pojištěních sjednaných tímto dodatkem pojistné smlouvy se sjednává v délce ode dne počátku všech pojištění sjednaných tímto dodatkem pojistné smlouvy do nejbližšího následujícího dne konce pojistného období všech pojištění sjednaných samotnou pojistnou smlouvou, nebo je-li pojištění sjednáno na dobu kratší, tak se první pojistné období sjednává v délce rovné pojistné době;</w:t>
      </w:r>
    </w:p>
    <w:p w14:paraId="440F3421" w14:textId="77777777" w:rsidR="00EA30DB" w:rsidRDefault="00295189">
      <w:pPr>
        <w:numPr>
          <w:ilvl w:val="0"/>
          <w:numId w:val="2"/>
        </w:numPr>
        <w:spacing w:after="63" w:line="320" w:lineRule="auto"/>
        <w:ind w:right="12" w:hanging="400"/>
      </w:pPr>
      <w:r>
        <w:t>druhé a každé další pojistné období ve všech pojištěních sjednaných tímto dodatkem pojistné smlouvy se sjednává v délce shodné s délkou pojistných období ve všech pojištěních sjednaných samotnou</w:t>
      </w:r>
    </w:p>
    <w:p w14:paraId="164FB6A6" w14:textId="77777777" w:rsidR="00EA30DB" w:rsidRDefault="00295189">
      <w:pPr>
        <w:tabs>
          <w:tab w:val="center" w:pos="1283"/>
        </w:tabs>
        <w:spacing w:after="182"/>
        <w:ind w:left="0" w:firstLine="0"/>
      </w:pPr>
      <w:r>
        <w:t xml:space="preserve"> </w:t>
      </w:r>
      <w:r>
        <w:tab/>
        <w:t>pojistnou smlouvou.</w:t>
      </w:r>
    </w:p>
    <w:p w14:paraId="0B1EBDEC" w14:textId="77777777" w:rsidR="00EA30DB" w:rsidRDefault="00295189">
      <w:pPr>
        <w:spacing w:after="0"/>
        <w:ind w:left="24" w:right="17"/>
      </w:pPr>
      <w:r>
        <w:t>Výše pojistného za další pojistné období se řídí splátkovým kalendářem zaslaným pojistníkovi na začátku dalšího pojistného období.</w:t>
      </w:r>
      <w:r>
        <w:rPr>
          <w:sz w:val="37"/>
          <w:vertAlign w:val="subscript"/>
        </w:rPr>
        <w:t xml:space="preserve"> </w:t>
      </w:r>
    </w:p>
    <w:p w14:paraId="3568C261" w14:textId="77777777" w:rsidR="00EA30DB" w:rsidRDefault="00295189">
      <w:pPr>
        <w:spacing w:after="122" w:line="259" w:lineRule="auto"/>
        <w:ind w:left="0" w:firstLine="0"/>
      </w:pPr>
      <w:r>
        <w:rPr>
          <w:sz w:val="24"/>
        </w:rPr>
        <w:t xml:space="preserve"> </w:t>
      </w:r>
    </w:p>
    <w:p w14:paraId="25319A91" w14:textId="77777777" w:rsidR="00EA5330" w:rsidRDefault="00EA5330">
      <w:pPr>
        <w:spacing w:after="0" w:line="259" w:lineRule="auto"/>
        <w:ind w:right="22"/>
        <w:jc w:val="center"/>
        <w:rPr>
          <w:b/>
          <w:i/>
          <w:sz w:val="28"/>
        </w:rPr>
      </w:pPr>
    </w:p>
    <w:p w14:paraId="502714D1" w14:textId="77777777" w:rsidR="00EA5330" w:rsidRDefault="00EA5330">
      <w:pPr>
        <w:spacing w:after="0" w:line="259" w:lineRule="auto"/>
        <w:ind w:right="22"/>
        <w:jc w:val="center"/>
        <w:rPr>
          <w:b/>
          <w:i/>
          <w:sz w:val="28"/>
        </w:rPr>
      </w:pPr>
    </w:p>
    <w:p w14:paraId="3CBA077F" w14:textId="77777777" w:rsidR="00EA5330" w:rsidRDefault="00EA5330">
      <w:pPr>
        <w:spacing w:after="0" w:line="259" w:lineRule="auto"/>
        <w:ind w:right="22"/>
        <w:jc w:val="center"/>
        <w:rPr>
          <w:b/>
          <w:i/>
          <w:sz w:val="28"/>
        </w:rPr>
      </w:pPr>
    </w:p>
    <w:p w14:paraId="0EF5CD32" w14:textId="06566DAC" w:rsidR="00EA30DB" w:rsidRDefault="00295189">
      <w:pPr>
        <w:spacing w:after="0" w:line="259" w:lineRule="auto"/>
        <w:ind w:right="22"/>
        <w:jc w:val="center"/>
      </w:pPr>
      <w:r>
        <w:rPr>
          <w:b/>
          <w:i/>
          <w:sz w:val="28"/>
        </w:rPr>
        <w:lastRenderedPageBreak/>
        <w:t>Článek IV.</w:t>
      </w:r>
    </w:p>
    <w:p w14:paraId="06CDB55C" w14:textId="77777777" w:rsidR="00EA30DB" w:rsidRDefault="00295189">
      <w:pPr>
        <w:spacing w:after="52" w:line="259" w:lineRule="auto"/>
        <w:ind w:left="0" w:right="22" w:firstLine="0"/>
        <w:jc w:val="center"/>
      </w:pPr>
      <w:r>
        <w:rPr>
          <w:b/>
          <w:i/>
        </w:rPr>
        <w:t>Závěrečná ustanovení</w:t>
      </w:r>
    </w:p>
    <w:p w14:paraId="1CB334C2" w14:textId="77777777" w:rsidR="00EA30DB" w:rsidRDefault="00295189">
      <w:pPr>
        <w:numPr>
          <w:ilvl w:val="0"/>
          <w:numId w:val="3"/>
        </w:numPr>
        <w:ind w:right="17" w:hanging="400"/>
      </w:pPr>
      <w:r>
        <w:t>Tento dodatek nabývá platnosti dnem jeho podpisu oběma smluvními stranami a účinnosti dnem</w:t>
      </w:r>
    </w:p>
    <w:p w14:paraId="21FBC202" w14:textId="77777777" w:rsidR="00EA30DB" w:rsidRDefault="00295189">
      <w:pPr>
        <w:spacing w:after="52" w:line="259" w:lineRule="auto"/>
        <w:ind w:left="410"/>
      </w:pPr>
      <w:r>
        <w:rPr>
          <w:b/>
        </w:rPr>
        <w:t>01.08.2025</w:t>
      </w:r>
      <w:r>
        <w:t>.</w:t>
      </w:r>
    </w:p>
    <w:p w14:paraId="524E7DCC" w14:textId="77777777" w:rsidR="00EA30DB" w:rsidRDefault="00295189">
      <w:pPr>
        <w:numPr>
          <w:ilvl w:val="0"/>
          <w:numId w:val="3"/>
        </w:numPr>
        <w:spacing w:after="0" w:line="320" w:lineRule="auto"/>
        <w:ind w:right="17" w:hanging="400"/>
      </w:pPr>
      <w:r>
        <w:t xml:space="preserve">Ostatní ustanovení pojistné </w:t>
      </w:r>
      <w:proofErr w:type="gramStart"/>
      <w:r>
        <w:t>smlouvy,</w:t>
      </w:r>
      <w:proofErr w:type="gramEnd"/>
      <w:r>
        <w:t xml:space="preserve"> než ustanovení výslovně zmíněná v tomto dodatku, se tímto dodatkem nijak nemění.</w:t>
      </w:r>
    </w:p>
    <w:p w14:paraId="283CE85B" w14:textId="77777777" w:rsidR="00EA30DB" w:rsidRDefault="00295189">
      <w:pPr>
        <w:numPr>
          <w:ilvl w:val="0"/>
          <w:numId w:val="3"/>
        </w:numPr>
        <w:ind w:right="17" w:hanging="400"/>
      </w:pPr>
      <w:r>
        <w:t>Správce pojistné smlouvy: Petr Pšenička, tel.: M*/734537012, petr.psenicka@obchod.csobpoj.cz</w:t>
      </w:r>
    </w:p>
    <w:p w14:paraId="43AABE74" w14:textId="77777777" w:rsidR="00EA30DB" w:rsidRDefault="00295189">
      <w:pPr>
        <w:numPr>
          <w:ilvl w:val="0"/>
          <w:numId w:val="3"/>
        </w:numPr>
        <w:ind w:right="17" w:hanging="400"/>
      </w:pPr>
      <w:r>
        <w:t>Počet stran dodatku pojistné smlouvy bez příloh: 6</w:t>
      </w:r>
    </w:p>
    <w:p w14:paraId="0859485A" w14:textId="77777777" w:rsidR="00EA30DB" w:rsidRDefault="00295189">
      <w:pPr>
        <w:numPr>
          <w:ilvl w:val="0"/>
          <w:numId w:val="3"/>
        </w:numPr>
        <w:spacing w:line="320" w:lineRule="auto"/>
        <w:ind w:right="17" w:hanging="400"/>
      </w:pPr>
      <w:r>
        <w:t>Tento dodatek pojistné smlouvy je vyhotoven ve dvou stejnopisech shodné právní síly, z nichž jeden obdrží pojistník a druhý pojistitel.</w:t>
      </w:r>
    </w:p>
    <w:p w14:paraId="643960DC" w14:textId="77777777" w:rsidR="00EA30DB" w:rsidRDefault="00295189">
      <w:pPr>
        <w:numPr>
          <w:ilvl w:val="0"/>
          <w:numId w:val="3"/>
        </w:numPr>
        <w:spacing w:after="66" w:line="315" w:lineRule="auto"/>
        <w:ind w:right="17" w:hanging="400"/>
      </w:pPr>
      <w:r>
        <w:t>Smluvní strany tohoto dodatku po jeho důkladném přečtení výslovně prohlašují, že si tento dodatek přečetly, že jej uzavírají podle své pravé a svobodné vůle, určitě, vážně a srozumitelně, nikoliv v tísni či za nápadně nevýhodných podmínek a že s jeho obsahem souhlasí. Na důkaz toho připojují</w:t>
      </w:r>
    </w:p>
    <w:p w14:paraId="32E881BB" w14:textId="1CC5B0A3" w:rsidR="00295189" w:rsidRDefault="00295189">
      <w:pPr>
        <w:tabs>
          <w:tab w:val="center" w:pos="2650"/>
        </w:tabs>
        <w:spacing w:after="1407"/>
        <w:ind w:left="0" w:firstLine="0"/>
      </w:pPr>
      <w:r>
        <w:rPr>
          <w:sz w:val="37"/>
          <w:vertAlign w:val="subscript"/>
        </w:rPr>
        <w:t xml:space="preserve"> </w:t>
      </w:r>
      <w:r>
        <w:rPr>
          <w:sz w:val="37"/>
          <w:vertAlign w:val="subscript"/>
        </w:rPr>
        <w:tab/>
      </w:r>
      <w:r>
        <w:t>vlastnoruční podpisy svých oprávněných zástupců.</w:t>
      </w:r>
    </w:p>
    <w:p w14:paraId="569EF00C" w14:textId="2E521591" w:rsidR="00295189" w:rsidRDefault="00295189">
      <w:pPr>
        <w:tabs>
          <w:tab w:val="center" w:pos="2650"/>
        </w:tabs>
        <w:spacing w:after="1407"/>
        <w:ind w:left="0" w:firstLine="0"/>
      </w:pPr>
      <w:r>
        <w:t>Znění této smlouvy schválila Rada města Kaplice dne 13.8.2025 pod č. usnesení 2014</w:t>
      </w:r>
    </w:p>
    <w:p w14:paraId="79AF3EBC" w14:textId="0E0EB200" w:rsidR="00EA30DB" w:rsidRDefault="00295189">
      <w:pPr>
        <w:tabs>
          <w:tab w:val="center" w:pos="2390"/>
          <w:tab w:val="center" w:pos="7150"/>
        </w:tabs>
        <w:spacing w:after="1464" w:line="265" w:lineRule="auto"/>
        <w:ind w:left="0" w:firstLine="0"/>
      </w:pPr>
      <w:r>
        <w:rPr>
          <w:rFonts w:ascii="Calibri" w:eastAsia="Calibri" w:hAnsi="Calibri" w:cs="Calibri"/>
          <w:sz w:val="22"/>
        </w:rPr>
        <w:tab/>
      </w:r>
      <w:r>
        <w:t>V</w:t>
      </w:r>
      <w:r>
        <w:rPr>
          <w:sz w:val="24"/>
        </w:rPr>
        <w:t>...............................................</w:t>
      </w:r>
      <w:r>
        <w:t>dne</w:t>
      </w:r>
      <w:r>
        <w:rPr>
          <w:sz w:val="24"/>
        </w:rPr>
        <w:t>..........</w:t>
      </w:r>
      <w:r>
        <w:rPr>
          <w:sz w:val="24"/>
        </w:rPr>
        <w:tab/>
      </w:r>
      <w:r>
        <w:t>V</w:t>
      </w:r>
      <w:r>
        <w:rPr>
          <w:sz w:val="24"/>
        </w:rPr>
        <w:t> </w:t>
      </w:r>
      <w:r w:rsidRPr="00295189">
        <w:rPr>
          <w:szCs w:val="20"/>
        </w:rPr>
        <w:t>Kaplici</w:t>
      </w:r>
      <w:r>
        <w:rPr>
          <w:szCs w:val="20"/>
        </w:rPr>
        <w:t xml:space="preserve"> </w:t>
      </w:r>
      <w:r>
        <w:t>dne</w:t>
      </w:r>
      <w:r>
        <w:rPr>
          <w:sz w:val="24"/>
        </w:rPr>
        <w:t>.</w:t>
      </w:r>
      <w:r w:rsidRPr="00295189">
        <w:rPr>
          <w:szCs w:val="20"/>
        </w:rPr>
        <w:t>20.8.2025</w:t>
      </w:r>
    </w:p>
    <w:p w14:paraId="5306ABFB" w14:textId="77777777" w:rsidR="00EA30DB" w:rsidRDefault="00295189">
      <w:pPr>
        <w:tabs>
          <w:tab w:val="center" w:pos="2390"/>
          <w:tab w:val="center" w:pos="7150"/>
        </w:tabs>
        <w:spacing w:after="3" w:line="265" w:lineRule="auto"/>
        <w:ind w:left="0" w:firstLine="0"/>
      </w:pPr>
      <w:r>
        <w:rPr>
          <w:rFonts w:ascii="Calibri" w:eastAsia="Calibri" w:hAnsi="Calibri" w:cs="Calibri"/>
          <w:sz w:val="22"/>
        </w:rPr>
        <w:tab/>
      </w:r>
      <w:r>
        <w:rPr>
          <w:sz w:val="24"/>
        </w:rPr>
        <w:t>......................................................</w:t>
      </w:r>
      <w:r>
        <w:rPr>
          <w:sz w:val="24"/>
        </w:rPr>
        <w:tab/>
        <w:t>......................................................</w:t>
      </w:r>
    </w:p>
    <w:p w14:paraId="4200956C" w14:textId="77777777" w:rsidR="00EA30DB" w:rsidRDefault="00295189">
      <w:pPr>
        <w:tabs>
          <w:tab w:val="center" w:pos="7150"/>
        </w:tabs>
        <w:ind w:left="0" w:firstLine="0"/>
      </w:pPr>
      <w:r>
        <w:t>jméno, příjmení a podpis osoby pověřené pojistitelem</w:t>
      </w:r>
      <w:r>
        <w:tab/>
        <w:t>razítko a podpis pojistníka</w:t>
      </w:r>
    </w:p>
    <w:p w14:paraId="2B7136E3" w14:textId="78EA2180" w:rsidR="00EA30DB" w:rsidRDefault="00295189">
      <w:pPr>
        <w:ind w:left="1167" w:right="17"/>
      </w:pPr>
      <w:r>
        <w:t>uzavřením pojistné smlouvy                                           Mgr. Libor Lukš starosta</w:t>
      </w:r>
    </w:p>
    <w:sectPr w:rsidR="00EA30DB">
      <w:headerReference w:type="even" r:id="rId7"/>
      <w:headerReference w:type="default" r:id="rId8"/>
      <w:footerReference w:type="even" r:id="rId9"/>
      <w:footerReference w:type="default" r:id="rId10"/>
      <w:headerReference w:type="first" r:id="rId11"/>
      <w:footerReference w:type="first" r:id="rId12"/>
      <w:pgSz w:w="11900" w:h="16840"/>
      <w:pgMar w:top="879" w:right="1158" w:bottom="2248" w:left="1180" w:header="708" w:footer="154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2389F" w14:textId="77777777" w:rsidR="0014041F" w:rsidRDefault="0014041F">
      <w:pPr>
        <w:spacing w:after="0" w:line="240" w:lineRule="auto"/>
      </w:pPr>
      <w:r>
        <w:separator/>
      </w:r>
    </w:p>
  </w:endnote>
  <w:endnote w:type="continuationSeparator" w:id="0">
    <w:p w14:paraId="79D49B9A" w14:textId="77777777" w:rsidR="0014041F" w:rsidRDefault="001404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3B2C4" w14:textId="77777777" w:rsidR="00EA30DB" w:rsidRDefault="00295189">
    <w:pPr>
      <w:spacing w:after="0" w:line="259" w:lineRule="auto"/>
      <w:ind w:left="0" w:right="22" w:firstLine="0"/>
      <w:jc w:val="center"/>
    </w:pPr>
    <w:r>
      <w:rPr>
        <w:sz w:val="16"/>
      </w:rPr>
      <w:t xml:space="preserve">strana </w:t>
    </w:r>
    <w:r>
      <w:fldChar w:fldCharType="begin"/>
    </w:r>
    <w:r>
      <w:instrText xml:space="preserve"> PAGE   \* MERGEFORMAT </w:instrText>
    </w:r>
    <w:r>
      <w:fldChar w:fldCharType="separate"/>
    </w:r>
    <w:r>
      <w:rPr>
        <w:sz w:val="16"/>
      </w:rPr>
      <w:t>1</w:t>
    </w:r>
    <w:r>
      <w:rPr>
        <w:sz w:val="16"/>
      </w:rPr>
      <w:fldChar w:fldCharType="end"/>
    </w:r>
    <w:r>
      <w:rPr>
        <w:sz w:val="16"/>
      </w:rPr>
      <w:t xml:space="preserve"> z celkem </w:t>
    </w:r>
    <w:fldSimple w:instr=" NUMPAGES   \* MERGEFORMAT ">
      <w:r>
        <w:rPr>
          <w:sz w:val="16"/>
        </w:rP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2D3C6" w14:textId="77777777" w:rsidR="00EA30DB" w:rsidRDefault="00295189">
    <w:pPr>
      <w:spacing w:after="0" w:line="259" w:lineRule="auto"/>
      <w:ind w:left="0" w:right="22" w:firstLine="0"/>
      <w:jc w:val="center"/>
    </w:pPr>
    <w:r>
      <w:rPr>
        <w:sz w:val="16"/>
      </w:rPr>
      <w:t xml:space="preserve">strana </w:t>
    </w:r>
    <w:r>
      <w:fldChar w:fldCharType="begin"/>
    </w:r>
    <w:r>
      <w:instrText xml:space="preserve"> PAGE   \* MERGEFORMAT </w:instrText>
    </w:r>
    <w:r>
      <w:fldChar w:fldCharType="separate"/>
    </w:r>
    <w:r>
      <w:rPr>
        <w:sz w:val="16"/>
      </w:rPr>
      <w:t>1</w:t>
    </w:r>
    <w:r>
      <w:rPr>
        <w:sz w:val="16"/>
      </w:rPr>
      <w:fldChar w:fldCharType="end"/>
    </w:r>
    <w:r>
      <w:rPr>
        <w:sz w:val="16"/>
      </w:rPr>
      <w:t xml:space="preserve"> z celkem </w:t>
    </w:r>
    <w:fldSimple w:instr=" NUMPAGES   \* MERGEFORMAT ">
      <w:r>
        <w:rPr>
          <w:sz w:val="16"/>
        </w:rPr>
        <w:t>6</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55A0" w14:textId="77777777" w:rsidR="00EA30DB" w:rsidRDefault="00295189">
    <w:pPr>
      <w:spacing w:after="0" w:line="259" w:lineRule="auto"/>
      <w:ind w:left="0" w:right="22" w:firstLine="0"/>
      <w:jc w:val="center"/>
    </w:pPr>
    <w:r>
      <w:rPr>
        <w:sz w:val="16"/>
      </w:rPr>
      <w:t xml:space="preserve">strana </w:t>
    </w:r>
    <w:r>
      <w:fldChar w:fldCharType="begin"/>
    </w:r>
    <w:r>
      <w:instrText xml:space="preserve"> PAGE   \* MERGEFORMAT </w:instrText>
    </w:r>
    <w:r>
      <w:fldChar w:fldCharType="separate"/>
    </w:r>
    <w:r>
      <w:rPr>
        <w:sz w:val="16"/>
      </w:rPr>
      <w:t>1</w:t>
    </w:r>
    <w:r>
      <w:rPr>
        <w:sz w:val="16"/>
      </w:rPr>
      <w:fldChar w:fldCharType="end"/>
    </w:r>
    <w:r>
      <w:rPr>
        <w:sz w:val="16"/>
      </w:rPr>
      <w:t xml:space="preserve"> z celkem </w:t>
    </w:r>
    <w:fldSimple w:instr=" NUMPAGES   \* MERGEFORMAT ">
      <w:r>
        <w:rPr>
          <w:sz w:val="16"/>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DC8FF" w14:textId="77777777" w:rsidR="0014041F" w:rsidRDefault="0014041F">
      <w:pPr>
        <w:spacing w:after="0" w:line="240" w:lineRule="auto"/>
      </w:pPr>
      <w:r>
        <w:separator/>
      </w:r>
    </w:p>
  </w:footnote>
  <w:footnote w:type="continuationSeparator" w:id="0">
    <w:p w14:paraId="1ECB5050" w14:textId="77777777" w:rsidR="0014041F" w:rsidRDefault="001404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0D7C5" w14:textId="77777777" w:rsidR="00EA30DB" w:rsidRDefault="00295189">
    <w:pPr>
      <w:spacing w:after="0" w:line="259" w:lineRule="auto"/>
      <w:ind w:left="0" w:firstLine="0"/>
    </w:pPr>
    <w:r>
      <w:rPr>
        <w:sz w:val="16"/>
      </w:rPr>
      <w:t>Číslo pojistné smlouvy: 8050895513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55E9" w14:textId="77777777" w:rsidR="00EA30DB" w:rsidRDefault="00295189">
    <w:pPr>
      <w:spacing w:after="0" w:line="259" w:lineRule="auto"/>
      <w:ind w:left="0" w:firstLine="0"/>
    </w:pPr>
    <w:r>
      <w:rPr>
        <w:sz w:val="16"/>
      </w:rPr>
      <w:t>Číslo pojistné smlouvy: 8050895513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48F2" w14:textId="77777777" w:rsidR="00EA30DB" w:rsidRDefault="00EA30DB">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50D"/>
    <w:multiLevelType w:val="hybridMultilevel"/>
    <w:tmpl w:val="E38C1F2C"/>
    <w:lvl w:ilvl="0" w:tplc="39BAE794">
      <w:start w:val="1"/>
      <w:numFmt w:val="lowerLetter"/>
      <w:lvlText w:val="%1)"/>
      <w:lvlJc w:val="left"/>
      <w:pPr>
        <w:ind w:left="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546AE2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04AAB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E4A36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DAB2F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4D8F49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7C855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28148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CC62E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7DD4D44"/>
    <w:multiLevelType w:val="hybridMultilevel"/>
    <w:tmpl w:val="EB98CDCA"/>
    <w:lvl w:ilvl="0" w:tplc="76109DC6">
      <w:start w:val="1"/>
      <w:numFmt w:val="decimal"/>
      <w:lvlText w:val="%1."/>
      <w:lvlJc w:val="left"/>
      <w:pPr>
        <w:ind w:left="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A1AEDD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07CAFF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E9876A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78891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9A693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C62C19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8CEF5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66C812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E183D03"/>
    <w:multiLevelType w:val="hybridMultilevel"/>
    <w:tmpl w:val="A0B82408"/>
    <w:lvl w:ilvl="0" w:tplc="8E861B90">
      <w:start w:val="1"/>
      <w:numFmt w:val="bullet"/>
      <w:lvlText w:val="-"/>
      <w:lvlJc w:val="left"/>
      <w:pPr>
        <w:ind w:left="24"/>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E8A54C8">
      <w:start w:val="1"/>
      <w:numFmt w:val="bullet"/>
      <w:lvlText w:val="o"/>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8A8FAF4">
      <w:start w:val="1"/>
      <w:numFmt w:val="bullet"/>
      <w:lvlText w:val="▪"/>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5F81732">
      <w:start w:val="1"/>
      <w:numFmt w:val="bullet"/>
      <w:lvlText w:val="•"/>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9F4FFC2">
      <w:start w:val="1"/>
      <w:numFmt w:val="bullet"/>
      <w:lvlText w:val="o"/>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30E611E">
      <w:start w:val="1"/>
      <w:numFmt w:val="bullet"/>
      <w:lvlText w:val="▪"/>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7109C0A">
      <w:start w:val="1"/>
      <w:numFmt w:val="bullet"/>
      <w:lvlText w:val="•"/>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3D8AF98">
      <w:start w:val="1"/>
      <w:numFmt w:val="bullet"/>
      <w:lvlText w:val="o"/>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2A4BFE0">
      <w:start w:val="1"/>
      <w:numFmt w:val="bullet"/>
      <w:lvlText w:val="▪"/>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16cid:durableId="1282420539">
    <w:abstractNumId w:val="2"/>
  </w:num>
  <w:num w:numId="2" w16cid:durableId="906306602">
    <w:abstractNumId w:val="0"/>
  </w:num>
  <w:num w:numId="3" w16cid:durableId="737870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0DB"/>
    <w:rsid w:val="0014041F"/>
    <w:rsid w:val="00295189"/>
    <w:rsid w:val="005743A9"/>
    <w:rsid w:val="005952E7"/>
    <w:rsid w:val="00820339"/>
    <w:rsid w:val="00B937CD"/>
    <w:rsid w:val="00C77656"/>
    <w:rsid w:val="00C92D81"/>
    <w:rsid w:val="00CA54BA"/>
    <w:rsid w:val="00EA30DB"/>
    <w:rsid w:val="00EA53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FC954"/>
  <w15:docId w15:val="{514A0CEB-7184-4F30-A0DA-4A7FF41EF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42" w:line="267" w:lineRule="auto"/>
      <w:ind w:left="10" w:hanging="10"/>
    </w:pPr>
    <w:rPr>
      <w:rFonts w:ascii="Arial" w:eastAsia="Arial" w:hAnsi="Arial" w:cs="Arial"/>
      <w:color w:val="000000"/>
      <w:sz w:val="20"/>
    </w:rPr>
  </w:style>
  <w:style w:type="paragraph" w:styleId="Nadpis1">
    <w:name w:val="heading 1"/>
    <w:next w:val="Normln"/>
    <w:link w:val="Nadpis1Char"/>
    <w:uiPriority w:val="9"/>
    <w:qFormat/>
    <w:pPr>
      <w:keepNext/>
      <w:keepLines/>
      <w:spacing w:after="57" w:line="259" w:lineRule="auto"/>
      <w:ind w:left="10" w:hanging="10"/>
      <w:outlineLvl w:val="0"/>
    </w:pPr>
    <w:rPr>
      <w:rFonts w:ascii="Arial" w:eastAsia="Arial" w:hAnsi="Arial" w:cs="Arial"/>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1836</Words>
  <Characters>10837</Characters>
  <Application>Microsoft Office Word</Application>
  <DocSecurity>0</DocSecurity>
  <Lines>90</Lines>
  <Paragraphs>25</Paragraphs>
  <ScaleCrop>false</ScaleCrop>
  <Company/>
  <LinksUpToDate>false</LinksUpToDate>
  <CharactersWithSpaces>12648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Komenda</dc:creator>
  <cp:keywords/>
  <cp:lastModifiedBy>Aleš Komenda</cp:lastModifiedBy>
  <cp:revision>7</cp:revision>
  <dcterms:created xsi:type="dcterms:W3CDTF">2025-08-20T12:00:00Z</dcterms:created>
  <dcterms:modified xsi:type="dcterms:W3CDTF">2025-08-20T12:12:00Z</dcterms:modified>
</cp:coreProperties>
</file>