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v souladu s § 2586 a násl. zákona č. 89/2012 Sb., občanského zákoníku, ve znění pozdějších předpisů (dále jen „občanský zákoník“), (dále jen „smlouva“)</w:t>
      </w:r>
    </w:p>
    <w:p>
      <w:pPr>
        <w:pStyle w:val="Style5"/>
        <w:keepNext w:val="0"/>
        <w:keepLines w:val="0"/>
        <w:widowControl w:val="0"/>
        <w:shd w:val="clear" w:color="auto" w:fill="auto"/>
        <w:tabs>
          <w:tab w:pos="3466"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Číslo smlouvy zhotovitele:</w:t>
        <w:tab/>
        <w:t>25110368000-01</w:t>
      </w:r>
    </w:p>
    <w:p>
      <w:pPr>
        <w:pStyle w:val="Style5"/>
        <w:keepNext w:val="0"/>
        <w:keepLines w:val="0"/>
        <w:widowControl w:val="0"/>
        <w:shd w:val="clear" w:color="auto" w:fill="auto"/>
        <w:tabs>
          <w:tab w:pos="3466" w:val="left"/>
        </w:tabs>
        <w:bidi w:val="0"/>
        <w:spacing w:before="0" w:after="180" w:line="240" w:lineRule="auto"/>
        <w:ind w:left="0" w:right="0" w:firstLine="0"/>
        <w:jc w:val="left"/>
      </w:pPr>
      <w:r>
        <w:rPr>
          <w:b/>
          <w:bCs/>
          <w:color w:val="000000"/>
          <w:spacing w:val="0"/>
          <w:w w:val="100"/>
          <w:position w:val="0"/>
          <w:shd w:val="clear" w:color="auto" w:fill="auto"/>
          <w:lang w:val="cs-CZ" w:eastAsia="cs-CZ" w:bidi="cs-CZ"/>
        </w:rPr>
        <w:t>Číslo smlouvy objednatele:</w:t>
        <w:tab/>
        <w:t>829/2025</w:t>
      </w:r>
    </w:p>
    <w:p>
      <w:pPr>
        <w:pStyle w:val="Style2"/>
        <w:keepNext/>
        <w:keepLines/>
        <w:widowControl w:val="0"/>
        <w:shd w:val="clear" w:color="auto" w:fill="auto"/>
        <w:bidi w:val="0"/>
        <w:spacing w:before="0" w:after="0" w:line="240" w:lineRule="auto"/>
        <w:ind w:left="1440" w:right="0" w:hanging="1440"/>
        <w:jc w:val="left"/>
        <w:rPr>
          <w:sz w:val="24"/>
          <w:szCs w:val="24"/>
        </w:rPr>
      </w:pPr>
      <w:bookmarkStart w:id="3" w:name="bookmark3"/>
      <w:bookmarkStart w:id="4" w:name="bookmark4"/>
      <w:bookmarkStart w:id="5" w:name="bookmark5"/>
      <w:r>
        <w:rPr>
          <w:b/>
          <w:bCs/>
          <w:color w:val="000000"/>
          <w:spacing w:val="0"/>
          <w:w w:val="100"/>
          <w:position w:val="0"/>
          <w:sz w:val="22"/>
          <w:szCs w:val="22"/>
          <w:shd w:val="clear" w:color="auto" w:fill="auto"/>
          <w:lang w:val="cs-CZ" w:eastAsia="cs-CZ" w:bidi="cs-CZ"/>
        </w:rPr>
        <w:t xml:space="preserve">Název díla: </w:t>
      </w:r>
      <w:r>
        <w:rPr>
          <w:b/>
          <w:bCs/>
          <w:color w:val="000000"/>
          <w:spacing w:val="0"/>
          <w:w w:val="100"/>
          <w:position w:val="0"/>
          <w:sz w:val="24"/>
          <w:szCs w:val="24"/>
          <w:shd w:val="clear" w:color="auto" w:fill="auto"/>
          <w:lang w:val="cs-CZ" w:eastAsia="cs-CZ" w:bidi="cs-CZ"/>
        </w:rPr>
        <w:t>Geofyzikální průzkumné práce v rámci sledování revitalizovaného úseku Bíliny po Ervěnickém koridoru</w:t>
      </w:r>
      <w:bookmarkEnd w:id="3"/>
      <w:bookmarkEnd w:id="4"/>
      <w:bookmarkEnd w:id="5"/>
    </w:p>
    <w:p>
      <w:pPr>
        <w:widowControl w:val="0"/>
        <w:spacing w:line="1" w:lineRule="exact"/>
        <w:sectPr>
          <w:headerReference w:type="default" r:id="rId5"/>
          <w:footerReference w:type="default" r:id="rId6"/>
          <w:footnotePr>
            <w:pos w:val="pageBottom"/>
            <w:numFmt w:val="decimal"/>
            <w:numRestart w:val="continuous"/>
          </w:footnotePr>
          <w:pgSz w:w="11909" w:h="16838"/>
          <w:pgMar w:top="1358" w:left="1413" w:right="1461" w:bottom="1675" w:header="0" w:footer="3" w:gutter="0"/>
          <w:pgNumType w:start="1"/>
          <w:cols w:space="720"/>
          <w:noEndnote/>
          <w:rtlGutter w:val="0"/>
          <w:docGrid w:linePitch="360"/>
        </w:sectPr>
      </w:pPr>
      <w:r>
        <mc:AlternateContent>
          <mc:Choice Requires="wps">
            <w:drawing>
              <wp:anchor distT="101600" distB="0" distL="0" distR="0" simplePos="0" relativeHeight="125829378" behindDoc="0" locked="0" layoutInCell="1" allowOverlap="1">
                <wp:simplePos x="0" y="0"/>
                <wp:positionH relativeFrom="page">
                  <wp:posOffset>897255</wp:posOffset>
                </wp:positionH>
                <wp:positionV relativeFrom="paragraph">
                  <wp:posOffset>101600</wp:posOffset>
                </wp:positionV>
                <wp:extent cx="2404745" cy="4425950"/>
                <wp:wrapTopAndBottom/>
                <wp:docPr id="5" name="Shape 5"/>
                <a:graphic xmlns:a="http://schemas.openxmlformats.org/drawingml/2006/main">
                  <a:graphicData uri="http://schemas.microsoft.com/office/word/2010/wordprocessingShape">
                    <wps:wsp>
                      <wps:cNvSpPr txBox="1"/>
                      <wps:spPr>
                        <a:xfrm>
                          <a:ext cx="2404745" cy="4425950"/>
                        </a:xfrm>
                        <a:prstGeom prst="rect"/>
                        <a:noFill/>
                      </wps:spPr>
                      <wps:txbx>
                        <w:txbxContent>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b/>
                                <w:bCs/>
                                <w:color w:val="000000"/>
                                <w:spacing w:val="0"/>
                                <w:w w:val="100"/>
                                <w:position w:val="0"/>
                                <w:shd w:val="clear" w:color="auto" w:fill="auto"/>
                                <w:lang w:val="cs-CZ" w:eastAsia="cs-CZ" w:bidi="cs-CZ"/>
                              </w:rPr>
                              <w:t>SMLUVNÍ STRAN Y:</w:t>
                            </w:r>
                            <w:bookmarkEnd w:id="0"/>
                            <w:bookmarkEnd w:id="1"/>
                            <w:bookmarkEnd w:id="2"/>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statutární orgán</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zást. ve věc. smluvních a technických: zástupce ve věcech technických:</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DIČ: bankovní spojení: číslo účtu: bankovní spojení: číslo účtu: zápis v obchodním rejstříku:</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(dále jen „objednatel“)</w:t>
                            </w:r>
                          </w:p>
                          <w:p>
                            <w:pPr>
                              <w:pStyle w:val="Style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a</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sídlo: doručovací adresa: zastoupený: zástupce ve věcech smluvních: zástupce ve věcech technických:</w:t>
                            </w:r>
                          </w:p>
                        </w:txbxContent>
                      </wps:txbx>
                      <wps:bodyPr lIns="0" tIns="0" rIns="0" bIns="0">
                        <a:noAutoFit/>
                      </wps:bodyPr>
                    </wps:wsp>
                  </a:graphicData>
                </a:graphic>
              </wp:anchor>
            </w:drawing>
          </mc:Choice>
          <mc:Fallback>
            <w:pict>
              <v:shape id="_x0000_s1031" type="#_x0000_t202" style="position:absolute;margin-left:70.650000000000006pt;margin-top:8.pt;width:189.34999999999999pt;height:348.5pt;z-index:-125829375;mso-wrap-distance-left:0;mso-wrap-distance-top:8.pt;mso-wrap-distance-right:0;mso-position-horizontal-relative:page" filled="f" stroked="f">
                <v:textbox inset="0,0,0,0">
                  <w:txbxContent>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b/>
                          <w:bCs/>
                          <w:color w:val="000000"/>
                          <w:spacing w:val="0"/>
                          <w:w w:val="100"/>
                          <w:position w:val="0"/>
                          <w:shd w:val="clear" w:color="auto" w:fill="auto"/>
                          <w:lang w:val="cs-CZ" w:eastAsia="cs-CZ" w:bidi="cs-CZ"/>
                        </w:rPr>
                        <w:t>SMLUVNÍ STRAN Y:</w:t>
                      </w:r>
                      <w:bookmarkEnd w:id="0"/>
                      <w:bookmarkEnd w:id="1"/>
                      <w:bookmarkEnd w:id="2"/>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statutární orgán</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zást. ve věc. smluvních a technických: zástupce ve věcech technických:</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DIČ: bankovní spojení: číslo účtu: bankovní spojení: číslo účtu: zápis v obchodním rejstříku:</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(dále jen „objednatel“)</w:t>
                      </w:r>
                    </w:p>
                    <w:p>
                      <w:pPr>
                        <w:pStyle w:val="Style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a</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sídlo: doručovací adresa: zastoupený: zástupce ve věcech smluvních: zástupce ve věcech technických:</w:t>
                      </w:r>
                    </w:p>
                  </w:txbxContent>
                </v:textbox>
                <w10:wrap type="topAndBottom" anchorx="page"/>
              </v:shape>
            </w:pict>
          </mc:Fallback>
        </mc:AlternateContent>
      </w:r>
      <w:r>
        <mc:AlternateContent>
          <mc:Choice Requires="wps">
            <w:drawing>
              <wp:anchor distT="455295" distB="3682365" distL="0" distR="0" simplePos="0" relativeHeight="125829380" behindDoc="0" locked="0" layoutInCell="1" allowOverlap="1">
                <wp:simplePos x="0" y="0"/>
                <wp:positionH relativeFrom="page">
                  <wp:posOffset>3411855</wp:posOffset>
                </wp:positionH>
                <wp:positionV relativeFrom="paragraph">
                  <wp:posOffset>455295</wp:posOffset>
                </wp:positionV>
                <wp:extent cx="2228215" cy="389890"/>
                <wp:wrapTopAndBottom/>
                <wp:docPr id="7" name="Shape 7"/>
                <a:graphic xmlns:a="http://schemas.openxmlformats.org/drawingml/2006/main">
                  <a:graphicData uri="http://schemas.microsoft.com/office/word/2010/wordprocessingShape">
                    <wps:wsp>
                      <wps:cNvSpPr txBox="1"/>
                      <wps:spPr>
                        <a:xfrm>
                          <a:ext cx="2228215" cy="3898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3" type="#_x0000_t202" style="position:absolute;margin-left:268.64999999999998pt;margin-top:35.850000000000001pt;width:175.45000000000002pt;height:30.699999999999999pt;z-index:-125829373;mso-wrap-distance-left:0;mso-wrap-distance-top:35.850000000000001pt;mso-wrap-distance-right:0;mso-wrap-distance-bottom:289.94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r>
        <mc:AlternateContent>
          <mc:Choice Requires="wps">
            <w:drawing>
              <wp:anchor distT="1466850" distB="2694940" distL="0" distR="0" simplePos="0" relativeHeight="125829382" behindDoc="0" locked="0" layoutInCell="1" allowOverlap="1">
                <wp:simplePos x="0" y="0"/>
                <wp:positionH relativeFrom="page">
                  <wp:posOffset>3430270</wp:posOffset>
                </wp:positionH>
                <wp:positionV relativeFrom="paragraph">
                  <wp:posOffset>1466850</wp:posOffset>
                </wp:positionV>
                <wp:extent cx="819785" cy="365760"/>
                <wp:wrapTopAndBottom/>
                <wp:docPr id="9" name="Shape 9"/>
                <a:graphic xmlns:a="http://schemas.openxmlformats.org/drawingml/2006/main">
                  <a:graphicData uri="http://schemas.microsoft.com/office/word/2010/wordprocessingShape">
                    <wps:wsp>
                      <wps:cNvSpPr txBox="1"/>
                      <wps:spPr>
                        <a:xfrm>
                          <a:ext cx="819785" cy="3657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5" type="#_x0000_t202" style="position:absolute;margin-left:270.10000000000002pt;margin-top:115.5pt;width:64.549999999999997pt;height:28.800000000000001pt;z-index:-125829371;mso-wrap-distance-left:0;mso-wrap-distance-top:115.5pt;mso-wrap-distance-right:0;mso-wrap-distance-bottom:212.20000000000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topAndBottom" anchorx="page"/>
              </v:shape>
            </w:pict>
          </mc:Fallback>
        </mc:AlternateContent>
      </w:r>
      <w:r>
        <mc:AlternateContent>
          <mc:Choice Requires="wps">
            <w:drawing>
              <wp:anchor distT="2414905" distB="1725295" distL="0" distR="0" simplePos="0" relativeHeight="125829384" behindDoc="0" locked="0" layoutInCell="1" allowOverlap="1">
                <wp:simplePos x="0" y="0"/>
                <wp:positionH relativeFrom="page">
                  <wp:posOffset>3411855</wp:posOffset>
                </wp:positionH>
                <wp:positionV relativeFrom="paragraph">
                  <wp:posOffset>2414905</wp:posOffset>
                </wp:positionV>
                <wp:extent cx="2956560" cy="387350"/>
                <wp:wrapTopAndBottom/>
                <wp:docPr id="11" name="Shape 11"/>
                <a:graphic xmlns:a="http://schemas.openxmlformats.org/drawingml/2006/main">
                  <a:graphicData uri="http://schemas.microsoft.com/office/word/2010/wordprocessingShape">
                    <wps:wsp>
                      <wps:cNvSpPr txBox="1"/>
                      <wps:spPr>
                        <a:xfrm>
                          <a:ext cx="2956560"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7" type="#_x0000_t202" style="position:absolute;margin-left:268.64999999999998pt;margin-top:190.15000000000001pt;width:232.80000000000001pt;height:30.5pt;z-index:-125829369;mso-wrap-distance-left:0;mso-wrap-distance-top:190.15000000000001pt;mso-wrap-distance-right:0;mso-wrap-distance-bottom:135.84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r>
        <mc:AlternateContent>
          <mc:Choice Requires="wps">
            <w:drawing>
              <wp:anchor distT="3435985" distB="512445" distL="0" distR="0" simplePos="0" relativeHeight="125829386" behindDoc="0" locked="0" layoutInCell="1" allowOverlap="1">
                <wp:simplePos x="0" y="0"/>
                <wp:positionH relativeFrom="page">
                  <wp:posOffset>3411855</wp:posOffset>
                </wp:positionH>
                <wp:positionV relativeFrom="paragraph">
                  <wp:posOffset>3435985</wp:posOffset>
                </wp:positionV>
                <wp:extent cx="2374265" cy="579120"/>
                <wp:wrapTopAndBottom/>
                <wp:docPr id="13" name="Shape 13"/>
                <a:graphic xmlns:a="http://schemas.openxmlformats.org/drawingml/2006/main">
                  <a:graphicData uri="http://schemas.microsoft.com/office/word/2010/wordprocessingShape">
                    <wps:wsp>
                      <wps:cNvSpPr txBox="1"/>
                      <wps:spPr>
                        <a:xfrm>
                          <a:ext cx="2374265" cy="579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INSET s.r.o.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Lucemburská 1170/7, 130 00 Praha 3</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Lucemburská 1170/7, 130 00 Praha 3</w:t>
                            </w:r>
                          </w:p>
                        </w:txbxContent>
                      </wps:txbx>
                      <wps:bodyPr lIns="0" tIns="0" rIns="0" bIns="0">
                        <a:noAutoFit/>
                      </wps:bodyPr>
                    </wps:wsp>
                  </a:graphicData>
                </a:graphic>
              </wp:anchor>
            </w:drawing>
          </mc:Choice>
          <mc:Fallback>
            <w:pict>
              <v:shape id="_x0000_s1039" type="#_x0000_t202" style="position:absolute;margin-left:268.64999999999998pt;margin-top:270.55000000000001pt;width:186.95000000000002pt;height:45.600000000000001pt;z-index:-125829367;mso-wrap-distance-left:0;mso-wrap-distance-top:270.55000000000001pt;mso-wrap-distance-right:0;mso-wrap-distance-bottom:40.35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INSET s.r.o.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Lucemburská 1170/7, 130 00 Praha 3</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Lucemburská 1170/7, 130 00 Praha 3</w:t>
                      </w:r>
                    </w:p>
                  </w:txbxContent>
                </v:textbox>
                <w10:wrap type="topAndBottom" anchorx="page"/>
              </v:shape>
            </w:pict>
          </mc:Fallback>
        </mc:AlternateContent>
      </w: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58" w:left="0" w:right="0" w:bottom="1387" w:header="0" w:footer="3" w:gutter="0"/>
          <w:cols w:space="720"/>
          <w:noEndnote/>
          <w:rtlGutter w:val="0"/>
          <w:docGrid w:linePitch="360"/>
        </w:sectPr>
      </w:pPr>
    </w:p>
    <w:p>
      <w:pPr>
        <w:widowControl w:val="0"/>
        <w:spacing w:line="1" w:lineRule="exact"/>
      </w:pPr>
      <w:r>
        <mc:AlternateContent>
          <mc:Choice Requires="wps">
            <w:drawing>
              <wp:anchor distT="0" distB="481330" distL="114300" distR="2174240" simplePos="0" relativeHeight="125829388" behindDoc="0" locked="0" layoutInCell="1" allowOverlap="1">
                <wp:simplePos x="0" y="0"/>
                <wp:positionH relativeFrom="page">
                  <wp:posOffset>3411855</wp:posOffset>
                </wp:positionH>
                <wp:positionV relativeFrom="paragraph">
                  <wp:posOffset>12700</wp:posOffset>
                </wp:positionV>
                <wp:extent cx="844550" cy="387350"/>
                <wp:wrapSquare wrapText="left"/>
                <wp:docPr id="15" name="Shape 15"/>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03579727</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CZ03579727</w:t>
                            </w:r>
                          </w:p>
                        </w:txbxContent>
                      </wps:txbx>
                      <wps:bodyPr lIns="0" tIns="0" rIns="0" bIns="0">
                        <a:noAutoFit/>
                      </wps:bodyPr>
                    </wps:wsp>
                  </a:graphicData>
                </a:graphic>
              </wp:anchor>
            </w:drawing>
          </mc:Choice>
          <mc:Fallback>
            <w:pict>
              <v:shape id="_x0000_s1041" type="#_x0000_t202" style="position:absolute;margin-left:268.64999999999998pt;margin-top:1.pt;width:66.5pt;height:30.5pt;z-index:-125829365;mso-wrap-distance-left:9.pt;mso-wrap-distance-right:171.20000000000002pt;mso-wrap-distance-bottom:37.89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03579727</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CZ03579727</w:t>
                      </w:r>
                    </w:p>
                  </w:txbxContent>
                </v:textbox>
                <w10:wrap type="square" side="left" anchorx="page"/>
              </v:shape>
            </w:pict>
          </mc:Fallback>
        </mc:AlternateContent>
      </w:r>
      <w:r>
        <mc:AlternateContent>
          <mc:Choice Requires="wps">
            <w:drawing>
              <wp:anchor distT="643255" distB="0" distL="120650" distR="113665" simplePos="0" relativeHeight="125829390" behindDoc="0" locked="0" layoutInCell="1" allowOverlap="1">
                <wp:simplePos x="0" y="0"/>
                <wp:positionH relativeFrom="page">
                  <wp:posOffset>3418205</wp:posOffset>
                </wp:positionH>
                <wp:positionV relativeFrom="paragraph">
                  <wp:posOffset>655955</wp:posOffset>
                </wp:positionV>
                <wp:extent cx="2898775" cy="225425"/>
                <wp:wrapSquare wrapText="left"/>
                <wp:docPr id="17" name="Shape 17"/>
                <a:graphic xmlns:a="http://schemas.openxmlformats.org/drawingml/2006/main">
                  <a:graphicData uri="http://schemas.microsoft.com/office/word/2010/wordprocessingShape">
                    <wps:wsp>
                      <wps:cNvSpPr txBox="1"/>
                      <wps:spPr>
                        <a:xfrm>
                          <a:ext cx="2898775" cy="2254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234236</w:t>
                            </w:r>
                          </w:p>
                        </w:txbxContent>
                      </wps:txbx>
                      <wps:bodyPr wrap="none" lIns="0" tIns="0" rIns="0" bIns="0">
                        <a:noAutoFit/>
                      </wps:bodyPr>
                    </wps:wsp>
                  </a:graphicData>
                </a:graphic>
              </wp:anchor>
            </w:drawing>
          </mc:Choice>
          <mc:Fallback>
            <w:pict>
              <v:shape id="_x0000_s1043" type="#_x0000_t202" style="position:absolute;margin-left:269.14999999999998pt;margin-top:51.649999999999999pt;width:228.25pt;height:17.75pt;z-index:-125829363;mso-wrap-distance-left:9.5pt;mso-wrap-distance-top:50.649999999999999pt;mso-wrap-distance-right:8.950000000000001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234236</w:t>
                      </w:r>
                    </w:p>
                  </w:txbxContent>
                </v:textbox>
                <w10:wrap type="square" side="left" anchorx="page"/>
              </v:shape>
            </w:pict>
          </mc:Fallback>
        </mc:AlternateConten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5"/>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Toto zmocnění trvá až do písemného odvolání. Změny v zastoupení budou uvedeny v dodatku k této smlouvě.</w:t>
      </w:r>
    </w:p>
    <w:p>
      <w:pPr>
        <w:pStyle w:val="Style2"/>
        <w:keepNext/>
        <w:keepLines/>
        <w:widowControl w:val="0"/>
        <w:shd w:val="clear" w:color="auto" w:fill="auto"/>
        <w:bidi w:val="0"/>
        <w:spacing w:before="0" w:after="320" w:line="240" w:lineRule="auto"/>
        <w:ind w:left="0" w:right="0" w:firstLine="0"/>
        <w:jc w:val="center"/>
      </w:pPr>
      <w:bookmarkStart w:id="6" w:name="bookmark6"/>
      <w:bookmarkStart w:id="7" w:name="bookmark7"/>
      <w:bookmarkStart w:id="8" w:name="bookmark8"/>
      <w:r>
        <w:rPr>
          <w:b/>
          <w:bCs/>
          <w:color w:val="000000"/>
          <w:spacing w:val="0"/>
          <w:w w:val="100"/>
          <w:position w:val="0"/>
          <w:u w:val="single"/>
          <w:shd w:val="clear" w:color="auto" w:fill="auto"/>
          <w:lang w:val="cs-CZ" w:eastAsia="cs-CZ" w:bidi="cs-CZ"/>
        </w:rPr>
        <w:t>Čl. I. PŘEDMĚT DÍLA</w:t>
      </w:r>
      <w:bookmarkEnd w:id="6"/>
      <w:bookmarkEnd w:id="7"/>
      <w:bookmarkEnd w:id="8"/>
    </w:p>
    <w:p>
      <w:pPr>
        <w:pStyle w:val="Style2"/>
        <w:keepNext/>
        <w:keepLines/>
        <w:widowControl w:val="0"/>
        <w:shd w:val="clear" w:color="auto" w:fill="auto"/>
        <w:bidi w:val="0"/>
        <w:spacing w:before="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Geofyzikální průzkumné práce v rámci sledování revitalizovaného úseku Bíliny po</w:t>
        <w:br/>
        <w:t>Ervěnickém koridoru</w:t>
      </w:r>
      <w:bookmarkEnd w:id="10"/>
      <w:bookmarkEnd w:id="11"/>
      <w:bookmarkEnd w:id="9"/>
    </w:p>
    <w:p>
      <w:pPr>
        <w:pStyle w:val="Style2"/>
        <w:keepNext/>
        <w:keepLines/>
        <w:widowControl w:val="0"/>
        <w:shd w:val="clear" w:color="auto" w:fill="auto"/>
        <w:bidi w:val="0"/>
        <w:spacing w:before="0" w:after="300" w:line="240" w:lineRule="auto"/>
        <w:ind w:left="0" w:right="0" w:firstLine="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Předmětem díla je provedení geofyzikálních profilových měření ERT a geodetické práce.</w:t>
      </w:r>
      <w:bookmarkEnd w:id="12"/>
      <w:bookmarkEnd w:id="13"/>
      <w:bookmarkEnd w:id="14"/>
    </w:p>
    <w:p>
      <w:pPr>
        <w:pStyle w:val="Style2"/>
        <w:keepNext/>
        <w:keepLines/>
        <w:widowControl w:val="0"/>
        <w:shd w:val="clear" w:color="auto" w:fill="auto"/>
        <w:bidi w:val="0"/>
        <w:spacing w:before="0" w:line="240" w:lineRule="auto"/>
        <w:ind w:left="0" w:right="0" w:firstLine="0"/>
        <w:jc w:val="both"/>
      </w:pPr>
      <w:bookmarkStart w:id="15" w:name="bookmark15"/>
      <w:bookmarkStart w:id="16" w:name="bookmark16"/>
      <w:bookmarkStart w:id="17" w:name="bookmark17"/>
      <w:r>
        <w:rPr>
          <w:color w:val="000000"/>
          <w:spacing w:val="0"/>
          <w:w w:val="100"/>
          <w:position w:val="0"/>
          <w:shd w:val="clear" w:color="auto" w:fill="auto"/>
          <w:lang w:val="cs-CZ" w:eastAsia="cs-CZ" w:bidi="cs-CZ"/>
        </w:rPr>
        <w:t>Sledování možných průsaků z povrchové vodoteče do podloží s důrazem na stabilitu zemní konstrukce koridoru na 5 monitorovacích profilech s četností 2x ročně. Konkrétně budou použity geoelektrické metody a odporová elektrická tomografie/multielektrodové odporové sondování (ERT/MOS).</w:t>
      </w:r>
      <w:bookmarkEnd w:id="15"/>
      <w:bookmarkEnd w:id="16"/>
      <w:bookmarkEnd w:id="17"/>
    </w:p>
    <w:p>
      <w:pPr>
        <w:pStyle w:val="Style2"/>
        <w:keepNext/>
        <w:keepLines/>
        <w:widowControl w:val="0"/>
        <w:shd w:val="clear" w:color="auto" w:fill="auto"/>
        <w:bidi w:val="0"/>
        <w:spacing w:before="0" w:line="240" w:lineRule="auto"/>
        <w:ind w:left="0" w:right="0" w:firstLine="0"/>
        <w:jc w:val="both"/>
      </w:pPr>
      <w:bookmarkStart w:id="18" w:name="bookmark18"/>
      <w:bookmarkStart w:id="19" w:name="bookmark19"/>
      <w:bookmarkStart w:id="20" w:name="bookmark20"/>
      <w:r>
        <w:rPr>
          <w:color w:val="000000"/>
          <w:spacing w:val="0"/>
          <w:w w:val="100"/>
          <w:position w:val="0"/>
          <w:shd w:val="clear" w:color="auto" w:fill="auto"/>
          <w:lang w:val="cs-CZ" w:eastAsia="cs-CZ" w:bidi="cs-CZ"/>
        </w:rPr>
        <w:t>Výstupem bude mapa izolinií měrného el. odporu v profilových řezech. Na základě postupného porovnávání realizovaných měření budou určeny pozice případných průsaků z povrchové vodoteče do podloží.</w:t>
      </w:r>
      <w:bookmarkEnd w:id="18"/>
      <w:bookmarkEnd w:id="19"/>
      <w:bookmarkEnd w:id="20"/>
    </w:p>
    <w:p>
      <w:pPr>
        <w:pStyle w:val="Style2"/>
        <w:keepNext/>
        <w:keepLines/>
        <w:widowControl w:val="0"/>
        <w:shd w:val="clear" w:color="auto" w:fill="auto"/>
        <w:bidi w:val="0"/>
        <w:spacing w:before="0" w:line="240" w:lineRule="auto"/>
        <w:ind w:left="0" w:right="0" w:firstLine="0"/>
        <w:jc w:val="both"/>
      </w:pPr>
      <w:bookmarkStart w:id="21" w:name="bookmark21"/>
      <w:bookmarkStart w:id="22" w:name="bookmark22"/>
      <w:bookmarkStart w:id="23" w:name="bookmark23"/>
      <w:r>
        <w:rPr>
          <w:color w:val="000000"/>
          <w:spacing w:val="0"/>
          <w:w w:val="100"/>
          <w:position w:val="0"/>
          <w:shd w:val="clear" w:color="auto" w:fill="auto"/>
          <w:lang w:val="cs-CZ" w:eastAsia="cs-CZ" w:bidi="cs-CZ"/>
        </w:rPr>
        <w:t>Měření bude probíhat 2x ročně. Jako reprezentativní pro období minimálního průtoku a zvodnění lze považovat období srpen/září. Maximální průtok a zvodnění lze předpokládat v období března. Opakované režimní měření v různých obdobích roku dovolí odlišit projevy litologického složení násypu od projevů změn zvodnění zemin v podloží nově vybudované vodoteče.</w:t>
      </w:r>
      <w:bookmarkEnd w:id="21"/>
      <w:bookmarkEnd w:id="22"/>
      <w:bookmarkEnd w:id="23"/>
    </w:p>
    <w:p>
      <w:pPr>
        <w:pStyle w:val="Style2"/>
        <w:keepNext/>
        <w:keepLines/>
        <w:widowControl w:val="0"/>
        <w:shd w:val="clear" w:color="auto" w:fill="auto"/>
        <w:bidi w:val="0"/>
        <w:spacing w:before="0" w:line="240" w:lineRule="auto"/>
        <w:ind w:left="0" w:right="0" w:firstLine="0"/>
        <w:jc w:val="both"/>
      </w:pPr>
      <w:bookmarkStart w:id="24" w:name="bookmark24"/>
      <w:bookmarkStart w:id="25" w:name="bookmark25"/>
      <w:bookmarkStart w:id="26" w:name="bookmark26"/>
      <w:r>
        <w:rPr>
          <w:color w:val="000000"/>
          <w:spacing w:val="0"/>
          <w:w w:val="100"/>
          <w:position w:val="0"/>
          <w:shd w:val="clear" w:color="auto" w:fill="auto"/>
          <w:lang w:val="cs-CZ" w:eastAsia="cs-CZ" w:bidi="cs-CZ"/>
        </w:rPr>
        <w:t>Podrobnější popis je v Příloze č. 1 – Cenová nabídka.</w:t>
      </w:r>
      <w:bookmarkEnd w:id="24"/>
      <w:bookmarkEnd w:id="25"/>
      <w:bookmarkEnd w:id="26"/>
    </w:p>
    <w:p>
      <w:pPr>
        <w:pStyle w:val="Style5"/>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5"/>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Čl. II . DÍLO A ZPŮSOB PROVEDENÍ DÍLA</w:t>
      </w:r>
    </w:p>
    <w:p>
      <w:pPr>
        <w:pStyle w:val="Style5"/>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provést dílo v souladu s platnou legislativou, a to s odbornou péčí, v rozsahu a kvalitě podle této smlouvy a v termínu plnění, jak je definováno níže.</w:t>
      </w:r>
    </w:p>
    <w:p>
      <w:pPr>
        <w:pStyle w:val="Style5"/>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Etapové zprávy budou předávány celkem v počtu 2x paré tištěné + 3x na elektronickém nosiči dat, a to 1x ve formátu (_.pdf) a 2x v editovatelných formátech pro potřeby objednatele (_.doc, _.docx, _.xls, _.xlsx, _.dwg a dalších), výkresy budou v souřadnicovém systému S-JTSK.</w:t>
      </w:r>
    </w:p>
    <w:p>
      <w:pPr>
        <w:pStyle w:val="Style5"/>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Předání výstupů v elektronické formě – 3x na elektronickém nosiči dat pro každou etapu.</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Průběh prací</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minimálně 2 výrobní výbory pro každou etapu (vstupní a závěrečný VV). Ze všech výrobních výborů bude zhotovovat písemný zápis, který bude odsouhlasen účastníky VV.</w:t>
      </w:r>
    </w:p>
    <w:p>
      <w:pPr>
        <w:pStyle w:val="Style5"/>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Minimálně 7 dní před konáním závěrečného výrobního výboru zašle zhotovitel objednateli návrh etapové zprávy v digitální podobě. Po úspěšném uzavření závěrečného výrobního výboru zhotovitel zajistí kompletaci etapové zprávy a řádně dokončenou etapovou zprávu předá protokolárně zástupci objednatele ve věcech technických.</w:t>
      </w:r>
    </w:p>
    <w:p>
      <w:pPr>
        <w:pStyle w:val="Style5"/>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w:t>
      </w:r>
    </w:p>
    <w:p>
      <w:pPr>
        <w:pStyle w:val="Style5"/>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Zhotovitel je zodpovědný za stanovení potřebného rozsahu průzkumných prací jako podkladu pro zpracování kvalitní etapové zprávy. Pokud bude v rámci prací objednatelem požadován další průzkum, který nebyl součástí cenové nabídky, zhotovitel tyto průzkumné práce zajistí za úhradu.</w:t>
      </w:r>
    </w:p>
    <w:p>
      <w:pPr>
        <w:pStyle w:val="Style5"/>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díla v požadovaném počtu za zvláštní úhradu. Objednatel se zavazuje řádně provedené dílo podle ustanovení této smlouvy převzít a zaplatit za dílo dohodnutou cenu.</w:t>
      </w:r>
    </w:p>
    <w:p>
      <w:pPr>
        <w:pStyle w:val="Style2"/>
        <w:keepNext/>
        <w:keepLines/>
        <w:widowControl w:val="0"/>
        <w:shd w:val="clear" w:color="auto" w:fill="auto"/>
        <w:bidi w:val="0"/>
        <w:spacing w:before="0" w:line="240" w:lineRule="auto"/>
        <w:ind w:left="0" w:right="0" w:firstLine="0"/>
        <w:jc w:val="center"/>
      </w:pPr>
      <w:bookmarkStart w:id="27" w:name="bookmark27"/>
      <w:bookmarkStart w:id="28" w:name="bookmark28"/>
      <w:bookmarkStart w:id="29" w:name="bookmark29"/>
      <w:r>
        <w:rPr>
          <w:b/>
          <w:bCs/>
          <w:color w:val="000000"/>
          <w:spacing w:val="0"/>
          <w:w w:val="100"/>
          <w:position w:val="0"/>
          <w:u w:val="single"/>
          <w:shd w:val="clear" w:color="auto" w:fill="auto"/>
          <w:lang w:val="cs-CZ" w:eastAsia="cs-CZ" w:bidi="cs-CZ"/>
        </w:rPr>
        <w:t>Čl. III. TERMÍNY PLNĚNÍ</w:t>
      </w:r>
      <w:bookmarkEnd w:id="27"/>
      <w:bookmarkEnd w:id="28"/>
      <w:bookmarkEnd w:id="29"/>
    </w:p>
    <w:p>
      <w:pPr>
        <w:pStyle w:val="Style5"/>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provést části díla v následujících termínech:</w:t>
      </w:r>
    </w:p>
    <w:p>
      <w:pPr>
        <w:pStyle w:val="Style5"/>
        <w:keepNext w:val="0"/>
        <w:keepLines w:val="0"/>
        <w:widowControl w:val="0"/>
        <w:numPr>
          <w:ilvl w:val="0"/>
          <w:numId w:val="1"/>
        </w:numPr>
        <w:shd w:val="clear" w:color="auto" w:fill="auto"/>
        <w:tabs>
          <w:tab w:pos="710" w:val="left"/>
        </w:tabs>
        <w:bidi w:val="0"/>
        <w:spacing w:before="0" w:after="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zahájení prací na předmětu plnění:</w:t>
      </w:r>
    </w:p>
    <w:p>
      <w:pPr>
        <w:pStyle w:val="Style5"/>
        <w:keepNext w:val="0"/>
        <w:keepLines w:val="0"/>
        <w:widowControl w:val="0"/>
        <w:shd w:val="clear" w:color="auto" w:fill="auto"/>
        <w:bidi w:val="0"/>
        <w:spacing w:before="0" w:after="220" w:line="240" w:lineRule="auto"/>
        <w:ind w:left="0" w:right="0" w:firstLine="720"/>
        <w:jc w:val="both"/>
      </w:pPr>
      <w:r>
        <w:rPr>
          <w:b/>
          <w:bCs/>
          <w:color w:val="000000"/>
          <w:spacing w:val="0"/>
          <w:w w:val="100"/>
          <w:position w:val="0"/>
          <w:shd w:val="clear" w:color="auto" w:fill="auto"/>
          <w:lang w:val="cs-CZ" w:eastAsia="cs-CZ" w:bidi="cs-CZ"/>
        </w:rPr>
        <w:t>bez zbytečného odkladu po nabytí účinnosti této smlouvy</w:t>
      </w:r>
    </w:p>
    <w:p>
      <w:pPr>
        <w:pStyle w:val="Style5"/>
        <w:keepNext w:val="0"/>
        <w:keepLines w:val="0"/>
        <w:widowControl w:val="0"/>
        <w:numPr>
          <w:ilvl w:val="0"/>
          <w:numId w:val="1"/>
        </w:numPr>
        <w:shd w:val="clear" w:color="auto" w:fill="auto"/>
        <w:tabs>
          <w:tab w:pos="710" w:val="left"/>
        </w:tabs>
        <w:bidi w:val="0"/>
        <w:spacing w:before="0" w:after="22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 xml:space="preserve">předání a převzetí etapové zprávy 08/2025 až 04/2026 – </w:t>
      </w:r>
      <w:r>
        <w:rPr>
          <w:b/>
          <w:bCs/>
          <w:color w:val="000000"/>
          <w:spacing w:val="0"/>
          <w:w w:val="100"/>
          <w:position w:val="0"/>
          <w:shd w:val="clear" w:color="auto" w:fill="auto"/>
          <w:lang w:val="cs-CZ" w:eastAsia="cs-CZ" w:bidi="cs-CZ"/>
        </w:rPr>
        <w:t>do 30.06.2026</w:t>
      </w:r>
    </w:p>
    <w:p>
      <w:pPr>
        <w:pStyle w:val="Style5"/>
        <w:keepNext w:val="0"/>
        <w:keepLines w:val="0"/>
        <w:widowControl w:val="0"/>
        <w:numPr>
          <w:ilvl w:val="0"/>
          <w:numId w:val="1"/>
        </w:numPr>
        <w:shd w:val="clear" w:color="auto" w:fill="auto"/>
        <w:tabs>
          <w:tab w:pos="710" w:val="left"/>
        </w:tabs>
        <w:bidi w:val="0"/>
        <w:spacing w:before="0" w:after="22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 xml:space="preserve">předání a převzetí etapové zprávy 08/2026 až 04/2027 – </w:t>
      </w:r>
      <w:r>
        <w:rPr>
          <w:b/>
          <w:bCs/>
          <w:color w:val="000000"/>
          <w:spacing w:val="0"/>
          <w:w w:val="100"/>
          <w:position w:val="0"/>
          <w:shd w:val="clear" w:color="auto" w:fill="auto"/>
          <w:lang w:val="cs-CZ" w:eastAsia="cs-CZ" w:bidi="cs-CZ"/>
        </w:rPr>
        <w:t>do 30.06.2027</w:t>
      </w:r>
    </w:p>
    <w:p>
      <w:pPr>
        <w:pStyle w:val="Style5"/>
        <w:keepNext w:val="0"/>
        <w:keepLines w:val="0"/>
        <w:widowControl w:val="0"/>
        <w:numPr>
          <w:ilvl w:val="0"/>
          <w:numId w:val="1"/>
        </w:numPr>
        <w:shd w:val="clear" w:color="auto" w:fill="auto"/>
        <w:tabs>
          <w:tab w:pos="710" w:val="left"/>
        </w:tabs>
        <w:bidi w:val="0"/>
        <w:spacing w:before="0" w:after="220" w:line="240" w:lineRule="auto"/>
        <w:ind w:left="0" w:right="0" w:firstLine="0"/>
        <w:jc w:val="both"/>
      </w:pPr>
      <w:bookmarkStart w:id="33" w:name="bookmark33"/>
      <w:bookmarkEnd w:id="33"/>
      <w:r>
        <w:rPr>
          <w:color w:val="000000"/>
          <w:spacing w:val="0"/>
          <w:w w:val="100"/>
          <w:position w:val="0"/>
          <w:shd w:val="clear" w:color="auto" w:fill="auto"/>
          <w:lang w:val="cs-CZ" w:eastAsia="cs-CZ" w:bidi="cs-CZ"/>
        </w:rPr>
        <w:t xml:space="preserve">předání a převzetí etapové zprávy 08/2027 až 04/2028 – </w:t>
      </w:r>
      <w:r>
        <w:rPr>
          <w:b/>
          <w:bCs/>
          <w:color w:val="000000"/>
          <w:spacing w:val="0"/>
          <w:w w:val="100"/>
          <w:position w:val="0"/>
          <w:shd w:val="clear" w:color="auto" w:fill="auto"/>
          <w:lang w:val="cs-CZ" w:eastAsia="cs-CZ" w:bidi="cs-CZ"/>
        </w:rPr>
        <w:t>do 30.06.2028</w:t>
      </w:r>
    </w:p>
    <w:p>
      <w:pPr>
        <w:pStyle w:val="Style5"/>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shd w:val="clear" w:color="auto" w:fill="auto"/>
          <w:lang w:val="cs-CZ" w:eastAsia="cs-CZ" w:bidi="cs-CZ"/>
        </w:rPr>
        <w:t xml:space="preserve">Místem plnění </w:t>
      </w:r>
      <w:r>
        <w:rPr>
          <w:color w:val="000000"/>
          <w:spacing w:val="0"/>
          <w:w w:val="100"/>
          <w:position w:val="0"/>
          <w:shd w:val="clear" w:color="auto" w:fill="auto"/>
          <w:lang w:val="cs-CZ" w:eastAsia="cs-CZ" w:bidi="cs-CZ"/>
        </w:rPr>
        <w:t>je Povodí Ohře, státní podnik, se sídlem Bezručova 4219, 430 03 Chomutov.</w:t>
      </w:r>
    </w:p>
    <w:p>
      <w:pPr>
        <w:pStyle w:val="Style5"/>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Za písemný doklad o předání se považuje předávací protokol o předání a převzetí díla podepsaný zástupcem objednatele, který je pověřen technickým řízením činností souvisejících se zhotovitelem díla.</w:t>
      </w:r>
    </w:p>
    <w:tbl>
      <w:tblPr>
        <w:tblOverlap w:val="never"/>
        <w:jc w:val="center"/>
        <w:tblLayout w:type="fixed"/>
      </w:tblPr>
      <w:tblGrid>
        <w:gridCol w:w="3715"/>
        <w:gridCol w:w="5386"/>
      </w:tblGrid>
      <w:tr>
        <w:trPr>
          <w:trHeight w:val="374" w:hRule="exact"/>
        </w:trPr>
        <w:tc>
          <w:tcPr>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180"/>
              <w:jc w:val="left"/>
            </w:pPr>
            <w:bookmarkStart w:id="34" w:name="bookmark34"/>
            <w:r>
              <w:rPr>
                <w:b/>
                <w:bCs/>
                <w:color w:val="000000"/>
                <w:spacing w:val="0"/>
                <w:w w:val="100"/>
                <w:position w:val="0"/>
                <w:shd w:val="clear" w:color="auto" w:fill="auto"/>
                <w:lang w:val="cs-CZ" w:eastAsia="cs-CZ" w:bidi="cs-CZ"/>
              </w:rPr>
              <w:t>Čl. IV. CENA</w:t>
            </w:r>
            <w:bookmarkEnd w:id="34"/>
          </w:p>
        </w:tc>
      </w:tr>
    </w:tbl>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 celkem:</w:t>
      </w:r>
    </w:p>
    <w:p>
      <w:pPr>
        <w:widowControl w:val="0"/>
        <w:spacing w:after="219" w:line="1" w:lineRule="exact"/>
      </w:pPr>
    </w:p>
    <w:p>
      <w:pPr>
        <w:widowControl w:val="0"/>
        <w:spacing w:line="1" w:lineRule="exact"/>
      </w:pPr>
    </w:p>
    <w:tbl>
      <w:tblPr>
        <w:tblOverlap w:val="never"/>
        <w:jc w:val="center"/>
        <w:tblLayout w:type="fixed"/>
      </w:tblPr>
      <w:tblGrid>
        <w:gridCol w:w="3715"/>
        <w:gridCol w:w="5386"/>
      </w:tblGrid>
      <w:tr>
        <w:trPr>
          <w:trHeight w:val="418" w:hRule="exact"/>
        </w:trPr>
        <w:tc>
          <w:tcPr>
            <w:tcBorders/>
            <w:shd w:val="clear" w:color="auto" w:fill="FFFFFF"/>
            <w:vAlign w:val="top"/>
          </w:tcPr>
          <w:p>
            <w:pPr>
              <w:pStyle w:val="Style19"/>
              <w:keepNext w:val="0"/>
              <w:keepLines w:val="0"/>
              <w:widowControl w:val="0"/>
              <w:shd w:val="clear" w:color="auto" w:fill="auto"/>
              <w:tabs>
                <w:tab w:pos="706" w:val="left"/>
              </w:tabs>
              <w:bidi w:val="0"/>
              <w:spacing w:before="0" w:after="0" w:line="240" w:lineRule="auto"/>
              <w:ind w:left="0" w:right="0" w:firstLine="0"/>
              <w:jc w:val="left"/>
            </w:pPr>
            <w:r>
              <w:rPr>
                <w:color w:val="000000"/>
                <w:spacing w:val="0"/>
                <w:w w:val="100"/>
                <w:position w:val="0"/>
                <w:shd w:val="clear" w:color="auto" w:fill="auto"/>
                <w:lang w:val="cs-CZ" w:eastAsia="cs-CZ" w:bidi="cs-CZ"/>
              </w:rPr>
              <w:t>a)</w:t>
              <w:tab/>
              <w:t>etapa 08/2025 až 04/2026:</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lang w:val="cs-CZ" w:eastAsia="cs-CZ" w:bidi="cs-CZ"/>
              </w:rPr>
              <w:t>219 000,-</w:t>
            </w:r>
          </w:p>
        </w:tc>
      </w:tr>
      <w:tr>
        <w:trPr>
          <w:trHeight w:val="547" w:hRule="exact"/>
        </w:trPr>
        <w:tc>
          <w:tcPr>
            <w:tcBorders/>
            <w:shd w:val="clear" w:color="auto" w:fill="FFFFFF"/>
            <w:vAlign w:val="bottom"/>
          </w:tcPr>
          <w:p>
            <w:pPr>
              <w:pStyle w:val="Style19"/>
              <w:keepNext w:val="0"/>
              <w:keepLines w:val="0"/>
              <w:widowControl w:val="0"/>
              <w:shd w:val="clear" w:color="auto" w:fill="auto"/>
              <w:tabs>
                <w:tab w:pos="706" w:val="left"/>
              </w:tabs>
              <w:bidi w:val="0"/>
              <w:spacing w:before="0" w:after="0" w:line="240" w:lineRule="auto"/>
              <w:ind w:left="0" w:right="0" w:firstLine="0"/>
              <w:jc w:val="left"/>
            </w:pPr>
            <w:r>
              <w:rPr>
                <w:color w:val="000000"/>
                <w:spacing w:val="0"/>
                <w:w w:val="100"/>
                <w:position w:val="0"/>
                <w:shd w:val="clear" w:color="auto" w:fill="auto"/>
                <w:lang w:val="cs-CZ" w:eastAsia="cs-CZ" w:bidi="cs-CZ"/>
              </w:rPr>
              <w:t>b)</w:t>
              <w:tab/>
              <w:t>etapa 08/2026 až 04/2027:</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lang w:val="cs-CZ" w:eastAsia="cs-CZ" w:bidi="cs-CZ"/>
              </w:rPr>
              <w:t>198 850,-</w:t>
            </w:r>
          </w:p>
        </w:tc>
      </w:tr>
      <w:tr>
        <w:trPr>
          <w:trHeight w:val="504" w:hRule="exact"/>
        </w:trPr>
        <w:tc>
          <w:tcPr>
            <w:tcBorders/>
            <w:shd w:val="clear" w:color="auto" w:fill="FFFFFF"/>
            <w:vAlign w:val="bottom"/>
          </w:tcPr>
          <w:p>
            <w:pPr>
              <w:pStyle w:val="Style19"/>
              <w:keepNext w:val="0"/>
              <w:keepLines w:val="0"/>
              <w:widowControl w:val="0"/>
              <w:shd w:val="clear" w:color="auto" w:fill="auto"/>
              <w:tabs>
                <w:tab w:pos="706" w:val="left"/>
              </w:tabs>
              <w:bidi w:val="0"/>
              <w:spacing w:before="0" w:after="0" w:line="240" w:lineRule="auto"/>
              <w:ind w:left="0" w:right="0" w:firstLine="0"/>
              <w:jc w:val="left"/>
            </w:pPr>
            <w:r>
              <w:rPr>
                <w:color w:val="000000"/>
                <w:spacing w:val="0"/>
                <w:w w:val="100"/>
                <w:position w:val="0"/>
                <w:shd w:val="clear" w:color="auto" w:fill="auto"/>
                <w:lang w:val="cs-CZ" w:eastAsia="cs-CZ" w:bidi="cs-CZ"/>
              </w:rPr>
              <w:t>c)</w:t>
              <w:tab/>
              <w:t>etapa 08/2027 až 04/2028:</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lang w:val="cs-CZ" w:eastAsia="cs-CZ" w:bidi="cs-CZ"/>
              </w:rPr>
              <w:t>203 821,-</w:t>
            </w:r>
          </w:p>
        </w:tc>
      </w:tr>
    </w:tbl>
    <w:p>
      <w:pPr>
        <w:widowControl w:val="0"/>
        <w:spacing w:after="219" w:line="1" w:lineRule="exact"/>
      </w:pPr>
    </w:p>
    <w:p>
      <w:pPr>
        <w:pStyle w:val="Style5"/>
        <w:keepNext w:val="0"/>
        <w:keepLines w:val="0"/>
        <w:widowControl w:val="0"/>
        <w:shd w:val="clear" w:color="auto" w:fill="auto"/>
        <w:tabs>
          <w:tab w:pos="4257" w:val="left"/>
        </w:tabs>
        <w:bidi w:val="0"/>
        <w:spacing w:before="0" w:after="0" w:line="240" w:lineRule="auto"/>
        <w:ind w:left="2140" w:right="0" w:firstLine="0"/>
        <w:jc w:val="both"/>
      </w:pPr>
      <w:r>
        <w:rPr>
          <w:b/>
          <w:bCs/>
          <w:color w:val="000000"/>
          <w:spacing w:val="0"/>
          <w:w w:val="100"/>
          <w:position w:val="0"/>
          <w:shd w:val="clear" w:color="auto" w:fill="auto"/>
          <w:lang w:val="cs-CZ" w:eastAsia="cs-CZ" w:bidi="cs-CZ"/>
        </w:rPr>
        <w:t>Celkem:</w:t>
        <w:tab/>
        <w:t>621 671,- Kč bez DPH</w:t>
      </w:r>
    </w:p>
    <w:p>
      <w:pPr>
        <w:pStyle w:val="Style5"/>
        <w:keepNext w:val="0"/>
        <w:keepLines w:val="0"/>
        <w:widowControl w:val="0"/>
        <w:shd w:val="clear" w:color="auto" w:fill="auto"/>
        <w:bidi w:val="0"/>
        <w:spacing w:before="0" w:after="220" w:line="240" w:lineRule="auto"/>
        <w:ind w:left="2140" w:right="0" w:firstLine="0"/>
        <w:jc w:val="both"/>
      </w:pPr>
      <w:r>
        <w:rPr>
          <w:color w:val="000000"/>
          <w:spacing w:val="0"/>
          <w:w w:val="100"/>
          <w:position w:val="0"/>
          <w:shd w:val="clear" w:color="auto" w:fill="auto"/>
          <w:lang w:val="cs-CZ" w:eastAsia="cs-CZ" w:bidi="cs-CZ"/>
        </w:rPr>
        <w:t>(slovy: šestsetdvacetjednatisícšestsetsedmdesátjedna korun českých)</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5"/>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2"/>
        <w:keepNext/>
        <w:keepLines/>
        <w:widowControl w:val="0"/>
        <w:shd w:val="clear" w:color="auto" w:fill="auto"/>
        <w:bidi w:val="0"/>
        <w:spacing w:before="0" w:line="240" w:lineRule="auto"/>
        <w:ind w:left="0" w:right="0" w:firstLine="0"/>
        <w:jc w:val="center"/>
      </w:pPr>
      <w:bookmarkStart w:id="35" w:name="bookmark35"/>
      <w:bookmarkStart w:id="36" w:name="bookmark36"/>
      <w:bookmarkStart w:id="37" w:name="bookmark37"/>
      <w:r>
        <w:rPr>
          <w:b/>
          <w:bCs/>
          <w:color w:val="000000"/>
          <w:spacing w:val="0"/>
          <w:w w:val="100"/>
          <w:position w:val="0"/>
          <w:u w:val="single"/>
          <w:shd w:val="clear" w:color="auto" w:fill="auto"/>
          <w:lang w:val="cs-CZ" w:eastAsia="cs-CZ" w:bidi="cs-CZ"/>
        </w:rPr>
        <w:t>Čl. V. PLATEBNÍ PODMÍNKY</w:t>
      </w:r>
      <w:bookmarkEnd w:id="35"/>
      <w:bookmarkEnd w:id="36"/>
      <w:bookmarkEnd w:id="37"/>
    </w:p>
    <w:p>
      <w:pPr>
        <w:pStyle w:val="Style5"/>
        <w:keepNext w:val="0"/>
        <w:keepLines w:val="0"/>
        <w:widowControl w:val="0"/>
        <w:numPr>
          <w:ilvl w:val="0"/>
          <w:numId w:val="3"/>
        </w:numPr>
        <w:shd w:val="clear" w:color="auto" w:fill="auto"/>
        <w:tabs>
          <w:tab w:pos="381" w:val="left"/>
        </w:tabs>
        <w:bidi w:val="0"/>
        <w:spacing w:before="0" w:line="240" w:lineRule="auto"/>
        <w:ind w:left="0" w:right="0" w:firstLine="0"/>
        <w:jc w:val="left"/>
      </w:pPr>
      <w:bookmarkStart w:id="38" w:name="bookmark38"/>
      <w:bookmarkEnd w:id="38"/>
      <w:r>
        <w:rPr>
          <w:color w:val="000000"/>
          <w:spacing w:val="0"/>
          <w:w w:val="100"/>
          <w:position w:val="0"/>
          <w:shd w:val="clear" w:color="auto" w:fill="auto"/>
          <w:lang w:val="cs-CZ" w:eastAsia="cs-CZ" w:bidi="cs-CZ"/>
        </w:rPr>
        <w:t>Objednatel nebude poskytovat zhotoviteli zálohy.</w:t>
      </w:r>
    </w:p>
    <w:p>
      <w:pPr>
        <w:pStyle w:val="Style5"/>
        <w:keepNext w:val="0"/>
        <w:keepLines w:val="0"/>
        <w:widowControl w:val="0"/>
        <w:numPr>
          <w:ilvl w:val="0"/>
          <w:numId w:val="3"/>
        </w:numPr>
        <w:shd w:val="clear" w:color="auto" w:fill="auto"/>
        <w:tabs>
          <w:tab w:pos="381" w:val="left"/>
        </w:tabs>
        <w:bidi w:val="0"/>
        <w:spacing w:before="0" w:line="240" w:lineRule="auto"/>
        <w:ind w:left="300" w:right="0" w:hanging="300"/>
        <w:jc w:val="both"/>
      </w:pPr>
      <w:bookmarkStart w:id="39" w:name="bookmark39"/>
      <w:bookmarkEnd w:id="39"/>
      <w:r>
        <w:rPr>
          <w:color w:val="000000"/>
          <w:spacing w:val="0"/>
          <w:w w:val="100"/>
          <w:position w:val="0"/>
          <w:shd w:val="clear" w:color="auto" w:fill="auto"/>
          <w:lang w:val="cs-CZ" w:eastAsia="cs-CZ" w:bidi="cs-CZ"/>
        </w:rPr>
        <w:t>Cena díla bude hrazena postupně dle dílčího plnění po dokončení, předání a převzetí každé dílčí části díla (etapy) bez vad a nedodělků. Fakturu je zhotovitel povinen prokazatelně doručit objednateli nejpozději do 7 pracovních dnů ode dne uskutečnění plnění včetně potvrzeného soupisu provedených prací.</w:t>
      </w:r>
    </w:p>
    <w:p>
      <w:pPr>
        <w:pStyle w:val="Style5"/>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Fakturace bude provedena následovně:</w:t>
      </w:r>
    </w:p>
    <w:p>
      <w:pPr>
        <w:pStyle w:val="Style5"/>
        <w:keepNext w:val="0"/>
        <w:keepLines w:val="0"/>
        <w:widowControl w:val="0"/>
        <w:numPr>
          <w:ilvl w:val="0"/>
          <w:numId w:val="5"/>
        </w:numPr>
        <w:shd w:val="clear" w:color="auto" w:fill="auto"/>
        <w:tabs>
          <w:tab w:pos="713" w:val="left"/>
        </w:tabs>
        <w:bidi w:val="0"/>
        <w:spacing w:before="0" w:line="240" w:lineRule="auto"/>
        <w:ind w:left="660" w:right="0" w:hanging="660"/>
        <w:jc w:val="both"/>
      </w:pPr>
      <w:bookmarkStart w:id="40" w:name="bookmark40"/>
      <w:bookmarkEnd w:id="40"/>
      <w:r>
        <w:rPr>
          <w:color w:val="000000"/>
          <w:spacing w:val="0"/>
          <w:w w:val="100"/>
          <w:position w:val="0"/>
          <w:shd w:val="clear" w:color="auto" w:fill="auto"/>
          <w:lang w:val="cs-CZ" w:eastAsia="cs-CZ" w:bidi="cs-CZ"/>
        </w:rPr>
        <w:t xml:space="preserve">V případě prvního dílčího plnění dnem protokolárního předání a převzetí etapové zprávy 08/2025 až 04/2026 ve výši </w:t>
      </w:r>
      <w:r>
        <w:rPr>
          <w:b/>
          <w:bCs/>
          <w:color w:val="000000"/>
          <w:spacing w:val="0"/>
          <w:w w:val="100"/>
          <w:position w:val="0"/>
          <w:shd w:val="clear" w:color="auto" w:fill="auto"/>
          <w:lang w:val="cs-CZ" w:eastAsia="cs-CZ" w:bidi="cs-CZ"/>
        </w:rPr>
        <w:t>219 000,- Kč bez DPH</w:t>
      </w:r>
      <w:r>
        <w:rPr>
          <w:color w:val="000000"/>
          <w:spacing w:val="0"/>
          <w:w w:val="100"/>
          <w:position w:val="0"/>
          <w:shd w:val="clear" w:color="auto" w:fill="auto"/>
          <w:lang w:val="cs-CZ" w:eastAsia="cs-CZ" w:bidi="cs-CZ"/>
        </w:rPr>
        <w:t>.</w:t>
      </w:r>
    </w:p>
    <w:p>
      <w:pPr>
        <w:pStyle w:val="Style5"/>
        <w:keepNext w:val="0"/>
        <w:keepLines w:val="0"/>
        <w:widowControl w:val="0"/>
        <w:numPr>
          <w:ilvl w:val="0"/>
          <w:numId w:val="5"/>
        </w:numPr>
        <w:shd w:val="clear" w:color="auto" w:fill="auto"/>
        <w:tabs>
          <w:tab w:pos="713" w:val="left"/>
        </w:tabs>
        <w:bidi w:val="0"/>
        <w:spacing w:before="0" w:line="240" w:lineRule="auto"/>
        <w:ind w:left="660" w:right="0" w:hanging="660"/>
        <w:jc w:val="both"/>
      </w:pPr>
      <w:bookmarkStart w:id="41" w:name="bookmark41"/>
      <w:bookmarkEnd w:id="41"/>
      <w:r>
        <w:rPr>
          <w:color w:val="000000"/>
          <w:spacing w:val="0"/>
          <w:w w:val="100"/>
          <w:position w:val="0"/>
          <w:shd w:val="clear" w:color="auto" w:fill="auto"/>
          <w:lang w:val="cs-CZ" w:eastAsia="cs-CZ" w:bidi="cs-CZ"/>
        </w:rPr>
        <w:t xml:space="preserve">V případě druhého dílčího plnění dnem protokolárního předání a převzetí etapové zprávy 08/2026 až 04/2027 ve výši </w:t>
      </w:r>
      <w:r>
        <w:rPr>
          <w:b/>
          <w:bCs/>
          <w:color w:val="000000"/>
          <w:spacing w:val="0"/>
          <w:w w:val="100"/>
          <w:position w:val="0"/>
          <w:shd w:val="clear" w:color="auto" w:fill="auto"/>
          <w:lang w:val="cs-CZ" w:eastAsia="cs-CZ" w:bidi="cs-CZ"/>
        </w:rPr>
        <w:t>198 850,- Kč bez DPH</w:t>
      </w:r>
      <w:r>
        <w:rPr>
          <w:color w:val="000000"/>
          <w:spacing w:val="0"/>
          <w:w w:val="100"/>
          <w:position w:val="0"/>
          <w:shd w:val="clear" w:color="auto" w:fill="auto"/>
          <w:lang w:val="cs-CZ" w:eastAsia="cs-CZ" w:bidi="cs-CZ"/>
        </w:rPr>
        <w:t>.</w:t>
      </w:r>
    </w:p>
    <w:p>
      <w:pPr>
        <w:pStyle w:val="Style5"/>
        <w:keepNext w:val="0"/>
        <w:keepLines w:val="0"/>
        <w:widowControl w:val="0"/>
        <w:numPr>
          <w:ilvl w:val="0"/>
          <w:numId w:val="5"/>
        </w:numPr>
        <w:shd w:val="clear" w:color="auto" w:fill="auto"/>
        <w:tabs>
          <w:tab w:pos="713" w:val="left"/>
        </w:tabs>
        <w:bidi w:val="0"/>
        <w:spacing w:before="0" w:line="240" w:lineRule="auto"/>
        <w:ind w:left="660" w:right="0" w:hanging="660"/>
        <w:jc w:val="both"/>
      </w:pPr>
      <w:bookmarkStart w:id="42" w:name="bookmark42"/>
      <w:bookmarkEnd w:id="42"/>
      <w:r>
        <w:rPr>
          <w:color w:val="000000"/>
          <w:spacing w:val="0"/>
          <w:w w:val="100"/>
          <w:position w:val="0"/>
          <w:shd w:val="clear" w:color="auto" w:fill="auto"/>
          <w:lang w:val="cs-CZ" w:eastAsia="cs-CZ" w:bidi="cs-CZ"/>
        </w:rPr>
        <w:t xml:space="preserve">V případě třetího dílčího plnění dnem protokolárního předání a převzetí etapové zprávy 08/2027 až 04/2028 ve výši </w:t>
      </w:r>
      <w:r>
        <w:rPr>
          <w:b/>
          <w:bCs/>
          <w:color w:val="000000"/>
          <w:spacing w:val="0"/>
          <w:w w:val="100"/>
          <w:position w:val="0"/>
          <w:shd w:val="clear" w:color="auto" w:fill="auto"/>
          <w:lang w:val="cs-CZ" w:eastAsia="cs-CZ" w:bidi="cs-CZ"/>
        </w:rPr>
        <w:t>203 821,- Kč bez DPH</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503073</w:t>
      </w:r>
    </w:p>
    <w:p>
      <w:pPr>
        <w:pStyle w:val="Style5"/>
        <w:keepNext w:val="0"/>
        <w:keepLines w:val="0"/>
        <w:widowControl w:val="0"/>
        <w:numPr>
          <w:ilvl w:val="0"/>
          <w:numId w:val="3"/>
        </w:numPr>
        <w:shd w:val="clear" w:color="auto" w:fill="auto"/>
        <w:tabs>
          <w:tab w:pos="381" w:val="left"/>
        </w:tabs>
        <w:bidi w:val="0"/>
        <w:spacing w:before="0" w:after="0" w:line="240" w:lineRule="auto"/>
        <w:ind w:left="300" w:right="0" w:hanging="300"/>
        <w:jc w:val="both"/>
      </w:pPr>
      <w:bookmarkStart w:id="43" w:name="bookmark43"/>
      <w:bookmarkEnd w:id="4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5"/>
        <w:keepNext w:val="0"/>
        <w:keepLines w:val="0"/>
        <w:widowControl w:val="0"/>
        <w:shd w:val="clear" w:color="auto" w:fill="auto"/>
        <w:bidi w:val="0"/>
        <w:spacing w:before="0" w:after="0" w:line="240" w:lineRule="auto"/>
        <w:ind w:left="300" w:right="0" w:firstLine="80"/>
        <w:jc w:val="both"/>
      </w:pPr>
      <w:r>
        <w:rPr>
          <w:color w:val="000000"/>
          <w:spacing w:val="0"/>
          <w:w w:val="100"/>
          <w:position w:val="0"/>
          <w:shd w:val="clear" w:color="auto" w:fill="auto"/>
          <w:lang w:val="cs-CZ" w:eastAsia="cs-CZ" w:bidi="cs-CZ"/>
        </w:rPr>
        <w:t xml:space="preserve">V případě chybějících nebo chybných náležitostí vrátí objednatel zhotoviteli fakturu k opravě. Lhůta pro zaplacení pak počíná běžet od doby vrácení opravené faktury. 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FF"/>
          <w:spacing w:val="0"/>
          <w:w w:val="100"/>
          <w:position w:val="0"/>
          <w:shd w:val="clear" w:color="auto" w:fill="auto"/>
          <w:lang w:val="cs-CZ" w:eastAsia="cs-CZ" w:bidi="cs-CZ"/>
        </w:rPr>
        <w:t>.</w:t>
      </w:r>
    </w:p>
    <w:p>
      <w:pPr>
        <w:pStyle w:val="Style5"/>
        <w:keepNext w:val="0"/>
        <w:keepLines w:val="0"/>
        <w:widowControl w:val="0"/>
        <w:numPr>
          <w:ilvl w:val="0"/>
          <w:numId w:val="3"/>
        </w:numPr>
        <w:shd w:val="clear" w:color="auto" w:fill="auto"/>
        <w:tabs>
          <w:tab w:pos="381" w:val="left"/>
        </w:tabs>
        <w:bidi w:val="0"/>
        <w:spacing w:before="0" w:line="240" w:lineRule="auto"/>
        <w:ind w:left="300" w:right="0" w:hanging="300"/>
        <w:jc w:val="both"/>
      </w:pPr>
      <w:bookmarkStart w:id="44" w:name="bookmark44"/>
      <w:bookmarkEnd w:id="4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5"/>
        <w:keepNext w:val="0"/>
        <w:keepLines w:val="0"/>
        <w:widowControl w:val="0"/>
        <w:numPr>
          <w:ilvl w:val="0"/>
          <w:numId w:val="3"/>
        </w:numPr>
        <w:shd w:val="clear" w:color="auto" w:fill="auto"/>
        <w:tabs>
          <w:tab w:pos="381" w:val="left"/>
        </w:tabs>
        <w:bidi w:val="0"/>
        <w:spacing w:before="0" w:line="240" w:lineRule="auto"/>
        <w:ind w:left="0" w:right="0" w:firstLine="0"/>
        <w:jc w:val="left"/>
      </w:pPr>
      <w:bookmarkStart w:id="45" w:name="bookmark45"/>
      <w:bookmarkEnd w:id="45"/>
      <w:r>
        <w:rPr>
          <w:color w:val="000000"/>
          <w:spacing w:val="0"/>
          <w:w w:val="100"/>
          <w:position w:val="0"/>
          <w:shd w:val="clear" w:color="auto" w:fill="auto"/>
          <w:lang w:val="cs-CZ" w:eastAsia="cs-CZ" w:bidi="cs-CZ"/>
        </w:rPr>
        <w:t>Splatnost faktury je 30 dnů od data doručení faktury objednateli.</w:t>
      </w:r>
    </w:p>
    <w:p>
      <w:pPr>
        <w:pStyle w:val="Style5"/>
        <w:keepNext w:val="0"/>
        <w:keepLines w:val="0"/>
        <w:widowControl w:val="0"/>
        <w:numPr>
          <w:ilvl w:val="0"/>
          <w:numId w:val="3"/>
        </w:numPr>
        <w:shd w:val="clear" w:color="auto" w:fill="auto"/>
        <w:tabs>
          <w:tab w:pos="381" w:val="left"/>
        </w:tabs>
        <w:bidi w:val="0"/>
        <w:spacing w:before="0" w:after="340" w:line="240" w:lineRule="auto"/>
        <w:ind w:left="300" w:right="0" w:hanging="300"/>
        <w:jc w:val="both"/>
      </w:pPr>
      <w:bookmarkStart w:id="46" w:name="bookmark46"/>
      <w:bookmarkEnd w:id="4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keepLines/>
        <w:widowControl w:val="0"/>
        <w:shd w:val="clear" w:color="auto" w:fill="auto"/>
        <w:bidi w:val="0"/>
        <w:spacing w:before="0" w:after="240" w:line="240" w:lineRule="auto"/>
        <w:ind w:left="0" w:right="0" w:firstLine="0"/>
        <w:jc w:val="center"/>
      </w:pPr>
      <w:bookmarkStart w:id="47" w:name="bookmark47"/>
      <w:bookmarkStart w:id="48" w:name="bookmark48"/>
      <w:bookmarkStart w:id="49" w:name="bookmark49"/>
      <w:r>
        <w:rPr>
          <w:b/>
          <w:bCs/>
          <w:color w:val="000000"/>
          <w:spacing w:val="0"/>
          <w:w w:val="100"/>
          <w:position w:val="0"/>
          <w:shd w:val="clear" w:color="auto" w:fill="auto"/>
          <w:lang w:val="cs-CZ" w:eastAsia="cs-CZ" w:bidi="cs-CZ"/>
        </w:rPr>
        <w:t>Čl. VI. SANKCE</w:t>
      </w:r>
      <w:bookmarkEnd w:id="47"/>
      <w:bookmarkEnd w:id="48"/>
      <w:bookmarkEnd w:id="49"/>
    </w:p>
    <w:p>
      <w:pPr>
        <w:pStyle w:val="Style5"/>
        <w:keepNext w:val="0"/>
        <w:keepLines w:val="0"/>
        <w:widowControl w:val="0"/>
        <w:numPr>
          <w:ilvl w:val="0"/>
          <w:numId w:val="7"/>
        </w:numPr>
        <w:shd w:val="clear" w:color="auto" w:fill="auto"/>
        <w:tabs>
          <w:tab w:pos="756" w:val="left"/>
        </w:tabs>
        <w:bidi w:val="0"/>
        <w:spacing w:before="0" w:line="240" w:lineRule="auto"/>
        <w:ind w:left="660" w:right="0" w:hanging="280"/>
        <w:jc w:val="both"/>
      </w:pPr>
      <w:bookmarkStart w:id="50" w:name="bookmark50"/>
      <w:bookmarkEnd w:id="50"/>
      <w:r>
        <w:rPr>
          <w:color w:val="000000"/>
          <w:spacing w:val="0"/>
          <w:w w:val="100"/>
          <w:position w:val="0"/>
          <w:shd w:val="clear" w:color="auto" w:fill="auto"/>
          <w:lang w:val="cs-CZ" w:eastAsia="cs-CZ" w:bidi="cs-CZ"/>
        </w:rPr>
        <w:t>Pokud bude zhotovitel v prodlení proti kterémukoliv smluvně ujednanému dílčímu termínu plnění části díla dle III., písmeno b), c), a d), je povinen zaplatit objednateli smluvní pokutu ve výši 0,2 % z části ceny díla odpovídajícímu konkrétnímu dílčímu plnění za každý i započatý den prodlení. Hodnoty dílčích plnění jsou uvedeny v článku V., odst. 2.</w:t>
      </w:r>
    </w:p>
    <w:p>
      <w:pPr>
        <w:pStyle w:val="Style5"/>
        <w:keepNext w:val="0"/>
        <w:keepLines w:val="0"/>
        <w:widowControl w:val="0"/>
        <w:numPr>
          <w:ilvl w:val="0"/>
          <w:numId w:val="7"/>
        </w:numPr>
        <w:shd w:val="clear" w:color="auto" w:fill="auto"/>
        <w:tabs>
          <w:tab w:pos="756" w:val="left"/>
        </w:tabs>
        <w:bidi w:val="0"/>
        <w:spacing w:before="0" w:line="240" w:lineRule="auto"/>
        <w:ind w:left="660" w:right="0" w:hanging="280"/>
        <w:jc w:val="both"/>
      </w:pPr>
      <w:bookmarkStart w:id="51" w:name="bookmark51"/>
      <w:bookmarkEnd w:id="51"/>
      <w:r>
        <w:rPr>
          <w:color w:val="000000"/>
          <w:spacing w:val="0"/>
          <w:w w:val="100"/>
          <w:position w:val="0"/>
          <w:shd w:val="clear" w:color="auto" w:fill="auto"/>
          <w:lang w:val="cs-CZ" w:eastAsia="cs-CZ" w:bidi="cs-CZ"/>
        </w:rPr>
        <w:t>Pokud bude objednatel v prodlení s úhradou faktury proti sjednanému termínu je povinen zaplatit dodavateli úrok z prodlení ve výši 0,2 % z dlužné částky za každý i započatý den prodlení.</w:t>
      </w:r>
    </w:p>
    <w:p>
      <w:pPr>
        <w:pStyle w:val="Style5"/>
        <w:keepNext w:val="0"/>
        <w:keepLines w:val="0"/>
        <w:widowControl w:val="0"/>
        <w:numPr>
          <w:ilvl w:val="0"/>
          <w:numId w:val="7"/>
        </w:numPr>
        <w:shd w:val="clear" w:color="auto" w:fill="auto"/>
        <w:tabs>
          <w:tab w:pos="713" w:val="left"/>
        </w:tabs>
        <w:bidi w:val="0"/>
        <w:spacing w:before="0" w:line="240" w:lineRule="auto"/>
        <w:ind w:left="660" w:right="0" w:hanging="500"/>
        <w:jc w:val="both"/>
      </w:pPr>
      <w:bookmarkStart w:id="52" w:name="bookmark52"/>
      <w:bookmarkEnd w:id="52"/>
      <w:r>
        <w:rPr>
          <w:color w:val="000000"/>
          <w:spacing w:val="0"/>
          <w:w w:val="100"/>
          <w:position w:val="0"/>
          <w:shd w:val="clear" w:color="auto" w:fill="auto"/>
          <w:lang w:val="cs-CZ" w:eastAsia="cs-CZ" w:bidi="cs-CZ"/>
        </w:rPr>
        <w:t xml:space="preserve">Smluvní pokuty se nevztahují na případy, kdy prodlení nebo jiné porušení povinností bylo způsobeno okolnostmi vylučujícími odpovědnost ve smyslu § 2913 odst. 2 zákona </w:t>
      </w:r>
      <w:r>
        <w:rPr>
          <w:color w:val="000000"/>
          <w:spacing w:val="0"/>
          <w:w w:val="100"/>
          <w:position w:val="0"/>
          <w:shd w:val="clear" w:color="auto" w:fill="auto"/>
          <w:lang w:val="cs-CZ" w:eastAsia="cs-CZ" w:bidi="cs-CZ"/>
        </w:rPr>
        <w:t>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5"/>
        <w:keepNext w:val="0"/>
        <w:keepLines w:val="0"/>
        <w:widowControl w:val="0"/>
        <w:numPr>
          <w:ilvl w:val="0"/>
          <w:numId w:val="7"/>
        </w:numPr>
        <w:shd w:val="clear" w:color="auto" w:fill="auto"/>
        <w:tabs>
          <w:tab w:pos="635" w:val="left"/>
        </w:tabs>
        <w:bidi w:val="0"/>
        <w:spacing w:before="0" w:line="240" w:lineRule="auto"/>
        <w:ind w:left="660" w:right="0" w:hanging="360"/>
        <w:jc w:val="both"/>
      </w:pPr>
      <w:bookmarkStart w:id="53" w:name="bookmark53"/>
      <w:bookmarkEnd w:id="5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5"/>
        <w:keepNext w:val="0"/>
        <w:keepLines w:val="0"/>
        <w:widowControl w:val="0"/>
        <w:numPr>
          <w:ilvl w:val="0"/>
          <w:numId w:val="7"/>
        </w:numPr>
        <w:shd w:val="clear" w:color="auto" w:fill="auto"/>
        <w:tabs>
          <w:tab w:pos="635" w:val="left"/>
        </w:tabs>
        <w:bidi w:val="0"/>
        <w:spacing w:before="0" w:line="240" w:lineRule="auto"/>
        <w:ind w:left="660" w:right="0" w:hanging="360"/>
        <w:jc w:val="both"/>
      </w:pPr>
      <w:bookmarkStart w:id="54" w:name="bookmark54"/>
      <w:bookmarkEnd w:id="5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5"/>
        <w:keepNext w:val="0"/>
        <w:keepLines w:val="0"/>
        <w:widowControl w:val="0"/>
        <w:numPr>
          <w:ilvl w:val="0"/>
          <w:numId w:val="7"/>
        </w:numPr>
        <w:shd w:val="clear" w:color="auto" w:fill="auto"/>
        <w:tabs>
          <w:tab w:pos="635" w:val="left"/>
        </w:tabs>
        <w:bidi w:val="0"/>
        <w:spacing w:before="0" w:line="240" w:lineRule="auto"/>
        <w:ind w:left="660" w:right="0" w:hanging="360"/>
        <w:jc w:val="both"/>
      </w:pPr>
      <w:bookmarkStart w:id="55" w:name="bookmark55"/>
      <w:bookmarkEnd w:id="5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5"/>
        <w:keepNext w:val="0"/>
        <w:keepLines w:val="0"/>
        <w:widowControl w:val="0"/>
        <w:numPr>
          <w:ilvl w:val="0"/>
          <w:numId w:val="7"/>
        </w:numPr>
        <w:shd w:val="clear" w:color="auto" w:fill="auto"/>
        <w:tabs>
          <w:tab w:pos="635" w:val="left"/>
        </w:tabs>
        <w:bidi w:val="0"/>
        <w:spacing w:before="0" w:after="340" w:line="240" w:lineRule="auto"/>
        <w:ind w:left="660" w:right="0" w:hanging="360"/>
        <w:jc w:val="both"/>
      </w:pPr>
      <w:bookmarkStart w:id="56" w:name="bookmark56"/>
      <w:bookmarkEnd w:id="56"/>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
        <w:keepNext/>
        <w:keepLines/>
        <w:widowControl w:val="0"/>
        <w:shd w:val="clear" w:color="auto" w:fill="auto"/>
        <w:bidi w:val="0"/>
        <w:spacing w:before="0" w:after="240" w:line="240" w:lineRule="auto"/>
        <w:ind w:left="0" w:right="0" w:firstLine="0"/>
        <w:jc w:val="center"/>
      </w:pPr>
      <w:bookmarkStart w:id="57" w:name="bookmark57"/>
      <w:bookmarkStart w:id="58" w:name="bookmark58"/>
      <w:bookmarkStart w:id="59" w:name="bookmark59"/>
      <w:r>
        <w:rPr>
          <w:b/>
          <w:bCs/>
          <w:color w:val="000000"/>
          <w:spacing w:val="0"/>
          <w:w w:val="100"/>
          <w:position w:val="0"/>
          <w:shd w:val="clear" w:color="auto" w:fill="auto"/>
          <w:lang w:val="cs-CZ" w:eastAsia="cs-CZ" w:bidi="cs-CZ"/>
        </w:rPr>
        <w:t>Čl. VII. ZAJIŠTĚNÍ ZÁVAZKU</w:t>
      </w:r>
      <w:bookmarkEnd w:id="57"/>
      <w:bookmarkEnd w:id="58"/>
      <w:bookmarkEnd w:id="59"/>
    </w:p>
    <w:p>
      <w:pPr>
        <w:pStyle w:val="Style5"/>
        <w:keepNext w:val="0"/>
        <w:keepLines w:val="0"/>
        <w:widowControl w:val="0"/>
        <w:numPr>
          <w:ilvl w:val="0"/>
          <w:numId w:val="9"/>
        </w:numPr>
        <w:shd w:val="clear" w:color="auto" w:fill="auto"/>
        <w:tabs>
          <w:tab w:pos="607" w:val="left"/>
        </w:tabs>
        <w:bidi w:val="0"/>
        <w:spacing w:before="0" w:line="240" w:lineRule="auto"/>
        <w:ind w:left="600" w:right="0" w:hanging="600"/>
        <w:jc w:val="left"/>
      </w:pPr>
      <w:bookmarkStart w:id="60" w:name="bookmark60"/>
      <w:bookmarkEnd w:id="60"/>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5"/>
        <w:keepNext w:val="0"/>
        <w:keepLines w:val="0"/>
        <w:widowControl w:val="0"/>
        <w:numPr>
          <w:ilvl w:val="0"/>
          <w:numId w:val="9"/>
        </w:numPr>
        <w:shd w:val="clear" w:color="auto" w:fill="auto"/>
        <w:tabs>
          <w:tab w:pos="607" w:val="left"/>
        </w:tabs>
        <w:bidi w:val="0"/>
        <w:spacing w:before="0" w:line="240" w:lineRule="auto"/>
        <w:ind w:left="600" w:right="0" w:hanging="600"/>
        <w:jc w:val="left"/>
      </w:pPr>
      <w:bookmarkStart w:id="61" w:name="bookmark61"/>
      <w:bookmarkEnd w:id="61"/>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5"/>
        <w:keepNext w:val="0"/>
        <w:keepLines w:val="0"/>
        <w:widowControl w:val="0"/>
        <w:numPr>
          <w:ilvl w:val="0"/>
          <w:numId w:val="9"/>
        </w:numPr>
        <w:shd w:val="clear" w:color="auto" w:fill="auto"/>
        <w:tabs>
          <w:tab w:pos="607" w:val="left"/>
        </w:tabs>
        <w:bidi w:val="0"/>
        <w:spacing w:before="0" w:line="240" w:lineRule="auto"/>
        <w:ind w:left="600" w:right="0" w:hanging="600"/>
        <w:jc w:val="left"/>
      </w:pPr>
      <w:bookmarkStart w:id="62" w:name="bookmark62"/>
      <w:bookmarkEnd w:id="62"/>
      <w:r>
        <w:rPr>
          <w:color w:val="000000"/>
          <w:spacing w:val="0"/>
          <w:w w:val="100"/>
          <w:position w:val="0"/>
          <w:shd w:val="clear" w:color="auto" w:fill="auto"/>
          <w:lang w:val="cs-CZ" w:eastAsia="cs-CZ" w:bidi="cs-CZ"/>
        </w:rPr>
        <w:t>Odpovědnost zhotovitele jakožto zhotovitele průzkumu se mj. řídí ustanovením §159 zákona č. 183/2006 Sb., o územním plánování a stavebním řádu (stavební zákon), ve znění pozdějších předpisů.</w:t>
      </w:r>
    </w:p>
    <w:p>
      <w:pPr>
        <w:pStyle w:val="Style5"/>
        <w:keepNext w:val="0"/>
        <w:keepLines w:val="0"/>
        <w:widowControl w:val="0"/>
        <w:numPr>
          <w:ilvl w:val="0"/>
          <w:numId w:val="9"/>
        </w:numPr>
        <w:shd w:val="clear" w:color="auto" w:fill="auto"/>
        <w:tabs>
          <w:tab w:pos="607" w:val="left"/>
        </w:tabs>
        <w:bidi w:val="0"/>
        <w:spacing w:before="0" w:after="0" w:line="240" w:lineRule="auto"/>
        <w:ind w:left="0" w:right="0" w:firstLine="0"/>
        <w:jc w:val="left"/>
      </w:pPr>
      <w:bookmarkStart w:id="63" w:name="bookmark63"/>
      <w:bookmarkEnd w:id="63"/>
      <w:r>
        <w:rPr>
          <w:color w:val="000000"/>
          <w:spacing w:val="0"/>
          <w:w w:val="100"/>
          <w:position w:val="0"/>
          <w:shd w:val="clear" w:color="auto" w:fill="auto"/>
          <w:lang w:val="cs-CZ" w:eastAsia="cs-CZ" w:bidi="cs-CZ"/>
        </w:rPr>
        <w:t>Zhotovitel zodpovídá za vady díla následovně:</w:t>
      </w:r>
    </w:p>
    <w:p>
      <w:pPr>
        <w:pStyle w:val="Style5"/>
        <w:keepNext w:val="0"/>
        <w:keepLines w:val="0"/>
        <w:widowControl w:val="0"/>
        <w:numPr>
          <w:ilvl w:val="0"/>
          <w:numId w:val="11"/>
        </w:numPr>
        <w:shd w:val="clear" w:color="auto" w:fill="auto"/>
        <w:tabs>
          <w:tab w:pos="945" w:val="left"/>
        </w:tabs>
        <w:bidi w:val="0"/>
        <w:spacing w:before="0" w:after="0" w:line="240" w:lineRule="auto"/>
        <w:ind w:left="880" w:right="0" w:hanging="280"/>
        <w:jc w:val="both"/>
      </w:pPr>
      <w:bookmarkStart w:id="64" w:name="bookmark64"/>
      <w:bookmarkEnd w:id="64"/>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5"/>
        <w:keepNext w:val="0"/>
        <w:keepLines w:val="0"/>
        <w:widowControl w:val="0"/>
        <w:numPr>
          <w:ilvl w:val="0"/>
          <w:numId w:val="11"/>
        </w:numPr>
        <w:shd w:val="clear" w:color="auto" w:fill="auto"/>
        <w:tabs>
          <w:tab w:pos="945" w:val="left"/>
        </w:tabs>
        <w:bidi w:val="0"/>
        <w:spacing w:before="0" w:line="240" w:lineRule="auto"/>
        <w:ind w:left="880" w:right="0" w:hanging="280"/>
        <w:jc w:val="both"/>
      </w:pPr>
      <w:bookmarkStart w:id="65" w:name="bookmark65"/>
      <w:bookmarkEnd w:id="65"/>
      <w:r>
        <w:rPr>
          <w:color w:val="000000"/>
          <w:spacing w:val="0"/>
          <w:w w:val="100"/>
          <w:position w:val="0"/>
          <w:shd w:val="clear" w:color="auto" w:fill="auto"/>
          <w:lang w:val="cs-CZ" w:eastAsia="cs-CZ" w:bidi="cs-CZ"/>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5"/>
        <w:keepNext w:val="0"/>
        <w:keepLines w:val="0"/>
        <w:widowControl w:val="0"/>
        <w:numPr>
          <w:ilvl w:val="0"/>
          <w:numId w:val="9"/>
        </w:numPr>
        <w:shd w:val="clear" w:color="auto" w:fill="auto"/>
        <w:tabs>
          <w:tab w:pos="607" w:val="left"/>
        </w:tabs>
        <w:bidi w:val="0"/>
        <w:spacing w:before="0" w:line="240" w:lineRule="auto"/>
        <w:ind w:left="600" w:right="0" w:hanging="600"/>
        <w:jc w:val="both"/>
      </w:pPr>
      <w:bookmarkStart w:id="66" w:name="bookmark66"/>
      <w:bookmarkEnd w:id="66"/>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5"/>
        <w:keepNext w:val="0"/>
        <w:keepLines w:val="0"/>
        <w:widowControl w:val="0"/>
        <w:numPr>
          <w:ilvl w:val="0"/>
          <w:numId w:val="9"/>
        </w:numPr>
        <w:shd w:val="clear" w:color="auto" w:fill="auto"/>
        <w:tabs>
          <w:tab w:pos="607" w:val="left"/>
        </w:tabs>
        <w:bidi w:val="0"/>
        <w:spacing w:before="0" w:line="240" w:lineRule="auto"/>
        <w:ind w:left="600" w:right="0" w:hanging="600"/>
        <w:jc w:val="both"/>
      </w:pPr>
      <w:bookmarkStart w:id="67" w:name="bookmark67"/>
      <w:bookmarkEnd w:id="67"/>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5"/>
        <w:keepNext w:val="0"/>
        <w:keepLines w:val="0"/>
        <w:widowControl w:val="0"/>
        <w:numPr>
          <w:ilvl w:val="0"/>
          <w:numId w:val="9"/>
        </w:numPr>
        <w:shd w:val="clear" w:color="auto" w:fill="auto"/>
        <w:tabs>
          <w:tab w:pos="422" w:val="left"/>
        </w:tabs>
        <w:bidi w:val="0"/>
        <w:spacing w:before="0" w:line="240" w:lineRule="auto"/>
        <w:ind w:left="600" w:right="0" w:hanging="600"/>
        <w:jc w:val="both"/>
      </w:pPr>
      <w:bookmarkStart w:id="68" w:name="bookmark68"/>
      <w:bookmarkEnd w:id="68"/>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w:t>
      </w:r>
    </w:p>
    <w:p>
      <w:pPr>
        <w:pStyle w:val="Style5"/>
        <w:keepNext w:val="0"/>
        <w:keepLines w:val="0"/>
        <w:widowControl w:val="0"/>
        <w:numPr>
          <w:ilvl w:val="0"/>
          <w:numId w:val="9"/>
        </w:numPr>
        <w:shd w:val="clear" w:color="auto" w:fill="auto"/>
        <w:tabs>
          <w:tab w:pos="422" w:val="left"/>
        </w:tabs>
        <w:bidi w:val="0"/>
        <w:spacing w:before="0" w:after="580" w:line="240" w:lineRule="auto"/>
        <w:ind w:left="600" w:right="0" w:hanging="600"/>
        <w:jc w:val="both"/>
      </w:pPr>
      <w:bookmarkStart w:id="69" w:name="bookmark69"/>
      <w:bookmarkEnd w:id="69"/>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
        <w:keepNext/>
        <w:keepLines/>
        <w:widowControl w:val="0"/>
        <w:shd w:val="clear" w:color="auto" w:fill="auto"/>
        <w:bidi w:val="0"/>
        <w:spacing w:before="0" w:after="240" w:line="240" w:lineRule="auto"/>
        <w:ind w:left="0" w:right="0" w:firstLine="0"/>
        <w:jc w:val="center"/>
      </w:pPr>
      <w:bookmarkStart w:id="70" w:name="bookmark70"/>
      <w:bookmarkStart w:id="71" w:name="bookmark71"/>
      <w:bookmarkStart w:id="72" w:name="bookmark72"/>
      <w:r>
        <w:rPr>
          <w:b/>
          <w:bCs/>
          <w:color w:val="000000"/>
          <w:spacing w:val="0"/>
          <w:w w:val="100"/>
          <w:position w:val="0"/>
          <w:shd w:val="clear" w:color="auto" w:fill="auto"/>
          <w:lang w:val="cs-CZ" w:eastAsia="cs-CZ" w:bidi="cs-CZ"/>
        </w:rPr>
        <w:t>Čl. VIII. LICENČNÍ PODMÍNKY</w:t>
      </w:r>
      <w:bookmarkEnd w:id="70"/>
      <w:bookmarkEnd w:id="71"/>
      <w:bookmarkEnd w:id="72"/>
    </w:p>
    <w:p>
      <w:pPr>
        <w:pStyle w:val="Style5"/>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Vztahují – 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2"/>
        <w:keepNext/>
        <w:keepLines/>
        <w:widowControl w:val="0"/>
        <w:shd w:val="clear" w:color="auto" w:fill="auto"/>
        <w:bidi w:val="0"/>
        <w:spacing w:before="0" w:after="240" w:line="240" w:lineRule="auto"/>
        <w:ind w:left="0" w:right="0" w:firstLine="0"/>
        <w:jc w:val="center"/>
      </w:pPr>
      <w:bookmarkStart w:id="73" w:name="bookmark73"/>
      <w:bookmarkStart w:id="74" w:name="bookmark74"/>
      <w:bookmarkStart w:id="75" w:name="bookmark75"/>
      <w:r>
        <w:rPr>
          <w:b/>
          <w:bCs/>
          <w:color w:val="000000"/>
          <w:spacing w:val="0"/>
          <w:w w:val="100"/>
          <w:position w:val="0"/>
          <w:u w:val="single"/>
          <w:shd w:val="clear" w:color="auto" w:fill="auto"/>
          <w:lang w:val="cs-CZ" w:eastAsia="cs-CZ" w:bidi="cs-CZ"/>
        </w:rPr>
        <w:t>Čl. IX. NÁHRADA ŠKODY</w:t>
      </w:r>
      <w:bookmarkEnd w:id="73"/>
      <w:bookmarkEnd w:id="74"/>
      <w:bookmarkEnd w:id="75"/>
    </w:p>
    <w:p>
      <w:pPr>
        <w:pStyle w:val="Style5"/>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keepLines/>
        <w:widowControl w:val="0"/>
        <w:shd w:val="clear" w:color="auto" w:fill="auto"/>
        <w:bidi w:val="0"/>
        <w:spacing w:before="0" w:after="240" w:line="240" w:lineRule="auto"/>
        <w:ind w:left="0" w:right="0" w:firstLine="0"/>
        <w:jc w:val="center"/>
      </w:pPr>
      <w:bookmarkStart w:id="76" w:name="bookmark76"/>
      <w:bookmarkStart w:id="77" w:name="bookmark77"/>
      <w:bookmarkStart w:id="78" w:name="bookmark78"/>
      <w:r>
        <w:rPr>
          <w:b/>
          <w:bCs/>
          <w:color w:val="000000"/>
          <w:spacing w:val="0"/>
          <w:w w:val="100"/>
          <w:position w:val="0"/>
          <w:shd w:val="clear" w:color="auto" w:fill="auto"/>
          <w:lang w:val="cs-CZ" w:eastAsia="cs-CZ" w:bidi="cs-CZ"/>
        </w:rPr>
        <w:t>Čl. X. OSTATNÍ USTANOVENÍ</w:t>
      </w:r>
      <w:bookmarkEnd w:id="76"/>
      <w:bookmarkEnd w:id="77"/>
      <w:bookmarkEnd w:id="78"/>
    </w:p>
    <w:p>
      <w:pPr>
        <w:pStyle w:val="Style5"/>
        <w:keepNext w:val="0"/>
        <w:keepLines w:val="0"/>
        <w:widowControl w:val="0"/>
        <w:numPr>
          <w:ilvl w:val="0"/>
          <w:numId w:val="13"/>
        </w:numPr>
        <w:shd w:val="clear" w:color="auto" w:fill="auto"/>
        <w:tabs>
          <w:tab w:pos="422"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 včetně zajištění přístupů na Ervěnický koridor v zájmovém území.</w:t>
      </w:r>
    </w:p>
    <w:p>
      <w:pPr>
        <w:pStyle w:val="Style5"/>
        <w:keepNext w:val="0"/>
        <w:keepLines w:val="0"/>
        <w:widowControl w:val="0"/>
        <w:numPr>
          <w:ilvl w:val="0"/>
          <w:numId w:val="13"/>
        </w:numPr>
        <w:shd w:val="clear" w:color="auto" w:fill="auto"/>
        <w:tabs>
          <w:tab w:pos="422" w:val="left"/>
        </w:tabs>
        <w:bidi w:val="0"/>
        <w:spacing w:before="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mohly mít vliv na cenu díla.</w:t>
      </w:r>
    </w:p>
    <w:p>
      <w:pPr>
        <w:pStyle w:val="Style5"/>
        <w:keepNext w:val="0"/>
        <w:keepLines w:val="0"/>
        <w:widowControl w:val="0"/>
        <w:numPr>
          <w:ilvl w:val="0"/>
          <w:numId w:val="13"/>
        </w:numPr>
        <w:shd w:val="clear" w:color="auto" w:fill="auto"/>
        <w:tabs>
          <w:tab w:pos="422"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5"/>
        <w:keepNext w:val="0"/>
        <w:keepLines w:val="0"/>
        <w:widowControl w:val="0"/>
        <w:numPr>
          <w:ilvl w:val="0"/>
          <w:numId w:val="13"/>
        </w:numPr>
        <w:shd w:val="clear" w:color="auto" w:fill="auto"/>
        <w:tabs>
          <w:tab w:pos="422"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5"/>
        <w:keepNext w:val="0"/>
        <w:keepLines w:val="0"/>
        <w:widowControl w:val="0"/>
        <w:numPr>
          <w:ilvl w:val="0"/>
          <w:numId w:val="13"/>
        </w:numPr>
        <w:shd w:val="clear" w:color="auto" w:fill="auto"/>
        <w:tabs>
          <w:tab w:pos="422"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5"/>
        <w:keepNext w:val="0"/>
        <w:keepLines w:val="0"/>
        <w:widowControl w:val="0"/>
        <w:numPr>
          <w:ilvl w:val="0"/>
          <w:numId w:val="13"/>
        </w:numPr>
        <w:shd w:val="clear" w:color="auto" w:fill="auto"/>
        <w:tabs>
          <w:tab w:pos="422" w:val="left"/>
        </w:tabs>
        <w:bidi w:val="0"/>
        <w:spacing w:before="0" w:line="240" w:lineRule="auto"/>
        <w:ind w:left="0" w:right="0" w:firstLine="0"/>
        <w:jc w:val="both"/>
      </w:pPr>
      <w:bookmarkStart w:id="84" w:name="bookmark84"/>
      <w:bookmarkEnd w:id="84"/>
      <w:r>
        <w:rPr>
          <w:color w:val="000000"/>
          <w:spacing w:val="0"/>
          <w:w w:val="100"/>
          <w:position w:val="0"/>
          <w:shd w:val="clear" w:color="auto" w:fill="auto"/>
          <w:lang w:val="cs-CZ" w:eastAsia="cs-CZ" w:bidi="cs-CZ"/>
        </w:rPr>
        <w:t>Zhotovitel může předmět díla použít pouze se souhlasem objednatele.</w:t>
      </w:r>
    </w:p>
    <w:p>
      <w:pPr>
        <w:pStyle w:val="Style5"/>
        <w:keepNext w:val="0"/>
        <w:keepLines w:val="0"/>
        <w:widowControl w:val="0"/>
        <w:numPr>
          <w:ilvl w:val="0"/>
          <w:numId w:val="13"/>
        </w:numPr>
        <w:shd w:val="clear" w:color="auto" w:fill="auto"/>
        <w:tabs>
          <w:tab w:pos="422"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5"/>
        <w:keepNext w:val="0"/>
        <w:keepLines w:val="0"/>
        <w:widowControl w:val="0"/>
        <w:numPr>
          <w:ilvl w:val="0"/>
          <w:numId w:val="13"/>
        </w:numPr>
        <w:shd w:val="clear" w:color="auto" w:fill="auto"/>
        <w:tabs>
          <w:tab w:pos="416" w:val="left"/>
        </w:tabs>
        <w:bidi w:val="0"/>
        <w:spacing w:before="0" w:after="22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státní podnik, na odboru VH-dispečinku, tel. 474 636 306.</w:t>
      </w:r>
    </w:p>
    <w:p>
      <w:pPr>
        <w:pStyle w:val="Style5"/>
        <w:keepNext w:val="0"/>
        <w:keepLines w:val="0"/>
        <w:widowControl w:val="0"/>
        <w:numPr>
          <w:ilvl w:val="0"/>
          <w:numId w:val="13"/>
        </w:numPr>
        <w:shd w:val="clear" w:color="auto" w:fill="auto"/>
        <w:tabs>
          <w:tab w:pos="416" w:val="left"/>
        </w:tabs>
        <w:bidi w:val="0"/>
        <w:spacing w:before="0" w:after="34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keepLines/>
        <w:widowControl w:val="0"/>
        <w:shd w:val="clear" w:color="auto" w:fill="auto"/>
        <w:bidi w:val="0"/>
        <w:spacing w:before="0" w:line="240" w:lineRule="auto"/>
        <w:ind w:left="0" w:right="0" w:firstLine="0"/>
        <w:jc w:val="center"/>
      </w:pPr>
      <w:bookmarkStart w:id="88" w:name="bookmark88"/>
      <w:bookmarkStart w:id="89" w:name="bookmark89"/>
      <w:bookmarkStart w:id="90" w:name="bookmark90"/>
      <w:r>
        <w:rPr>
          <w:b/>
          <w:bCs/>
          <w:color w:val="000000"/>
          <w:spacing w:val="0"/>
          <w:w w:val="100"/>
          <w:position w:val="0"/>
          <w:shd w:val="clear" w:color="auto" w:fill="auto"/>
          <w:lang w:val="cs-CZ" w:eastAsia="cs-CZ" w:bidi="cs-CZ"/>
        </w:rPr>
        <w:t>Čl. XI. COMPLIANCE DOLOŽKA</w:t>
      </w:r>
      <w:bookmarkEnd w:id="88"/>
      <w:bookmarkEnd w:id="89"/>
      <w:bookmarkEnd w:id="90"/>
    </w:p>
    <w:p>
      <w:pPr>
        <w:pStyle w:val="Style5"/>
        <w:keepNext w:val="0"/>
        <w:keepLines w:val="0"/>
        <w:widowControl w:val="0"/>
        <w:numPr>
          <w:ilvl w:val="0"/>
          <w:numId w:val="15"/>
        </w:numPr>
        <w:shd w:val="clear" w:color="auto" w:fill="auto"/>
        <w:tabs>
          <w:tab w:pos="416" w:val="left"/>
        </w:tabs>
        <w:bidi w:val="0"/>
        <w:spacing w:before="0" w:after="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numPr>
          <w:ilvl w:val="0"/>
          <w:numId w:val="15"/>
        </w:numPr>
        <w:shd w:val="clear" w:color="auto" w:fill="auto"/>
        <w:tabs>
          <w:tab w:pos="416" w:val="left"/>
        </w:tabs>
        <w:bidi w:val="0"/>
        <w:spacing w:before="0" w:after="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numPr>
          <w:ilvl w:val="0"/>
          <w:numId w:val="15"/>
        </w:numPr>
        <w:shd w:val="clear" w:color="auto" w:fill="auto"/>
        <w:tabs>
          <w:tab w:pos="416" w:val="left"/>
        </w:tabs>
        <w:bidi w:val="0"/>
        <w:spacing w:before="0" w:after="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5"/>
        <w:keepNext w:val="0"/>
        <w:keepLines w:val="0"/>
        <w:widowControl w:val="0"/>
        <w:numPr>
          <w:ilvl w:val="0"/>
          <w:numId w:val="15"/>
        </w:numPr>
        <w:shd w:val="clear" w:color="auto" w:fill="auto"/>
        <w:tabs>
          <w:tab w:pos="416" w:val="left"/>
        </w:tabs>
        <w:bidi w:val="0"/>
        <w:spacing w:before="0" w:after="34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5"/>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Čl. XII. OCHRANA A ZPRACOVÁNÍ OSOBNÍCH ÚDAJŮ</w:t>
      </w:r>
    </w:p>
    <w:p>
      <w:pPr>
        <w:pStyle w:val="Style5"/>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w:t>
      </w:r>
    </w:p>
    <w:p>
      <w:pPr>
        <w:pStyle w:val="Style5"/>
        <w:keepNext w:val="0"/>
        <w:keepLines w:val="0"/>
        <w:widowControl w:val="0"/>
        <w:shd w:val="clear" w:color="auto" w:fill="auto"/>
        <w:tabs>
          <w:tab w:pos="4488" w:val="left"/>
          <w:tab w:pos="8798" w:val="left"/>
        </w:tabs>
        <w:bidi w:val="0"/>
        <w:spacing w:before="0" w:after="0" w:line="240" w:lineRule="auto"/>
        <w:ind w:left="0" w:right="0" w:firstLine="0"/>
        <w:jc w:val="left"/>
      </w:pPr>
      <w:r>
        <w:rPr>
          <w:color w:val="000000"/>
          <w:spacing w:val="0"/>
          <w:w w:val="100"/>
          <w:position w:val="0"/>
          <w:shd w:val="clear" w:color="auto" w:fill="auto"/>
          <w:lang w:val="cs-CZ" w:eastAsia="cs-CZ" w:bidi="cs-CZ"/>
        </w:rPr>
        <w:t>zpracování,</w:t>
        <w:tab/>
        <w:t>naleznete</w:t>
        <w:tab/>
        <w:t>na</w:t>
      </w:r>
    </w:p>
    <w:p>
      <w:pPr>
        <w:pStyle w:val="Style5"/>
        <w:keepNext w:val="0"/>
        <w:keepLines w:val="0"/>
        <w:widowControl w:val="0"/>
        <w:shd w:val="clear" w:color="auto" w:fill="auto"/>
        <w:bidi w:val="0"/>
        <w:spacing w:before="0" w:after="780" w:line="240" w:lineRule="auto"/>
        <w:ind w:left="0" w:right="0" w:firstLine="0"/>
        <w:jc w:val="left"/>
      </w:pP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p>
    <w:p>
      <w:pPr>
        <w:pStyle w:val="Style5"/>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XIII. ZÁVĚREČNÁ USTANOVENÍ</w:t>
      </w:r>
    </w:p>
    <w:p>
      <w:pPr>
        <w:pStyle w:val="Style5"/>
        <w:keepNext w:val="0"/>
        <w:keepLines w:val="0"/>
        <w:widowControl w:val="0"/>
        <w:numPr>
          <w:ilvl w:val="0"/>
          <w:numId w:val="17"/>
        </w:numPr>
        <w:shd w:val="clear" w:color="auto" w:fill="auto"/>
        <w:tabs>
          <w:tab w:pos="416"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pPr>
        <w:pStyle w:val="Style5"/>
        <w:keepNext w:val="0"/>
        <w:keepLines w:val="0"/>
        <w:widowControl w:val="0"/>
        <w:numPr>
          <w:ilvl w:val="0"/>
          <w:numId w:val="17"/>
        </w:numPr>
        <w:shd w:val="clear" w:color="auto" w:fill="auto"/>
        <w:tabs>
          <w:tab w:pos="416" w:val="left"/>
        </w:tabs>
        <w:bidi w:val="0"/>
        <w:spacing w:before="0" w:after="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 Návrh dodatku ke smlouvě předloží zhotovitel objednateli v elektronické podobě nejpozději 14 dnů před ukončením termínu plnění dle smlouvy.</w:t>
      </w:r>
    </w:p>
    <w:p>
      <w:pPr>
        <w:pStyle w:val="Style5"/>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5"/>
        <w:keepNext w:val="0"/>
        <w:keepLines w:val="0"/>
        <w:widowControl w:val="0"/>
        <w:numPr>
          <w:ilvl w:val="0"/>
          <w:numId w:val="17"/>
        </w:numPr>
        <w:shd w:val="clear" w:color="auto" w:fill="auto"/>
        <w:tabs>
          <w:tab w:pos="416" w:val="left"/>
        </w:tabs>
        <w:bidi w:val="0"/>
        <w:spacing w:before="0" w:after="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Podstatným porušením této smlouvy se rozumí zejména:</w:t>
      </w:r>
    </w:p>
    <w:p>
      <w:pPr>
        <w:pStyle w:val="Style5"/>
        <w:keepNext w:val="0"/>
        <w:keepLines w:val="0"/>
        <w:widowControl w:val="0"/>
        <w:numPr>
          <w:ilvl w:val="0"/>
          <w:numId w:val="19"/>
        </w:numPr>
        <w:shd w:val="clear" w:color="auto" w:fill="auto"/>
        <w:tabs>
          <w:tab w:pos="780" w:val="left"/>
        </w:tabs>
        <w:bidi w:val="0"/>
        <w:spacing w:before="0" w:after="0" w:line="240" w:lineRule="auto"/>
        <w:ind w:left="740" w:right="0" w:hanging="320"/>
        <w:jc w:val="both"/>
      </w:pPr>
      <w:bookmarkStart w:id="98" w:name="bookmark98"/>
      <w:bookmarkEnd w:id="98"/>
      <w:r>
        <w:rPr>
          <w:color w:val="000000"/>
          <w:spacing w:val="0"/>
          <w:w w:val="100"/>
          <w:position w:val="0"/>
          <w:shd w:val="clear" w:color="auto" w:fill="auto"/>
          <w:lang w:val="cs-CZ" w:eastAsia="cs-CZ" w:bidi="cs-CZ"/>
        </w:rPr>
        <w:t>pokud zhotovitel nezahájí provádění díla ve lhůtě do 10 týdnů po nabytí účinnosti smlouvy o dílo,</w:t>
      </w:r>
    </w:p>
    <w:p>
      <w:pPr>
        <w:pStyle w:val="Style5"/>
        <w:keepNext w:val="0"/>
        <w:keepLines w:val="0"/>
        <w:widowControl w:val="0"/>
        <w:numPr>
          <w:ilvl w:val="0"/>
          <w:numId w:val="19"/>
        </w:numPr>
        <w:shd w:val="clear" w:color="auto" w:fill="auto"/>
        <w:tabs>
          <w:tab w:pos="780" w:val="left"/>
        </w:tabs>
        <w:bidi w:val="0"/>
        <w:spacing w:before="0" w:line="240" w:lineRule="auto"/>
        <w:ind w:left="740" w:right="0" w:hanging="320"/>
        <w:jc w:val="both"/>
      </w:pPr>
      <w:bookmarkStart w:id="99" w:name="bookmark99"/>
      <w:bookmarkEnd w:id="99"/>
      <w:r>
        <w:rPr>
          <w:color w:val="000000"/>
          <w:spacing w:val="0"/>
          <w:w w:val="100"/>
          <w:position w:val="0"/>
          <w:shd w:val="clear" w:color="auto" w:fill="auto"/>
          <w:lang w:val="cs-CZ" w:eastAsia="cs-CZ" w:bidi="cs-CZ"/>
        </w:rPr>
        <w:t>prodlení zhotovitele se splněním termínu dokončení díla nebo jeho dohodnuté části delší než 30 dnů.</w:t>
      </w:r>
    </w:p>
    <w:p>
      <w:pPr>
        <w:pStyle w:val="Style5"/>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 Objednatel může zaplatit poměrnou část původně určené ceny zhotoviteli, má – li z částečného plnění zhotovitele prospěch.</w:t>
      </w:r>
    </w:p>
    <w:p>
      <w:pPr>
        <w:pStyle w:val="Style5"/>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Objednatel je oprávněn odstoupit od smlouvy také v případě, že zhotovitel vstoupí do likvidace nebo se ocitne v úpadku dle zákona č. 182/2006 Sb., o úpadku a způsobech jeho řešení (insolvenční zákon), ve znění pozdějších předpisů.</w:t>
      </w:r>
    </w:p>
    <w:p>
      <w:pPr>
        <w:pStyle w:val="Style5"/>
        <w:keepNext w:val="0"/>
        <w:keepLines w:val="0"/>
        <w:widowControl w:val="0"/>
        <w:numPr>
          <w:ilvl w:val="0"/>
          <w:numId w:val="17"/>
        </w:numPr>
        <w:shd w:val="clear" w:color="auto" w:fill="auto"/>
        <w:tabs>
          <w:tab w:pos="416" w:val="left"/>
        </w:tabs>
        <w:bidi w:val="0"/>
        <w:spacing w:before="0" w:line="240" w:lineRule="auto"/>
        <w:ind w:left="380" w:right="0" w:hanging="380"/>
        <w:jc w:val="left"/>
      </w:pPr>
      <w:bookmarkStart w:id="100" w:name="bookmark100"/>
      <w:bookmarkEnd w:id="100"/>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pPr>
        <w:pStyle w:val="Style5"/>
        <w:keepNext w:val="0"/>
        <w:keepLines w:val="0"/>
        <w:widowControl w:val="0"/>
        <w:numPr>
          <w:ilvl w:val="0"/>
          <w:numId w:val="17"/>
        </w:numPr>
        <w:shd w:val="clear" w:color="auto" w:fill="auto"/>
        <w:tabs>
          <w:tab w:pos="416" w:val="left"/>
        </w:tabs>
        <w:bidi w:val="0"/>
        <w:spacing w:before="0" w:line="240" w:lineRule="auto"/>
        <w:ind w:left="380" w:right="0" w:hanging="380"/>
        <w:jc w:val="left"/>
      </w:pPr>
      <w:bookmarkStart w:id="101" w:name="bookmark101"/>
      <w:bookmarkEnd w:id="101"/>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p>
    <w:p>
      <w:pPr>
        <w:pStyle w:val="Style5"/>
        <w:keepNext w:val="0"/>
        <w:keepLines w:val="0"/>
        <w:widowControl w:val="0"/>
        <w:numPr>
          <w:ilvl w:val="0"/>
          <w:numId w:val="17"/>
        </w:numPr>
        <w:shd w:val="clear" w:color="auto" w:fill="auto"/>
        <w:tabs>
          <w:tab w:pos="416" w:val="left"/>
        </w:tabs>
        <w:bidi w:val="0"/>
        <w:spacing w:before="0" w:line="240" w:lineRule="auto"/>
        <w:ind w:left="0" w:right="0" w:firstLine="0"/>
        <w:jc w:val="left"/>
      </w:pPr>
      <w:bookmarkStart w:id="102" w:name="bookmark102"/>
      <w:bookmarkEnd w:id="102"/>
      <w:r>
        <w:rPr>
          <w:color w:val="000000"/>
          <w:spacing w:val="0"/>
          <w:w w:val="100"/>
          <w:position w:val="0"/>
          <w:shd w:val="clear" w:color="auto" w:fill="auto"/>
          <w:lang w:val="cs-CZ" w:eastAsia="cs-CZ" w:bidi="cs-CZ"/>
        </w:rPr>
        <w:t>Smluvní strany nepovažují žádné ustanovení smlouvy za obchodní tajemství.</w:t>
      </w:r>
    </w:p>
    <w:p>
      <w:pPr>
        <w:pStyle w:val="Style5"/>
        <w:keepNext w:val="0"/>
        <w:keepLines w:val="0"/>
        <w:widowControl w:val="0"/>
        <w:numPr>
          <w:ilvl w:val="0"/>
          <w:numId w:val="17"/>
        </w:numPr>
        <w:shd w:val="clear" w:color="auto" w:fill="auto"/>
        <w:tabs>
          <w:tab w:pos="387"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5"/>
        <w:keepNext w:val="0"/>
        <w:keepLines w:val="0"/>
        <w:widowControl w:val="0"/>
        <w:numPr>
          <w:ilvl w:val="0"/>
          <w:numId w:val="17"/>
        </w:numPr>
        <w:shd w:val="clear" w:color="auto" w:fill="auto"/>
        <w:tabs>
          <w:tab w:pos="387" w:val="left"/>
        </w:tabs>
        <w:bidi w:val="0"/>
        <w:spacing w:before="0" w:after="500" w:line="240" w:lineRule="auto"/>
        <w:ind w:left="380" w:right="0" w:hanging="380"/>
        <w:jc w:val="left"/>
      </w:pPr>
      <w:bookmarkStart w:id="104" w:name="bookmark104"/>
      <w:bookmarkEnd w:id="10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5"/>
        <w:keepNext w:val="0"/>
        <w:keepLines w:val="0"/>
        <w:widowControl w:val="0"/>
        <w:numPr>
          <w:ilvl w:val="0"/>
          <w:numId w:val="17"/>
        </w:numPr>
        <w:shd w:val="clear" w:color="auto" w:fill="auto"/>
        <w:tabs>
          <w:tab w:pos="387" w:val="left"/>
        </w:tabs>
        <w:bidi w:val="0"/>
        <w:spacing w:before="0" w:line="240" w:lineRule="auto"/>
        <w:ind w:left="0" w:right="0" w:firstLine="0"/>
        <w:jc w:val="left"/>
      </w:pPr>
      <w:bookmarkStart w:id="105" w:name="bookmark105"/>
      <w:bookmarkEnd w:id="105"/>
      <w:r>
        <w:rPr>
          <w:color w:val="000000"/>
          <w:spacing w:val="0"/>
          <w:w w:val="100"/>
          <w:position w:val="0"/>
          <w:shd w:val="clear" w:color="auto" w:fill="auto"/>
          <w:lang w:val="cs-CZ" w:eastAsia="cs-CZ" w:bidi="cs-CZ"/>
        </w:rPr>
        <w:t>Nedílnou součástí smlouvy jsou následující přílohy:</w:t>
      </w:r>
    </w:p>
    <w:p>
      <w:pPr>
        <w:pStyle w:val="Style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1: Cenová nabídka</w:t>
      </w:r>
    </w:p>
    <w:p>
      <w:pPr>
        <w:pStyle w:val="Style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2: BOZP a PO – místní rizika</w:t>
      </w:r>
    </w:p>
    <w:p>
      <w:pPr>
        <w:pStyle w:val="Style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3: Čestné prohlášení k finančním sankcím</w:t>
      </w:r>
    </w:p>
    <w:p>
      <w:pPr>
        <w:pStyle w:val="Style5"/>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Příloha č. 4: ČP k odpovědnému zadávání</w:t>
      </w:r>
    </w:p>
    <w:p>
      <w:pPr>
        <w:pStyle w:val="Style5"/>
        <w:keepNext w:val="0"/>
        <w:keepLines w:val="0"/>
        <w:widowControl w:val="0"/>
        <w:numPr>
          <w:ilvl w:val="0"/>
          <w:numId w:val="17"/>
        </w:numPr>
        <w:shd w:val="clear" w:color="auto" w:fill="auto"/>
        <w:tabs>
          <w:tab w:pos="507"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Pokud tato smlouva a její přílohy obsahují ujednání o tomtéž, platí při takovém konfliktu následující pořadí priorit:</w:t>
      </w:r>
    </w:p>
    <w:p>
      <w:pPr>
        <w:pStyle w:val="Style5"/>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Priorita 1) Tato smlouva</w:t>
      </w:r>
    </w:p>
    <w:p>
      <w:pPr>
        <w:pStyle w:val="Style5"/>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Priorita 2) Příloha č. 1: Cenová nabídka</w:t>
      </w:r>
    </w:p>
    <w:p>
      <w:pPr>
        <w:pStyle w:val="Style5"/>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Priorita 3) Příloha č. 2: BOZP a PO – místní rizika</w:t>
      </w:r>
    </w:p>
    <w:p>
      <w:pPr>
        <w:pStyle w:val="Style5"/>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Priorita 4) Příloha č. 3: Čestné prohlášení k finančním sankcím</w:t>
      </w:r>
    </w:p>
    <w:p>
      <w:pPr>
        <w:pStyle w:val="Style5"/>
        <w:keepNext w:val="0"/>
        <w:keepLines w:val="0"/>
        <w:widowControl w:val="0"/>
        <w:shd w:val="clear" w:color="auto" w:fill="auto"/>
        <w:bidi w:val="0"/>
        <w:spacing w:before="0" w:after="780" w:line="240" w:lineRule="auto"/>
        <w:ind w:left="0" w:right="0" w:firstLine="380"/>
        <w:jc w:val="both"/>
      </w:pPr>
      <w:r>
        <w:rPr>
          <w:color w:val="000000"/>
          <w:spacing w:val="0"/>
          <w:w w:val="100"/>
          <w:position w:val="0"/>
          <w:shd w:val="clear" w:color="auto" w:fill="auto"/>
          <w:lang w:val="cs-CZ" w:eastAsia="cs-CZ" w:bidi="cs-CZ"/>
        </w:rPr>
        <w:t>Priorita 5) Příloha č. 4: ČP k odpovědnému zadávání</w:t>
      </w:r>
    </w:p>
    <w:p>
      <w:pPr>
        <w:pStyle w:val="Style5"/>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58" w:left="1355" w:right="1269" w:bottom="1387" w:header="0" w:footer="3" w:gutter="0"/>
          <w:cols w:space="720"/>
          <w:noEndnote/>
          <w:rtlGutter w:val="0"/>
          <w:docGrid w:linePitch="360"/>
        </w:sectPr>
      </w:pPr>
      <w:r>
        <mc:AlternateContent>
          <mc:Choice Requires="wps">
            <w:drawing>
              <wp:anchor distT="0" distB="0" distL="114300" distR="114300" simplePos="0" relativeHeight="125829392" behindDoc="0" locked="0" layoutInCell="1" allowOverlap="1">
                <wp:simplePos x="0" y="0"/>
                <wp:positionH relativeFrom="page">
                  <wp:posOffset>4067175</wp:posOffset>
                </wp:positionH>
                <wp:positionV relativeFrom="paragraph">
                  <wp:posOffset>12700</wp:posOffset>
                </wp:positionV>
                <wp:extent cx="804545" cy="225425"/>
                <wp:wrapSquare wrapText="left"/>
                <wp:docPr id="19" name="Shape 19"/>
                <a:graphic xmlns:a="http://schemas.openxmlformats.org/drawingml/2006/main">
                  <a:graphicData uri="http://schemas.microsoft.com/office/word/2010/wordprocessingShape">
                    <wps:wsp>
                      <wps:cNvSpPr txBox="1"/>
                      <wps:spPr>
                        <a:xfrm>
                          <a:ext cx="804545" cy="2254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45" type="#_x0000_t202" style="position:absolute;margin-left:320.25pt;margin-top:1.pt;width:63.350000000000001pt;height:17.75pt;z-index:-12582936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Praze dne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6" w:after="7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65" w:left="0" w:right="0" w:bottom="1665" w:header="0" w:footer="3" w:gutter="0"/>
          <w:cols w:space="720"/>
          <w:noEndnote/>
          <w:rtlGutter w:val="0"/>
          <w:docGrid w:linePitch="360"/>
        </w:sectPr>
      </w:pPr>
    </w:p>
    <w:p>
      <w:pPr>
        <w:pStyle w:val="Style5"/>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 technický ředitel</w:t>
      </w:r>
    </w:p>
    <w:p>
      <w:pPr>
        <w:pStyle w:val="Style5"/>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Povodí Ohře, státní podnik objednatel (podpis, razítko)</w:t>
      </w:r>
    </w:p>
    <w:p>
      <w:pPr>
        <w:pStyle w:val="Style5"/>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 výrobní ředitel společnosti INSET s.r.o.</w:t>
      </w:r>
    </w:p>
    <w:p>
      <w:pPr>
        <w:pStyle w:val="Style5"/>
        <w:keepNext w:val="0"/>
        <w:keepLines w:val="0"/>
        <w:widowControl w:val="0"/>
        <w:shd w:val="clear" w:color="auto" w:fill="auto"/>
        <w:bidi w:val="0"/>
        <w:spacing w:before="0" w:after="0" w:line="259" w:lineRule="auto"/>
        <w:ind w:left="0" w:right="0" w:firstLine="0"/>
        <w:jc w:val="left"/>
        <w:sectPr>
          <w:footnotePr>
            <w:pos w:val="pageBottom"/>
            <w:numFmt w:val="decimal"/>
            <w:numRestart w:val="continuous"/>
          </w:footnotePr>
          <w:type w:val="continuous"/>
          <w:pgSz w:w="11909" w:h="16838"/>
          <w:pgMar w:top="1665" w:left="1413" w:right="2339" w:bottom="1665" w:header="0" w:footer="3" w:gutter="0"/>
          <w:cols w:num="2" w:space="1762"/>
          <w:noEndnote/>
          <w:rtlGutter w:val="0"/>
          <w:docGrid w:linePitch="360"/>
        </w:sectPr>
      </w:pPr>
      <w:r>
        <w:rPr>
          <w:color w:val="000000"/>
          <w:spacing w:val="0"/>
          <w:w w:val="100"/>
          <w:position w:val="0"/>
          <w:shd w:val="clear" w:color="auto" w:fill="auto"/>
          <w:lang w:val="cs-CZ" w:eastAsia="cs-CZ" w:bidi="cs-CZ"/>
        </w:rPr>
        <w:t>zhotovitel (podpis, razítko)</w:t>
      </w:r>
    </w:p>
    <w:sectPr>
      <w:footnotePr>
        <w:pos w:val="pageBottom"/>
        <w:numFmt w:val="decimal"/>
        <w:numRestart w:val="continuous"/>
      </w:footnotePr>
      <w:type w:val="continuous"/>
      <w:pgSz w:w="11909" w:h="16838"/>
      <w:pgMar w:top="1665" w:left="1413" w:right="2339" w:bottom="1665" w:header="0" w:footer="3" w:gutter="0"/>
      <w:cols w:num="2" w:space="176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9936480</wp:posOffset>
              </wp:positionV>
              <wp:extent cx="673735" cy="164465"/>
              <wp:wrapNone/>
              <wp:docPr id="3" name="Shape 3"/>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71.69999999999999pt;margin-top:782.39999999999998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5822950</wp:posOffset>
              </wp:positionH>
              <wp:positionV relativeFrom="page">
                <wp:posOffset>438785</wp:posOffset>
              </wp:positionV>
              <wp:extent cx="838200" cy="170815"/>
              <wp:wrapNone/>
              <wp:docPr id="1" name="Shape 1"/>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SOD 829/2025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8.5pt;margin-top:34.550000000000004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SOD 829/2025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spacing w:after="180"/>
      <w:jc w:val="center"/>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7">
    <w:name w:val="Style 17"/>
    <w:basedOn w:val="Normal"/>
    <w:link w:val="CharStyle18"/>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2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Samkova Kamila</dc:creator>
  <cp:keywords/>
</cp:coreProperties>
</file>