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84C3E" w:rsidRDefault="007D1EB4">
      <w:pPr>
        <w:pBdr>
          <w:top w:val="nil"/>
          <w:left w:val="nil"/>
          <w:bottom w:val="nil"/>
          <w:right w:val="nil"/>
          <w:between w:val="nil"/>
        </w:pBdr>
        <w:jc w:val="center"/>
        <w:rPr>
          <w:rFonts w:ascii="Times New Roman" w:eastAsia="Times New Roman" w:hAnsi="Times New Roman" w:cs="Times New Roman"/>
          <w:b/>
          <w:smallCaps/>
          <w:color w:val="000000"/>
          <w:sz w:val="28"/>
          <w:szCs w:val="28"/>
        </w:rPr>
      </w:pPr>
      <w:bookmarkStart w:id="0" w:name="_GoBack"/>
      <w:bookmarkEnd w:id="0"/>
      <w:r>
        <w:rPr>
          <w:rFonts w:ascii="Times New Roman" w:eastAsia="Times New Roman" w:hAnsi="Times New Roman" w:cs="Times New Roman"/>
          <w:b/>
          <w:smallCaps/>
          <w:color w:val="000000"/>
          <w:sz w:val="28"/>
          <w:szCs w:val="28"/>
        </w:rPr>
        <w:t>SMLOUVA O POSKYTOVÁNÍ SOFTWARE</w:t>
      </w:r>
    </w:p>
    <w:p w14:paraId="00000002" w14:textId="77777777" w:rsidR="00184C3E" w:rsidRDefault="00184C3E">
      <w:pPr>
        <w:rPr>
          <w:rFonts w:ascii="Times New Roman" w:eastAsia="Times New Roman" w:hAnsi="Times New Roman" w:cs="Times New Roman"/>
          <w:sz w:val="22"/>
          <w:szCs w:val="22"/>
        </w:rPr>
      </w:pPr>
    </w:p>
    <w:p w14:paraId="00000003"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Smluvní strany:</w:t>
      </w:r>
    </w:p>
    <w:p w14:paraId="00000004" w14:textId="77777777" w:rsidR="00184C3E" w:rsidRDefault="00184C3E">
      <w:pPr>
        <w:rPr>
          <w:rFonts w:ascii="Times New Roman" w:eastAsia="Times New Roman" w:hAnsi="Times New Roman" w:cs="Times New Roman"/>
          <w:sz w:val="22"/>
          <w:szCs w:val="22"/>
          <w:highlight w:val="yellow"/>
        </w:rPr>
      </w:pPr>
    </w:p>
    <w:p w14:paraId="00000005" w14:textId="77777777" w:rsidR="00184C3E" w:rsidRDefault="007D1EB4">
      <w:pPr>
        <w:numPr>
          <w:ilvl w:val="0"/>
          <w:numId w:val="4"/>
        </w:numPr>
        <w:pBdr>
          <w:top w:val="nil"/>
          <w:left w:val="nil"/>
          <w:bottom w:val="nil"/>
          <w:right w:val="nil"/>
          <w:between w:val="nil"/>
        </w:pBdr>
        <w:tabs>
          <w:tab w:val="left" w:pos="425"/>
        </w:tabs>
        <w:ind w:left="425"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w:t>
      </w:r>
    </w:p>
    <w:p w14:paraId="00000006" w14:textId="77777777" w:rsidR="00184C3E" w:rsidRDefault="007D1EB4">
      <w:pPr>
        <w:shd w:val="clear" w:color="auto" w:fill="FFFFFF"/>
        <w:ind w:left="567"/>
        <w:rPr>
          <w:rFonts w:ascii="Times New Roman" w:eastAsia="Times New Roman" w:hAnsi="Times New Roman" w:cs="Times New Roman"/>
          <w:b/>
          <w:sz w:val="22"/>
          <w:szCs w:val="22"/>
        </w:rPr>
      </w:pPr>
      <w:bookmarkStart w:id="1" w:name="_heading=h.gjdgxs" w:colFirst="0" w:colLast="0"/>
      <w:bookmarkEnd w:id="1"/>
      <w:r>
        <w:rPr>
          <w:rFonts w:ascii="Times New Roman" w:eastAsia="Times New Roman" w:hAnsi="Times New Roman" w:cs="Times New Roman"/>
          <w:b/>
          <w:sz w:val="22"/>
          <w:szCs w:val="22"/>
        </w:rPr>
        <w:t>slp.blue s.r.o.</w:t>
      </w:r>
    </w:p>
    <w:p w14:paraId="00000007"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Sídlo: Brigádníků 3022/285, Strašnice, 100 00 Praha 10</w:t>
      </w:r>
    </w:p>
    <w:p w14:paraId="00000008"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Zastoupen: Ing. Tomášem Kouřimem</w:t>
      </w:r>
    </w:p>
    <w:p w14:paraId="00000009"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IČO: 19751567, DIČ: není plátce DPH</w:t>
      </w:r>
    </w:p>
    <w:p w14:paraId="0000000A"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Spisová značka: C 391043 vedená u Městského soudu v Praze</w:t>
      </w:r>
    </w:p>
    <w:p w14:paraId="0000000B" w14:textId="41218022" w:rsidR="00184C3E" w:rsidRDefault="007D1EB4">
      <w:pPr>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E-mail: </w:t>
      </w:r>
      <w:r w:rsidR="00B81BE1">
        <w:rPr>
          <w:rFonts w:ascii="Times New Roman" w:eastAsia="Times New Roman" w:hAnsi="Times New Roman" w:cs="Times New Roman"/>
          <w:sz w:val="22"/>
          <w:szCs w:val="22"/>
        </w:rPr>
        <w:t>xxxxxxxxxxxx</w:t>
      </w:r>
    </w:p>
    <w:p w14:paraId="0000000C"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ID datové schránky: 9prbwd6</w:t>
      </w:r>
    </w:p>
    <w:p w14:paraId="0000000D"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(dále jen „</w:t>
      </w:r>
      <w:r>
        <w:rPr>
          <w:rFonts w:ascii="Times New Roman" w:eastAsia="Times New Roman" w:hAnsi="Times New Roman" w:cs="Times New Roman"/>
          <w:b/>
          <w:sz w:val="22"/>
          <w:szCs w:val="22"/>
        </w:rPr>
        <w:t>Poskytovatel</w:t>
      </w:r>
      <w:r>
        <w:rPr>
          <w:rFonts w:ascii="Times New Roman" w:eastAsia="Times New Roman" w:hAnsi="Times New Roman" w:cs="Times New Roman"/>
          <w:sz w:val="22"/>
          <w:szCs w:val="22"/>
        </w:rPr>
        <w:t>“)</w:t>
      </w:r>
    </w:p>
    <w:p w14:paraId="0000000E" w14:textId="77777777" w:rsidR="00184C3E" w:rsidRDefault="00184C3E">
      <w:pPr>
        <w:rPr>
          <w:rFonts w:ascii="Times New Roman" w:eastAsia="Times New Roman" w:hAnsi="Times New Roman" w:cs="Times New Roman"/>
          <w:sz w:val="22"/>
          <w:szCs w:val="22"/>
        </w:rPr>
      </w:pPr>
    </w:p>
    <w:p w14:paraId="0000000F"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a</w:t>
      </w:r>
    </w:p>
    <w:p w14:paraId="00000010" w14:textId="77777777" w:rsidR="00184C3E" w:rsidRDefault="00184C3E">
      <w:pPr>
        <w:rPr>
          <w:rFonts w:ascii="Times New Roman" w:eastAsia="Times New Roman" w:hAnsi="Times New Roman" w:cs="Times New Roman"/>
          <w:sz w:val="22"/>
          <w:szCs w:val="22"/>
        </w:rPr>
      </w:pPr>
    </w:p>
    <w:p w14:paraId="00000011" w14:textId="77777777" w:rsidR="00184C3E" w:rsidRDefault="007D1EB4">
      <w:pPr>
        <w:numPr>
          <w:ilvl w:val="0"/>
          <w:numId w:val="4"/>
        </w:numPr>
        <w:pBdr>
          <w:top w:val="nil"/>
          <w:left w:val="nil"/>
          <w:bottom w:val="nil"/>
          <w:right w:val="nil"/>
          <w:between w:val="nil"/>
        </w:pBdr>
        <w:tabs>
          <w:tab w:val="left" w:pos="425"/>
        </w:tabs>
        <w:ind w:left="425" w:hanging="425"/>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Zákazník</w:t>
      </w:r>
    </w:p>
    <w:p w14:paraId="00000012" w14:textId="77777777" w:rsidR="00184C3E" w:rsidRDefault="007D1EB4">
      <w:pPr>
        <w:ind w:left="567"/>
        <w:rPr>
          <w:rFonts w:ascii="Times New Roman" w:eastAsia="Times New Roman" w:hAnsi="Times New Roman" w:cs="Times New Roman"/>
          <w:b/>
          <w:sz w:val="22"/>
          <w:szCs w:val="22"/>
        </w:rPr>
      </w:pPr>
      <w:r>
        <w:rPr>
          <w:rFonts w:ascii="Times New Roman" w:eastAsia="Times New Roman" w:hAnsi="Times New Roman" w:cs="Times New Roman"/>
          <w:b/>
          <w:sz w:val="22"/>
          <w:szCs w:val="22"/>
        </w:rPr>
        <w:t>Nemocnice Jablonec nad Nisou, p.o.</w:t>
      </w:r>
    </w:p>
    <w:p w14:paraId="00000013" w14:textId="77777777" w:rsidR="00184C3E" w:rsidRDefault="007D1EB4">
      <w:pPr>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Sídlo: Nemocniční 4446/15, 466 01 Jablonec nad Nisou</w:t>
      </w:r>
    </w:p>
    <w:p w14:paraId="00000014" w14:textId="77777777" w:rsidR="00184C3E" w:rsidRDefault="007D1EB4">
      <w:pPr>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Zastoupen: MUDr. Vítem Němečkem, MBA</w:t>
      </w:r>
    </w:p>
    <w:p w14:paraId="00000015"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IČO: 00829838, DIČ: CZ00829838</w:t>
      </w:r>
    </w:p>
    <w:p w14:paraId="00000016"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Spisová značka: Pr 107 vedená u Krajského soudu v Ústí nad Labem</w:t>
      </w:r>
    </w:p>
    <w:p w14:paraId="00000017" w14:textId="733F5A6D" w:rsidR="00184C3E" w:rsidRDefault="007D1EB4">
      <w:pPr>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E-mail: </w:t>
      </w:r>
      <w:r w:rsidR="00B81BE1">
        <w:rPr>
          <w:rFonts w:ascii="Times New Roman" w:eastAsia="Times New Roman" w:hAnsi="Times New Roman" w:cs="Times New Roman"/>
          <w:color w:val="0000FF"/>
          <w:sz w:val="22"/>
          <w:szCs w:val="22"/>
          <w:u w:val="single"/>
        </w:rPr>
        <w:t>xxxxxxxxxxxxxxxxxxxx</w:t>
      </w:r>
    </w:p>
    <w:p w14:paraId="00000018" w14:textId="77777777" w:rsidR="00184C3E" w:rsidRDefault="007D1EB4">
      <w:pPr>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ID datové schránky: tzgk6j2</w:t>
      </w:r>
    </w:p>
    <w:p w14:paraId="00000019" w14:textId="77777777" w:rsidR="00184C3E" w:rsidRDefault="007D1EB4">
      <w:pPr>
        <w:pBdr>
          <w:top w:val="nil"/>
          <w:left w:val="nil"/>
          <w:bottom w:val="nil"/>
          <w:right w:val="nil"/>
          <w:between w:val="nil"/>
        </w:pBdr>
        <w:tabs>
          <w:tab w:val="left" w:pos="425"/>
        </w:tabs>
        <w:ind w:left="567"/>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sz w:val="22"/>
          <w:szCs w:val="22"/>
        </w:rPr>
        <w:t>dále</w:t>
      </w:r>
      <w:r>
        <w:rPr>
          <w:rFonts w:ascii="Times New Roman" w:eastAsia="Times New Roman" w:hAnsi="Times New Roman" w:cs="Times New Roman"/>
          <w:color w:val="000000"/>
        </w:rPr>
        <w:t xml:space="preserve"> jen „</w:t>
      </w:r>
      <w:r>
        <w:rPr>
          <w:rFonts w:ascii="Times New Roman" w:eastAsia="Times New Roman" w:hAnsi="Times New Roman" w:cs="Times New Roman"/>
          <w:b/>
          <w:color w:val="000000"/>
        </w:rPr>
        <w:t>Zákazník</w:t>
      </w:r>
      <w:r>
        <w:rPr>
          <w:rFonts w:ascii="Times New Roman" w:eastAsia="Times New Roman" w:hAnsi="Times New Roman" w:cs="Times New Roman"/>
          <w:color w:val="000000"/>
        </w:rPr>
        <w:t>“)</w:t>
      </w:r>
    </w:p>
    <w:p w14:paraId="0000001A" w14:textId="77777777" w:rsidR="00184C3E" w:rsidRDefault="00184C3E">
      <w:pPr>
        <w:rPr>
          <w:rFonts w:ascii="Times New Roman" w:eastAsia="Times New Roman" w:hAnsi="Times New Roman" w:cs="Times New Roman"/>
          <w:sz w:val="22"/>
          <w:szCs w:val="22"/>
        </w:rPr>
      </w:pPr>
    </w:p>
    <w:p w14:paraId="0000001B"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Smluvní strany uzavírají následující smlouvu o poskytování software („</w:t>
      </w:r>
      <w:r>
        <w:rPr>
          <w:rFonts w:ascii="Times New Roman" w:eastAsia="Times New Roman" w:hAnsi="Times New Roman" w:cs="Times New Roman"/>
          <w:b/>
          <w:sz w:val="22"/>
          <w:szCs w:val="22"/>
        </w:rPr>
        <w:t>Smlouva</w:t>
      </w:r>
      <w:r>
        <w:rPr>
          <w:rFonts w:ascii="Times New Roman" w:eastAsia="Times New Roman" w:hAnsi="Times New Roman" w:cs="Times New Roman"/>
          <w:sz w:val="22"/>
          <w:szCs w:val="22"/>
        </w:rPr>
        <w:t>“):</w:t>
      </w:r>
    </w:p>
    <w:p w14:paraId="0000001C" w14:textId="77777777" w:rsidR="00184C3E" w:rsidRDefault="007D1EB4">
      <w:pPr>
        <w:pStyle w:val="Nadpis1"/>
        <w:numPr>
          <w:ilvl w:val="0"/>
          <w:numId w:val="3"/>
        </w:numPr>
        <w:ind w:left="567" w:hanging="567"/>
      </w:pPr>
      <w:r>
        <w:t>předmět smlouvy</w:t>
      </w:r>
    </w:p>
    <w:p w14:paraId="0000001D" w14:textId="77777777" w:rsidR="00184C3E" w:rsidRDefault="007D1EB4">
      <w:pPr>
        <w:pStyle w:val="Nadpis2"/>
        <w:numPr>
          <w:ilvl w:val="1"/>
          <w:numId w:val="3"/>
        </w:numPr>
        <w:shd w:val="clear" w:color="auto" w:fill="FFFFFF"/>
        <w:ind w:left="567" w:hanging="567"/>
      </w:pPr>
      <w:r>
        <w:rPr>
          <w:color w:val="222222"/>
          <w:highlight w:val="white"/>
        </w:rPr>
        <w:t xml:space="preserve">Poskytovatel je oprávněn a plně kvalifikován v rozsahu této Smlouvy poskytovat třetím osobám program slp.blue, který umožňuje moderní správu laboratorní dokumentace a číselníků, práci </w:t>
      </w:r>
      <w:r>
        <w:rPr>
          <w:color w:val="222222"/>
          <w:highlight w:val="white"/>
        </w:rPr>
        <w:br/>
        <w:t xml:space="preserve">s verifikačními protokoly a dalšími agendami a podporuje tím správnou laboratorní práci, a to </w:t>
      </w:r>
      <w:r>
        <w:rPr>
          <w:color w:val="222222"/>
          <w:highlight w:val="white"/>
        </w:rPr>
        <w:br/>
        <w:t>v rozsahu dle</w:t>
      </w:r>
      <w:r>
        <w:t xml:space="preserve"> </w:t>
      </w:r>
      <w:r>
        <w:rPr>
          <w:u w:val="single"/>
        </w:rPr>
        <w:t>Přílohy č.2 Technická specifikace</w:t>
      </w:r>
      <w:r>
        <w:rPr>
          <w:color w:val="222222"/>
          <w:highlight w:val="white"/>
        </w:rPr>
        <w:t xml:space="preserve"> (dále jen „</w:t>
      </w:r>
      <w:r>
        <w:rPr>
          <w:b/>
          <w:color w:val="222222"/>
          <w:highlight w:val="white"/>
        </w:rPr>
        <w:t>SW</w:t>
      </w:r>
      <w:r>
        <w:rPr>
          <w:color w:val="222222"/>
          <w:highlight w:val="white"/>
        </w:rPr>
        <w:t xml:space="preserve">“), viz též </w:t>
      </w:r>
      <w:hyperlink r:id="rId8">
        <w:r>
          <w:rPr>
            <w:color w:val="1155CC"/>
            <w:highlight w:val="white"/>
            <w:u w:val="single"/>
          </w:rPr>
          <w:t>https://slp.blue/</w:t>
        </w:r>
      </w:hyperlink>
      <w:r>
        <w:t xml:space="preserve">. </w:t>
      </w:r>
      <w:r>
        <w:rPr>
          <w:color w:val="222222"/>
          <w:highlight w:val="white"/>
        </w:rPr>
        <w:t xml:space="preserve">Poskytovatel je dále oprávněn a plně kvalifikován poskytovat třetím osobám údržbu, aktualizace </w:t>
      </w:r>
      <w:r>
        <w:rPr>
          <w:color w:val="222222"/>
          <w:highlight w:val="white"/>
        </w:rPr>
        <w:br/>
        <w:t>a podporu SW</w:t>
      </w:r>
      <w:r>
        <w:rPr>
          <w:color w:val="222222"/>
        </w:rPr>
        <w:t>.</w:t>
      </w:r>
    </w:p>
    <w:p w14:paraId="0000001E" w14:textId="57C331AA" w:rsidR="00184C3E" w:rsidRDefault="007D1EB4">
      <w:pPr>
        <w:pStyle w:val="Nadpis2"/>
        <w:numPr>
          <w:ilvl w:val="1"/>
          <w:numId w:val="3"/>
        </w:numPr>
        <w:shd w:val="clear" w:color="auto" w:fill="FFFFFF"/>
        <w:ind w:left="567" w:hanging="567"/>
      </w:pPr>
      <w:bookmarkStart w:id="2" w:name="_heading=h.26in1rg" w:colFirst="0" w:colLast="0"/>
      <w:bookmarkEnd w:id="2"/>
      <w:r>
        <w:t xml:space="preserve">Poskytovatel se zavazuje umožnit Zákazníkovi užívání SW pro následující pracoviště: Laboratoř – klinická biochemie a hematologie, Nemocnice Jablonec nad Nisou, p.o. (tj. nikoliv pro další pracoviště, laboratoře ani nemocnici jako celek), a to </w:t>
      </w:r>
      <w:r w:rsidR="00B81BE1">
        <w:t>xxxxxxxxxxxxxxxxxxxxxxxxxxxxxxxxxxxxxxxxxxxxxxxxxxxxxxxxxxxxxxxxxxxxxxxxxxxxxxxxxxxxxxxxxxxxxxxxxxxxxxxxxx.</w:t>
      </w:r>
      <w:r>
        <w:t xml:space="preserve"> </w:t>
      </w:r>
    </w:p>
    <w:p w14:paraId="0000001F" w14:textId="69205DD8" w:rsidR="00184C3E" w:rsidRDefault="00B81BE1">
      <w:pPr>
        <w:pStyle w:val="Nadpis2"/>
        <w:numPr>
          <w:ilvl w:val="1"/>
          <w:numId w:val="3"/>
        </w:numPr>
        <w:shd w:val="clear" w:color="auto" w:fill="FFFFFF"/>
        <w:ind w:left="566" w:hanging="566"/>
      </w:pPr>
      <w:bookmarkStart w:id="3" w:name="_heading=h.wsl06b3k0ge" w:colFirst="0" w:colLast="0"/>
      <w:bookmarkEnd w:id="3"/>
      <w: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0000020" w14:textId="77777777" w:rsidR="00184C3E" w:rsidRDefault="007D1EB4">
      <w:pPr>
        <w:pStyle w:val="Nadpis2"/>
        <w:numPr>
          <w:ilvl w:val="1"/>
          <w:numId w:val="3"/>
        </w:numPr>
        <w:shd w:val="clear" w:color="auto" w:fill="FFFFFF"/>
        <w:ind w:left="566" w:hanging="566"/>
      </w:pPr>
      <w:r>
        <w:t xml:space="preserve">Zákazník bere na vědomí, že hostingové služby jsou poskytovány na základě smlouvy </w:t>
      </w:r>
      <w:r>
        <w:br/>
        <w:t xml:space="preserve">s poskytovatelem hostingu dle příslušných smluvních podmínek konkrétního poskytovatele hostingu. </w:t>
      </w:r>
    </w:p>
    <w:p w14:paraId="00000021" w14:textId="77777777" w:rsidR="00184C3E" w:rsidRDefault="007D1EB4">
      <w:pPr>
        <w:pStyle w:val="Nadpis2"/>
        <w:numPr>
          <w:ilvl w:val="1"/>
          <w:numId w:val="3"/>
        </w:numPr>
        <w:shd w:val="clear" w:color="auto" w:fill="FFFFFF"/>
        <w:ind w:left="567" w:hanging="567"/>
      </w:pPr>
      <w:r>
        <w:t>Zákazník bere na vědomí, že Poskytovatel bude plnit tuto Smlouvu i prostřednictvím spolupracujících dodavatelů, zejména kontraktorů (OSVČ).</w:t>
      </w:r>
    </w:p>
    <w:p w14:paraId="00000022" w14:textId="77777777" w:rsidR="00184C3E" w:rsidRDefault="007D1EB4">
      <w:pPr>
        <w:pStyle w:val="Nadpis2"/>
        <w:numPr>
          <w:ilvl w:val="1"/>
          <w:numId w:val="3"/>
        </w:numPr>
        <w:shd w:val="clear" w:color="auto" w:fill="FFFFFF"/>
        <w:ind w:left="567" w:hanging="567"/>
      </w:pPr>
      <w:r>
        <w:t xml:space="preserve">Pojmy užívané v této Smlouvě mají význam stanovený touto Smlouvou. Zvyklosti se mezi smluvními stranami neuplatní. Pro odstranění výkladových pochybností se pojmy používanými </w:t>
      </w:r>
      <w:r>
        <w:br/>
        <w:t>ve Smlouvě rozumí následující:</w:t>
      </w:r>
    </w:p>
    <w:p w14:paraId="00000023"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Smlouva</w:t>
      </w:r>
      <w:r>
        <w:rPr>
          <w:rFonts w:ascii="Times New Roman" w:eastAsia="Times New Roman" w:hAnsi="Times New Roman" w:cs="Times New Roman"/>
          <w:color w:val="000000"/>
          <w:sz w:val="22"/>
          <w:szCs w:val="22"/>
        </w:rPr>
        <w:t>“ znamená t</w:t>
      </w:r>
      <w:r>
        <w:rPr>
          <w:rFonts w:ascii="Times New Roman" w:eastAsia="Times New Roman" w:hAnsi="Times New Roman" w:cs="Times New Roman"/>
          <w:sz w:val="22"/>
          <w:szCs w:val="22"/>
        </w:rPr>
        <w:t>a</w:t>
      </w:r>
      <w:r>
        <w:rPr>
          <w:rFonts w:ascii="Times New Roman" w:eastAsia="Times New Roman" w:hAnsi="Times New Roman" w:cs="Times New Roman"/>
          <w:color w:val="000000"/>
          <w:sz w:val="22"/>
          <w:szCs w:val="22"/>
        </w:rPr>
        <w:t>to smlouva o poskytování software</w:t>
      </w:r>
      <w:r>
        <w:rPr>
          <w:rFonts w:ascii="Times New Roman" w:eastAsia="Times New Roman" w:hAnsi="Times New Roman" w:cs="Times New Roman"/>
          <w:sz w:val="22"/>
          <w:szCs w:val="22"/>
        </w:rPr>
        <w:t>;</w:t>
      </w:r>
    </w:p>
    <w:p w14:paraId="00000024"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smluvní strana</w:t>
      </w:r>
      <w:r>
        <w:rPr>
          <w:rFonts w:ascii="Times New Roman" w:eastAsia="Times New Roman" w:hAnsi="Times New Roman" w:cs="Times New Roman"/>
          <w:color w:val="000000"/>
          <w:sz w:val="22"/>
          <w:szCs w:val="22"/>
        </w:rPr>
        <w:t>“ znamená buďto Zákazník nebo Poskytovatel, v množném čísle Zákazník</w:t>
      </w:r>
    </w:p>
    <w:p w14:paraId="00000025" w14:textId="77777777" w:rsidR="00184C3E" w:rsidRDefault="007D1EB4">
      <w:pPr>
        <w:pBdr>
          <w:top w:val="nil"/>
          <w:left w:val="nil"/>
          <w:bottom w:val="nil"/>
          <w:right w:val="nil"/>
          <w:between w:val="nil"/>
        </w:pBdr>
        <w:ind w:left="927"/>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lastRenderedPageBreak/>
        <w:t>i Poskytovatel zároveň;</w:t>
      </w:r>
    </w:p>
    <w:p w14:paraId="00000026"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SW</w:t>
      </w:r>
      <w:r>
        <w:rPr>
          <w:rFonts w:ascii="Times New Roman" w:eastAsia="Times New Roman" w:hAnsi="Times New Roman" w:cs="Times New Roman"/>
          <w:color w:val="000000"/>
          <w:sz w:val="22"/>
          <w:szCs w:val="22"/>
        </w:rPr>
        <w:t>“ znamená produkt slp.blue;</w:t>
      </w:r>
    </w:p>
    <w:p w14:paraId="00000027" w14:textId="77777777" w:rsidR="00184C3E" w:rsidRDefault="007D1EB4">
      <w:pPr>
        <w:numPr>
          <w:ilvl w:val="0"/>
          <w:numId w:val="5"/>
        </w:numPr>
        <w:rPr>
          <w:rFonts w:ascii="Times New Roman" w:eastAsia="Times New Roman" w:hAnsi="Times New Roman" w:cs="Times New Roman"/>
          <w:b/>
        </w:rPr>
      </w:pPr>
      <w:bookmarkStart w:id="4" w:name="_heading=h.lnxbz9" w:colFirst="0" w:colLast="0"/>
      <w:bookmarkEnd w:id="4"/>
      <w:r>
        <w:rPr>
          <w:rFonts w:ascii="Times New Roman" w:eastAsia="Times New Roman" w:hAnsi="Times New Roman" w:cs="Times New Roman"/>
          <w:sz w:val="22"/>
          <w:szCs w:val="22"/>
        </w:rPr>
        <w:t>„</w:t>
      </w:r>
      <w:r>
        <w:rPr>
          <w:rFonts w:ascii="Times New Roman" w:eastAsia="Times New Roman" w:hAnsi="Times New Roman" w:cs="Times New Roman"/>
          <w:b/>
          <w:sz w:val="22"/>
          <w:szCs w:val="22"/>
        </w:rPr>
        <w:t>hosting</w:t>
      </w:r>
      <w:r>
        <w:rPr>
          <w:rFonts w:ascii="Times New Roman" w:eastAsia="Times New Roman" w:hAnsi="Times New Roman" w:cs="Times New Roman"/>
          <w:sz w:val="22"/>
          <w:szCs w:val="22"/>
        </w:rPr>
        <w:t>“ nebo „</w:t>
      </w:r>
      <w:r>
        <w:rPr>
          <w:rFonts w:ascii="Times New Roman" w:eastAsia="Times New Roman" w:hAnsi="Times New Roman" w:cs="Times New Roman"/>
          <w:b/>
          <w:sz w:val="22"/>
          <w:szCs w:val="22"/>
        </w:rPr>
        <w:t>cloud</w:t>
      </w:r>
      <w:r>
        <w:rPr>
          <w:rFonts w:ascii="Times New Roman" w:eastAsia="Times New Roman" w:hAnsi="Times New Roman" w:cs="Times New Roman"/>
          <w:sz w:val="22"/>
          <w:szCs w:val="22"/>
        </w:rPr>
        <w:t>“ znamenají prostor a pronájem tohoto prostoru pro SW na cizím serveru;</w:t>
      </w:r>
    </w:p>
    <w:p w14:paraId="00000028" w14:textId="77777777" w:rsidR="00184C3E" w:rsidRDefault="007D1EB4">
      <w:pPr>
        <w:numPr>
          <w:ilvl w:val="0"/>
          <w:numId w:val="5"/>
        </w:numPr>
        <w:rPr>
          <w:rFonts w:ascii="Times New Roman" w:eastAsia="Times New Roman" w:hAnsi="Times New Roman" w:cs="Times New Roman"/>
          <w:b/>
        </w:rPr>
      </w:pPr>
      <w:r>
        <w:rPr>
          <w:rFonts w:ascii="Times New Roman" w:eastAsia="Times New Roman" w:hAnsi="Times New Roman" w:cs="Times New Roman"/>
          <w:sz w:val="22"/>
          <w:szCs w:val="22"/>
        </w:rPr>
        <w:t>„</w:t>
      </w:r>
      <w:r>
        <w:rPr>
          <w:rFonts w:ascii="Times New Roman" w:eastAsia="Times New Roman" w:hAnsi="Times New Roman" w:cs="Times New Roman"/>
          <w:b/>
          <w:sz w:val="22"/>
          <w:szCs w:val="22"/>
        </w:rPr>
        <w:t>poskytovatel hostingu</w:t>
      </w:r>
      <w:r>
        <w:rPr>
          <w:rFonts w:ascii="Times New Roman" w:eastAsia="Times New Roman" w:hAnsi="Times New Roman" w:cs="Times New Roman"/>
          <w:sz w:val="22"/>
          <w:szCs w:val="22"/>
        </w:rPr>
        <w:t xml:space="preserve">“ znamená subjekt, který poskytuje hosting nebo cloud, za jejichž využití bude SW zpřístupněn; </w:t>
      </w:r>
    </w:p>
    <w:p w14:paraId="00000029"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 xml:space="preserve">Základní </w:t>
      </w:r>
      <w:r>
        <w:rPr>
          <w:rFonts w:ascii="Times New Roman" w:eastAsia="Times New Roman" w:hAnsi="Times New Roman" w:cs="Times New Roman"/>
          <w:b/>
          <w:sz w:val="22"/>
          <w:szCs w:val="22"/>
        </w:rPr>
        <w:t>balíček</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má význam definovaný</w:t>
      </w:r>
      <w:r>
        <w:rPr>
          <w:rFonts w:ascii="Times New Roman" w:eastAsia="Times New Roman" w:hAnsi="Times New Roman" w:cs="Times New Roman"/>
          <w:color w:val="000000"/>
          <w:sz w:val="22"/>
          <w:szCs w:val="22"/>
        </w:rPr>
        <w:t xml:space="preserve"> v </w:t>
      </w:r>
      <w:r>
        <w:rPr>
          <w:rFonts w:ascii="Times New Roman" w:eastAsia="Times New Roman" w:hAnsi="Times New Roman" w:cs="Times New Roman"/>
          <w:sz w:val="22"/>
          <w:szCs w:val="22"/>
          <w:u w:val="single"/>
        </w:rPr>
        <w:t>Příloze č. 1</w:t>
      </w:r>
      <w:r>
        <w:rPr>
          <w:rFonts w:ascii="Times New Roman" w:eastAsia="Times New Roman" w:hAnsi="Times New Roman" w:cs="Times New Roman"/>
          <w:color w:val="000000"/>
          <w:sz w:val="22"/>
          <w:szCs w:val="22"/>
        </w:rPr>
        <w:t xml:space="preserve"> této Smlouvy;</w:t>
      </w:r>
    </w:p>
    <w:p w14:paraId="0000002A"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b/>
          <w:sz w:val="22"/>
          <w:szCs w:val="22"/>
        </w:rPr>
        <w:t>Volitelné služby</w:t>
      </w:r>
      <w:r>
        <w:rPr>
          <w:rFonts w:ascii="Times New Roman" w:eastAsia="Times New Roman" w:hAnsi="Times New Roman" w:cs="Times New Roman"/>
          <w:sz w:val="22"/>
          <w:szCs w:val="22"/>
        </w:rPr>
        <w:t>“ či „</w:t>
      </w:r>
      <w:r>
        <w:rPr>
          <w:rFonts w:ascii="Times New Roman" w:eastAsia="Times New Roman" w:hAnsi="Times New Roman" w:cs="Times New Roman"/>
          <w:b/>
          <w:sz w:val="22"/>
          <w:szCs w:val="22"/>
        </w:rPr>
        <w:t>Customizované</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služby</w:t>
      </w:r>
      <w:r>
        <w:rPr>
          <w:rFonts w:ascii="Times New Roman" w:eastAsia="Times New Roman" w:hAnsi="Times New Roman" w:cs="Times New Roman"/>
          <w:sz w:val="22"/>
          <w:szCs w:val="22"/>
        </w:rPr>
        <w:t xml:space="preserve">“ mají význam definovaný v </w:t>
      </w:r>
      <w:r>
        <w:rPr>
          <w:rFonts w:ascii="Times New Roman" w:eastAsia="Times New Roman" w:hAnsi="Times New Roman" w:cs="Times New Roman"/>
          <w:sz w:val="22"/>
          <w:szCs w:val="22"/>
          <w:u w:val="single"/>
        </w:rPr>
        <w:t>Příloze č. 1</w:t>
      </w:r>
      <w:r>
        <w:rPr>
          <w:rFonts w:ascii="Times New Roman" w:eastAsia="Times New Roman" w:hAnsi="Times New Roman" w:cs="Times New Roman"/>
          <w:sz w:val="22"/>
          <w:szCs w:val="22"/>
        </w:rPr>
        <w:t xml:space="preserve"> Smlouvy a rozumí se jimi zejména Zákazníkem zvolené služby nad rámec Základního balíčku;</w:t>
      </w:r>
    </w:p>
    <w:p w14:paraId="0000002B"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 xml:space="preserve">Individuální </w:t>
      </w:r>
      <w:r>
        <w:rPr>
          <w:rFonts w:ascii="Times New Roman" w:eastAsia="Times New Roman" w:hAnsi="Times New Roman" w:cs="Times New Roman"/>
          <w:b/>
          <w:sz w:val="22"/>
          <w:szCs w:val="22"/>
        </w:rPr>
        <w:t>úpravy</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 xml:space="preserve">mají význam specifikovaný </w:t>
      </w:r>
      <w:r>
        <w:rPr>
          <w:rFonts w:ascii="Times New Roman" w:eastAsia="Times New Roman" w:hAnsi="Times New Roman" w:cs="Times New Roman"/>
          <w:color w:val="000000"/>
          <w:sz w:val="22"/>
          <w:szCs w:val="22"/>
        </w:rPr>
        <w:t>v </w:t>
      </w:r>
      <w:r>
        <w:rPr>
          <w:rFonts w:ascii="Times New Roman" w:eastAsia="Times New Roman" w:hAnsi="Times New Roman" w:cs="Times New Roman"/>
          <w:sz w:val="22"/>
          <w:szCs w:val="22"/>
          <w:u w:val="single"/>
        </w:rPr>
        <w:t>Příloze č. 1</w:t>
      </w:r>
      <w:r>
        <w:rPr>
          <w:rFonts w:ascii="Times New Roman" w:eastAsia="Times New Roman" w:hAnsi="Times New Roman" w:cs="Times New Roman"/>
          <w:color w:val="000000"/>
          <w:sz w:val="22"/>
          <w:szCs w:val="22"/>
        </w:rPr>
        <w:t xml:space="preserve"> této Smlouvy</w:t>
      </w:r>
      <w:r>
        <w:rPr>
          <w:rFonts w:ascii="Times New Roman" w:eastAsia="Times New Roman" w:hAnsi="Times New Roman" w:cs="Times New Roman"/>
          <w:sz w:val="22"/>
          <w:szCs w:val="22"/>
        </w:rPr>
        <w:t>;</w:t>
      </w:r>
    </w:p>
    <w:p w14:paraId="0000002C"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vady SW</w:t>
      </w:r>
      <w:r>
        <w:rPr>
          <w:rFonts w:ascii="Times New Roman" w:eastAsia="Times New Roman" w:hAnsi="Times New Roman" w:cs="Times New Roman"/>
          <w:color w:val="000000"/>
          <w:sz w:val="22"/>
          <w:szCs w:val="22"/>
        </w:rPr>
        <w:t>“ znamenají vady SW mající původ výlučně na straně Poskytovatele a způsobující nedostupnost nebo omezení poskytovaných služeb, přičemž mezi vady SW nepatří nedostupnost SW z důvodů na straně</w:t>
      </w:r>
      <w:r>
        <w:rPr>
          <w:rFonts w:ascii="Times New Roman" w:eastAsia="Times New Roman" w:hAnsi="Times New Roman" w:cs="Times New Roman"/>
          <w:sz w:val="22"/>
          <w:szCs w:val="22"/>
        </w:rPr>
        <w:t xml:space="preserve"> poskytovatele hostingu nebo </w:t>
      </w:r>
      <w:r>
        <w:rPr>
          <w:rFonts w:ascii="Times New Roman" w:eastAsia="Times New Roman" w:hAnsi="Times New Roman" w:cs="Times New Roman"/>
          <w:color w:val="000000"/>
          <w:sz w:val="22"/>
          <w:szCs w:val="22"/>
        </w:rPr>
        <w:t>Zákazníka;</w:t>
      </w:r>
    </w:p>
    <w:p w14:paraId="0000002D"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klientské vady</w:t>
      </w:r>
      <w:r>
        <w:rPr>
          <w:rFonts w:ascii="Times New Roman" w:eastAsia="Times New Roman" w:hAnsi="Times New Roman" w:cs="Times New Roman"/>
          <w:color w:val="000000"/>
          <w:sz w:val="22"/>
          <w:szCs w:val="22"/>
        </w:rPr>
        <w:t xml:space="preserve">“ znamenají vady, které způsobují nedostupnost nebo omezení SW, </w:t>
      </w:r>
      <w:r>
        <w:rPr>
          <w:rFonts w:ascii="Times New Roman" w:eastAsia="Times New Roman" w:hAnsi="Times New Roman" w:cs="Times New Roman"/>
          <w:sz w:val="22"/>
          <w:szCs w:val="22"/>
        </w:rPr>
        <w:t xml:space="preserve">a </w:t>
      </w:r>
      <w:r>
        <w:rPr>
          <w:rFonts w:ascii="Times New Roman" w:eastAsia="Times New Roman" w:hAnsi="Times New Roman" w:cs="Times New Roman"/>
          <w:color w:val="000000"/>
          <w:sz w:val="22"/>
          <w:szCs w:val="22"/>
        </w:rPr>
        <w:t>které nejsou způsobeny vadou SW, ale mají původ na straně Zákazníka;</w:t>
      </w:r>
    </w:p>
    <w:p w14:paraId="0000002E"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b/>
          <w:color w:val="000000"/>
          <w:sz w:val="22"/>
          <w:szCs w:val="22"/>
        </w:rPr>
      </w:pPr>
      <w:bookmarkStart w:id="5" w:name="_heading=h.30j0zll" w:colFirst="0" w:colLast="0"/>
      <w:bookmarkEnd w:id="5"/>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Základní podpora</w:t>
      </w: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color w:val="000000"/>
          <w:sz w:val="22"/>
          <w:szCs w:val="22"/>
        </w:rPr>
        <w:t xml:space="preserve">znamená </w:t>
      </w:r>
      <w:r>
        <w:rPr>
          <w:rFonts w:ascii="Times New Roman" w:eastAsia="Times New Roman" w:hAnsi="Times New Roman" w:cs="Times New Roman"/>
          <w:sz w:val="22"/>
          <w:szCs w:val="22"/>
        </w:rPr>
        <w:t xml:space="preserve">uživatelská </w:t>
      </w:r>
      <w:r>
        <w:rPr>
          <w:rFonts w:ascii="Times New Roman" w:eastAsia="Times New Roman" w:hAnsi="Times New Roman" w:cs="Times New Roman"/>
          <w:color w:val="000000"/>
          <w:sz w:val="22"/>
          <w:szCs w:val="22"/>
        </w:rPr>
        <w:t>podpora, jejíž rozsah je specifikován v </w:t>
      </w:r>
      <w:r>
        <w:rPr>
          <w:rFonts w:ascii="Times New Roman" w:eastAsia="Times New Roman" w:hAnsi="Times New Roman" w:cs="Times New Roman"/>
          <w:sz w:val="22"/>
          <w:szCs w:val="22"/>
          <w:u w:val="single"/>
        </w:rPr>
        <w:t>Příloze č. 1</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této Smlouvy;</w:t>
      </w:r>
    </w:p>
    <w:p w14:paraId="0000002F" w14:textId="77777777" w:rsidR="00184C3E" w:rsidRDefault="007D1EB4">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b/>
          <w:color w:val="000000"/>
          <w:sz w:val="22"/>
          <w:szCs w:val="22"/>
        </w:rPr>
        <w:t>Individuální podpora</w:t>
      </w:r>
      <w:r>
        <w:rPr>
          <w:rFonts w:ascii="Times New Roman" w:eastAsia="Times New Roman" w:hAnsi="Times New Roman" w:cs="Times New Roman"/>
          <w:color w:val="000000"/>
          <w:sz w:val="22"/>
          <w:szCs w:val="22"/>
        </w:rPr>
        <w:t>“ znamená podpora nad rámec Základní podpory, jejíž rozsah je specifikován v </w:t>
      </w:r>
      <w:r>
        <w:rPr>
          <w:rFonts w:ascii="Times New Roman" w:eastAsia="Times New Roman" w:hAnsi="Times New Roman" w:cs="Times New Roman"/>
          <w:sz w:val="22"/>
          <w:szCs w:val="22"/>
          <w:u w:val="single"/>
        </w:rPr>
        <w:t>Příloze č. 1</w:t>
      </w:r>
      <w:r>
        <w:rPr>
          <w:rFonts w:ascii="Times New Roman" w:eastAsia="Times New Roman" w:hAnsi="Times New Roman" w:cs="Times New Roman"/>
          <w:color w:val="000000"/>
          <w:sz w:val="22"/>
          <w:szCs w:val="22"/>
        </w:rPr>
        <w:t xml:space="preserve"> této Smlouvy.</w:t>
      </w:r>
    </w:p>
    <w:p w14:paraId="00000030" w14:textId="77777777" w:rsidR="00184C3E" w:rsidRDefault="007D1EB4">
      <w:pPr>
        <w:pStyle w:val="Nadpis1"/>
        <w:numPr>
          <w:ilvl w:val="0"/>
          <w:numId w:val="3"/>
        </w:numPr>
        <w:pBdr>
          <w:top w:val="nil"/>
          <w:left w:val="nil"/>
          <w:bottom w:val="nil"/>
          <w:right w:val="nil"/>
          <w:between w:val="nil"/>
        </w:pBdr>
        <w:ind w:left="567" w:hanging="567"/>
      </w:pPr>
      <w:r>
        <w:t>povinnosti Zákazníka</w:t>
      </w:r>
    </w:p>
    <w:p w14:paraId="00000031" w14:textId="77777777" w:rsidR="00184C3E" w:rsidRDefault="007D1EB4">
      <w:pPr>
        <w:pStyle w:val="Nadpis2"/>
        <w:numPr>
          <w:ilvl w:val="1"/>
          <w:numId w:val="3"/>
        </w:numPr>
        <w:ind w:left="567" w:hanging="567"/>
      </w:pPr>
      <w:r>
        <w:t>Zákazník se zavazuje hradit cenu za veškeré poskytované služby dle této Smlouvy.</w:t>
      </w:r>
    </w:p>
    <w:p w14:paraId="00000032" w14:textId="77777777" w:rsidR="00184C3E" w:rsidRDefault="007D1EB4">
      <w:pPr>
        <w:pStyle w:val="Nadpis2"/>
        <w:numPr>
          <w:ilvl w:val="1"/>
          <w:numId w:val="3"/>
        </w:numPr>
        <w:ind w:left="566" w:hanging="566"/>
      </w:pPr>
      <w:bookmarkStart w:id="6" w:name="_heading=h.ts2ds59nck5e" w:colFirst="0" w:colLast="0"/>
      <w:bookmarkEnd w:id="6"/>
      <w:r>
        <w:t xml:space="preserve">Zákazník se zavazuje zajistit Poskytovateli potřebnou součinnost k poskytování služeb.  Poskytovatel není v prodlení s plněním své smluvní povinnosti, pokud Zákazník neposkytuje potřebnou součinnost, zejména nastavení potřebné infrastruktury, podklady, přístupy, informace </w:t>
      </w:r>
      <w:r>
        <w:br/>
        <w:t xml:space="preserve">a data, které si Poskytovatel vyžádal. </w:t>
      </w:r>
    </w:p>
    <w:p w14:paraId="00000033" w14:textId="77777777" w:rsidR="00184C3E" w:rsidRDefault="007D1EB4">
      <w:pPr>
        <w:pStyle w:val="Nadpis2"/>
        <w:numPr>
          <w:ilvl w:val="1"/>
          <w:numId w:val="3"/>
        </w:numPr>
        <w:ind w:left="567" w:hanging="567"/>
      </w:pPr>
      <w:r>
        <w:t xml:space="preserve">Zákazník nemůže bez předchozího souhlasu Poskytovatele postoupit nebo jinak převést práva </w:t>
      </w:r>
      <w:r>
        <w:br/>
        <w:t>ze Smlouvy ani Smlouvu jakékoli třetí osobě, včetně nemožnosti přechodu Smlouvy na právní nástupce Zákazníka či spolu s převodem závodu (nebo jeho části) Zákazníka.</w:t>
      </w:r>
    </w:p>
    <w:p w14:paraId="00000034" w14:textId="77777777" w:rsidR="00184C3E" w:rsidRDefault="007D1EB4">
      <w:pPr>
        <w:pStyle w:val="Nadpis1"/>
        <w:numPr>
          <w:ilvl w:val="0"/>
          <w:numId w:val="3"/>
        </w:numPr>
        <w:ind w:left="567" w:hanging="567"/>
      </w:pPr>
      <w:r>
        <w:t>povinnosti a Garance Poskytovatele</w:t>
      </w:r>
    </w:p>
    <w:p w14:paraId="00000035" w14:textId="77777777" w:rsidR="00184C3E" w:rsidRDefault="007D1EB4">
      <w:pPr>
        <w:pStyle w:val="Nadpis2"/>
        <w:numPr>
          <w:ilvl w:val="1"/>
          <w:numId w:val="3"/>
        </w:numPr>
        <w:ind w:left="567" w:hanging="567"/>
      </w:pPr>
      <w:bookmarkStart w:id="7" w:name="_heading=h.1fob9te" w:colFirst="0" w:colLast="0"/>
      <w:bookmarkEnd w:id="7"/>
      <w:r>
        <w:t xml:space="preserve">Základní bezpečnostní aktualizace a záplaty, stejně jako aktualizace nezbytné k zachování základní funkčnosti SW a souladu s platnou legislativou se zavazuje provádět Poskytovatel jako součást Základního balíčku. Veškeré dodatečné úpravy SW dle požadavků Zákazníka, stejně jako vylepšení a rozšíření funkcionalit SW se považují za Individuální úpravy. </w:t>
      </w:r>
    </w:p>
    <w:p w14:paraId="00000036" w14:textId="77777777" w:rsidR="00184C3E" w:rsidRDefault="007D1EB4">
      <w:pPr>
        <w:pStyle w:val="Nadpis2"/>
        <w:numPr>
          <w:ilvl w:val="1"/>
          <w:numId w:val="3"/>
        </w:numPr>
        <w:ind w:left="567" w:hanging="567"/>
      </w:pPr>
      <w:r>
        <w:t>Poskytovatel se zavazuje Zákazníkovi zpřístupnit SW nejpozději do dvou měsíců od uzavření této Smlouvy, a to za předpokladu, že Zákazník Poskytovateli poskytl veškerou součinnost, zejména nastavení potřebné infrastruktury, podklady, přístupy, informace a data, které si Poskytovatel vyžádal. V případě neposkytnutí dostatečné součinnosti se tato lhůta prodlužuje o dobu neposkytnutí součinnosti, a navíc o dalších 10 pracovních dní.</w:t>
      </w:r>
    </w:p>
    <w:p w14:paraId="00000037" w14:textId="77777777" w:rsidR="00184C3E" w:rsidRDefault="007D1EB4">
      <w:pPr>
        <w:pStyle w:val="Nadpis2"/>
        <w:numPr>
          <w:ilvl w:val="1"/>
          <w:numId w:val="3"/>
        </w:numPr>
        <w:ind w:left="567" w:hanging="567"/>
      </w:pPr>
      <w:r>
        <w:t xml:space="preserve">Poskytovatel Zákazníkovi garantuje nepřetržitý provoz SW. Poskytovatel není v prodlení </w:t>
      </w:r>
      <w:r>
        <w:br/>
        <w:t>s poskytováním SW dle tohoto ustanovení po dobu trvání plánované odstávky, neplánované odstávky v rámci uvedeného limitu a odstávky způsobené výpadkem služby poskytované třetí stranou (např. hostingu) nebo v důsledku klientských vad.</w:t>
      </w:r>
    </w:p>
    <w:p w14:paraId="00000038" w14:textId="77777777" w:rsidR="00184C3E" w:rsidRDefault="007D1EB4">
      <w:pPr>
        <w:pStyle w:val="Nadpis2"/>
        <w:numPr>
          <w:ilvl w:val="1"/>
          <w:numId w:val="3"/>
        </w:numPr>
        <w:ind w:left="567" w:hanging="567"/>
      </w:pPr>
      <w:r>
        <w:t>Výjimku z garance nepřetržitého provozu SW představují situace předpokládané touto Smlouvou, zejména:</w:t>
      </w:r>
    </w:p>
    <w:p w14:paraId="00000039" w14:textId="77777777" w:rsidR="00184C3E" w:rsidRDefault="007D1EB4">
      <w:pPr>
        <w:pStyle w:val="Nadpis2"/>
        <w:numPr>
          <w:ilvl w:val="2"/>
          <w:numId w:val="3"/>
        </w:numPr>
        <w:ind w:left="1170" w:hanging="570"/>
      </w:pPr>
      <w:bookmarkStart w:id="8" w:name="_heading=h.ab4977hgbnsn" w:colFirst="0" w:colLast="0"/>
      <w:bookmarkEnd w:id="8"/>
      <w:r>
        <w:t>Plánované odstávky SW, zejména za účelem jeho aktualizace, oprav, bezpečnostních záplat a dalších zásahů nutných k udržení chodu SW či jeho vylepšení. Na plánované odstávky Poskytovatel je povinen zákazníka s předstihem upozornit. Plánované odstávky v průběhu 12 po sobě jdoucích kalendářních měsíců nepřekročí celkově více jak 1 % provozního času SW.</w:t>
      </w:r>
    </w:p>
    <w:p w14:paraId="0000003A" w14:textId="77777777" w:rsidR="00184C3E" w:rsidRDefault="007D1EB4">
      <w:pPr>
        <w:pStyle w:val="Nadpis2"/>
        <w:numPr>
          <w:ilvl w:val="2"/>
          <w:numId w:val="3"/>
        </w:numPr>
        <w:ind w:left="1170" w:hanging="570"/>
      </w:pPr>
      <w:bookmarkStart w:id="9" w:name="_heading=h.dg14qumgxele" w:colFirst="0" w:colLast="0"/>
      <w:bookmarkEnd w:id="9"/>
      <w:r>
        <w:t>Neplánované odstávky SW, pokud za kalendářní měsíc nepřekročí více jak 1 % provozního času SW. V případě překročení dohodnutého rozsahu neplánovaných odstávek SW má Zákazník nárok na slevu za každé započaté procento překročení dohodnutého rozsahu neplánovaných odstávek SW, a to ve výši 5 % z fakturace Základního balíčku za daný kalendářní měsíc.</w:t>
      </w:r>
    </w:p>
    <w:p w14:paraId="0000003B" w14:textId="77777777" w:rsidR="00184C3E" w:rsidRDefault="007D1EB4">
      <w:pPr>
        <w:pStyle w:val="Nadpis2"/>
        <w:numPr>
          <w:ilvl w:val="2"/>
          <w:numId w:val="3"/>
        </w:numPr>
        <w:ind w:left="1170" w:hanging="570"/>
      </w:pPr>
      <w:bookmarkStart w:id="10" w:name="_heading=h.fne9pct8l5el" w:colFirst="0" w:colLast="0"/>
      <w:bookmarkEnd w:id="10"/>
      <w:r>
        <w:lastRenderedPageBreak/>
        <w:t xml:space="preserve">Odstávky způsobené výpadkem služby poskytované třetí stranou (např. hostingu), serverem Zákazníka nebo v důsledku klientských vad. Za tyto odstávky a za služby třetích stran nenese Poskytovatel odpovědnost. </w:t>
      </w:r>
    </w:p>
    <w:p w14:paraId="0000003C" w14:textId="77777777" w:rsidR="00184C3E" w:rsidRDefault="007D1EB4">
      <w:pPr>
        <w:pStyle w:val="Nadpis1"/>
        <w:numPr>
          <w:ilvl w:val="0"/>
          <w:numId w:val="3"/>
        </w:numPr>
        <w:shd w:val="clear" w:color="auto" w:fill="FFFFFF"/>
        <w:ind w:left="567" w:hanging="567"/>
      </w:pPr>
      <w:bookmarkStart w:id="11" w:name="_heading=h.3znysh7" w:colFirst="0" w:colLast="0"/>
      <w:bookmarkEnd w:id="11"/>
      <w:r>
        <w:t xml:space="preserve">platební a cenové podmínky: </w:t>
      </w:r>
    </w:p>
    <w:p w14:paraId="0000003D" w14:textId="7838B19A" w:rsidR="00184C3E" w:rsidRDefault="007D1EB4">
      <w:pPr>
        <w:pStyle w:val="Nadpis2"/>
        <w:numPr>
          <w:ilvl w:val="1"/>
          <w:numId w:val="3"/>
        </w:numPr>
        <w:shd w:val="clear" w:color="auto" w:fill="FFFFFF"/>
        <w:ind w:left="567" w:hanging="567"/>
      </w:pPr>
      <w:bookmarkStart w:id="12" w:name="_heading=h.44sinio" w:colFirst="0" w:colLast="0"/>
      <w:bookmarkEnd w:id="12"/>
      <w:r>
        <w:t xml:space="preserve">První měsíc užívání SW dle této Smlouvy Zákazník platí nad rámec pravidelné měsíční platby </w:t>
      </w:r>
      <w:r>
        <w:br/>
        <w:t xml:space="preserve">za Základní balíček, Volitelné služby a Základní podporu (a případně další čerpané služby) také jednorázovou částku za instalaci a uvedení SW do provozu a za Volitelné služby dle výběru viz </w:t>
      </w:r>
      <w:r>
        <w:rPr>
          <w:u w:val="single"/>
        </w:rPr>
        <w:t>Příloha č. 1</w:t>
      </w:r>
      <w:r>
        <w:t xml:space="preserve"> této Smlouvy, která bude vystavena do 15 dnů od předání funkčních přihlašovacích údajů k SW Zákazníkovi. První faktura za veškeré služby dle této Smlouvy je splatná do 15 dnů </w:t>
      </w:r>
      <w:r>
        <w:br/>
        <w:t xml:space="preserve">od doručení faktury Zákazníkovi na e-mailovou adresu </w:t>
      </w:r>
      <w:r w:rsidR="001E68A8">
        <w:rPr>
          <w:color w:val="0000FF"/>
          <w:u w:val="single"/>
        </w:rPr>
        <w:t>xxxxxxxxxxxxxxxxxx</w:t>
      </w:r>
      <w:r>
        <w:t>.</w:t>
      </w:r>
    </w:p>
    <w:p w14:paraId="0000003E" w14:textId="77777777" w:rsidR="00184C3E" w:rsidRDefault="007D1EB4">
      <w:pPr>
        <w:pStyle w:val="Nadpis2"/>
        <w:numPr>
          <w:ilvl w:val="1"/>
          <w:numId w:val="3"/>
        </w:numPr>
        <w:shd w:val="clear" w:color="auto" w:fill="FFFFFF"/>
        <w:ind w:left="566" w:hanging="566"/>
      </w:pPr>
      <w:bookmarkStart w:id="13" w:name="_heading=h.5acemvgz8epb" w:colFirst="0" w:colLast="0"/>
      <w:bookmarkEnd w:id="13"/>
      <w:r>
        <w:t xml:space="preserve">Za Základní balíček, případné měsíční Volitelné služby a Základní podporu se platí předem </w:t>
      </w:r>
      <w:r>
        <w:br/>
        <w:t xml:space="preserve">za každý rok trvání smlouvy. Splatnost ceny za Základní balíček, Základní podporu a další případně poskytnuté služby je do 15. dne daného roku trvání smlouvy na tento rok. Cena bude zákazníkem uhrazena na základě faktury vystavené Poskytovatelem. Nárok na zaplacení </w:t>
      </w:r>
      <w:r>
        <w:br/>
        <w:t>za Základní balíček, Volitelné služby a Základní podporu vzniká Poskytovateli ode dne zpřístupnění SW Zákazníkovi (tj. ode dne, kdy jsou Zákazníkovi předány funkční přihlašovací údaje k SW).</w:t>
      </w:r>
    </w:p>
    <w:p w14:paraId="0000003F" w14:textId="77777777" w:rsidR="00184C3E" w:rsidRDefault="007D1EB4">
      <w:pPr>
        <w:pStyle w:val="Nadpis2"/>
        <w:numPr>
          <w:ilvl w:val="1"/>
          <w:numId w:val="3"/>
        </w:numPr>
        <w:shd w:val="clear" w:color="auto" w:fill="FFFFFF"/>
        <w:ind w:left="567" w:hanging="567"/>
      </w:pPr>
      <w:r>
        <w:t>Pokud nelze SW zprovoznit, nebo není plně funkční v důsledku nedostatečného poskytování součinnosti Zákazníkem, vzniká Poskytovateli i tak nárok na platby za Základní balíček a další služby dle této Smlouvy.</w:t>
      </w:r>
    </w:p>
    <w:p w14:paraId="00000040" w14:textId="77777777" w:rsidR="00184C3E" w:rsidRDefault="007D1EB4">
      <w:pPr>
        <w:pStyle w:val="Nadpis2"/>
        <w:numPr>
          <w:ilvl w:val="1"/>
          <w:numId w:val="3"/>
        </w:numPr>
        <w:shd w:val="clear" w:color="auto" w:fill="FFFFFF"/>
        <w:ind w:left="567" w:hanging="567"/>
      </w:pPr>
      <w:r>
        <w:t xml:space="preserve">Nárok na zaplacení částky za Individuální úpravy specifikované v </w:t>
      </w:r>
      <w:r>
        <w:rPr>
          <w:u w:val="single"/>
        </w:rPr>
        <w:t>Příloze č. 1</w:t>
      </w:r>
      <w:r>
        <w:t xml:space="preserve"> této Smlouvy vzniká Poskytovateli v momentě zpřístupnění výsledku práce Zákazníkovi a je splatný do 15 dnů </w:t>
      </w:r>
      <w:r>
        <w:br/>
        <w:t xml:space="preserve">od zpřístupnění. Nárok na zaplacení částky za Individuální podporu vzniká Poskytovateli </w:t>
      </w:r>
      <w:r>
        <w:br/>
        <w:t>v momentě poskytnutí Individuální podpory. U veškerých položek účtovaných hodinovou sazbou dle této Smlouvy vzniká Poskytovateli nárok na zaplacení poskytnuté služby za každou, byť započatou, čtvrthodinu práce.</w:t>
      </w:r>
    </w:p>
    <w:p w14:paraId="00000041" w14:textId="77777777" w:rsidR="00184C3E" w:rsidRDefault="007D1EB4">
      <w:pPr>
        <w:pStyle w:val="Nadpis2"/>
        <w:numPr>
          <w:ilvl w:val="1"/>
          <w:numId w:val="3"/>
        </w:numPr>
        <w:shd w:val="clear" w:color="auto" w:fill="FFFFFF"/>
        <w:ind w:left="567" w:hanging="567"/>
      </w:pPr>
      <w:r>
        <w:t>Ceny za veškeré služby jsou specifikovány v </w:t>
      </w:r>
      <w:r>
        <w:rPr>
          <w:u w:val="single"/>
        </w:rPr>
        <w:t>Příloze č. 1</w:t>
      </w:r>
      <w:r>
        <w:t xml:space="preserve"> této Smlouvy. Veškeré ceny jsou uvedeny bez DPH. Ke každé vystavené faktuře připočte Poskytovatel příslušnou sazbu DPH dle platného zákona (21 % v době podpisu této Smlouvy). </w:t>
      </w:r>
    </w:p>
    <w:p w14:paraId="00000042" w14:textId="77777777" w:rsidR="00184C3E" w:rsidRDefault="007D1EB4">
      <w:pPr>
        <w:pStyle w:val="Nadpis2"/>
        <w:numPr>
          <w:ilvl w:val="1"/>
          <w:numId w:val="3"/>
        </w:numPr>
        <w:shd w:val="clear" w:color="auto" w:fill="FFFFFF"/>
        <w:ind w:left="567" w:hanging="567"/>
      </w:pPr>
      <w:r>
        <w:t>Za zaplacení ceny je považováno odeslání ceny na účet Poskytovatele uvedený na příslušné faktuře.</w:t>
      </w:r>
    </w:p>
    <w:p w14:paraId="00000043" w14:textId="77777777" w:rsidR="00184C3E" w:rsidRDefault="007D1EB4">
      <w:pPr>
        <w:pStyle w:val="Nadpis2"/>
        <w:numPr>
          <w:ilvl w:val="1"/>
          <w:numId w:val="3"/>
        </w:numPr>
        <w:shd w:val="clear" w:color="auto" w:fill="FFFFFF"/>
        <w:ind w:left="567" w:hanging="567"/>
      </w:pPr>
      <w:r>
        <w:t>Faktura musí obsahovat náležitosti dle platných a účinných předpisů. V případě, že faktura nebude mít odpovídající náležitosti, je Zákazník oprávněn zaslat ji ve lhůtě splatnosti zpět Poskytovateli k doplnění či opravě, aniž se tak dostane do prodlení. V takovém případě počíná lhůta splatnosti běžet znovu od opětovného zaslání náležitě doplněné či opravené faktury. Faktura musí být vystavena v české měně.</w:t>
      </w:r>
    </w:p>
    <w:p w14:paraId="00000044" w14:textId="77777777" w:rsidR="00184C3E" w:rsidRDefault="007D1EB4">
      <w:pPr>
        <w:pStyle w:val="Nadpis2"/>
        <w:numPr>
          <w:ilvl w:val="1"/>
          <w:numId w:val="3"/>
        </w:numPr>
        <w:ind w:left="567" w:hanging="567"/>
      </w:pPr>
      <w:r>
        <w:t>Poskytovatel je oprávněn jednou ročně počínaje rokem 2026, a to vždy k 1. 3. příslušného kalendářního roku, zvýšit jednostranně smluvené ceny o míru inflace, vyjádřenou přírůstkem průměrného ročního indexu spotřebitelských cen za uplynulý kalendářní rok, zveřejněnou Českým statistickým úřadem (inflační doložka).</w:t>
      </w:r>
    </w:p>
    <w:p w14:paraId="00000045" w14:textId="77777777" w:rsidR="00184C3E" w:rsidRDefault="007D1EB4">
      <w:pPr>
        <w:pStyle w:val="Nadpis2"/>
        <w:numPr>
          <w:ilvl w:val="1"/>
          <w:numId w:val="3"/>
        </w:numPr>
        <w:ind w:left="567" w:hanging="567"/>
      </w:pPr>
      <w:r>
        <w:t>Smluvní strany se dohodly, že Poskytovatel je vedle zohlednění míry inflace se souhlasem Zákazníka oprávněn do budoucna dodatečně zvyšovat smluvené ceny dle této Smlouvy, změní-li se ceny výrobních nákladů o více než 5 % oproti stavu při uzavření této Smlouvy. Výrobními náklady se rozumí zejména cena hostingu a souvisejících služeb, odměna zaměstnanců a kontraktorů Poskytovatele, ceny energií, nájmů a dalších vstupů. Zvýšení ceny dle tohoto ustanovení nemůže překročit skutečnou míru zvýšení výrobních nákladů, a zároveň nemůže překročit 20 % za 12 po sobě jdoucích kalendářních měsíců (cenová doložka).</w:t>
      </w:r>
    </w:p>
    <w:p w14:paraId="00000046" w14:textId="20BC87B4" w:rsidR="00184C3E" w:rsidRDefault="007D1EB4">
      <w:pPr>
        <w:pStyle w:val="Nadpis2"/>
        <w:numPr>
          <w:ilvl w:val="1"/>
          <w:numId w:val="3"/>
        </w:numPr>
        <w:ind w:left="567" w:hanging="567"/>
      </w:pPr>
      <w:bookmarkStart w:id="14" w:name="_heading=h.tyjcwt" w:colFirst="0" w:colLast="0"/>
      <w:bookmarkEnd w:id="14"/>
      <w:r>
        <w:t>O veškerých změnách ceny za poskytování SW dle tohoto článku Smlouvy Poskytovatel vyrozumí Zákazníka prostřednictvím e-mailu</w:t>
      </w:r>
      <w:r w:rsidR="00330001">
        <w:t xml:space="preserve"> uveden</w:t>
      </w:r>
      <w:r w:rsidR="008F3ABA">
        <w:t>é</w:t>
      </w:r>
      <w:r w:rsidR="008F3ABA">
        <w:rPr>
          <w:lang w:val="cs-CZ"/>
        </w:rPr>
        <w:t>ho</w:t>
      </w:r>
      <w:r w:rsidR="00330001">
        <w:t xml:space="preserve"> v hlavičce této smlouvy</w:t>
      </w:r>
      <w:r>
        <w:t>, formou odeslání nové cenové rekapitulace. Změna ceny za poskytování SW je účinná nejdříve následující měsíc po doručení vyrozumění dle předchozí věty, pokud není stanovena účinnost pozdější.</w:t>
      </w:r>
    </w:p>
    <w:p w14:paraId="00000047" w14:textId="77777777" w:rsidR="00184C3E" w:rsidRDefault="007D1EB4">
      <w:pPr>
        <w:pStyle w:val="Nadpis2"/>
        <w:numPr>
          <w:ilvl w:val="1"/>
          <w:numId w:val="3"/>
        </w:numPr>
        <w:shd w:val="clear" w:color="auto" w:fill="FFFFFF"/>
        <w:ind w:left="567" w:hanging="567"/>
      </w:pPr>
      <w:r>
        <w:t>Všechny částky se v případě potřeby zaokrouhlují na celé koruny.</w:t>
      </w:r>
    </w:p>
    <w:p w14:paraId="00000048" w14:textId="77777777" w:rsidR="00184C3E" w:rsidRDefault="007D1EB4">
      <w:pPr>
        <w:pStyle w:val="Nadpis2"/>
        <w:numPr>
          <w:ilvl w:val="1"/>
          <w:numId w:val="3"/>
        </w:numPr>
        <w:shd w:val="clear" w:color="auto" w:fill="FFFFFF"/>
        <w:ind w:left="567" w:hanging="567"/>
      </w:pPr>
      <w:r>
        <w:t>V případě prodlení Zákazníka s úhradou jakékoliv dlužné částky za poskytnuté služby dle této Smlouvy má Poskytovatel nárok na smluvní úrok z prodlení ve výši 0,05 % z dlužné částky denně, a to až do úplného zaplacení.</w:t>
      </w:r>
    </w:p>
    <w:p w14:paraId="00000049" w14:textId="77777777" w:rsidR="00184C3E" w:rsidRDefault="007D1EB4">
      <w:r>
        <w:br w:type="page"/>
      </w:r>
    </w:p>
    <w:p w14:paraId="0000004A" w14:textId="77777777" w:rsidR="00184C3E" w:rsidRDefault="007D1EB4">
      <w:pPr>
        <w:pStyle w:val="Nadpis1"/>
        <w:numPr>
          <w:ilvl w:val="0"/>
          <w:numId w:val="3"/>
        </w:numPr>
        <w:ind w:left="567" w:hanging="567"/>
      </w:pPr>
      <w:bookmarkStart w:id="15" w:name="_heading=h.3dy6vkm" w:colFirst="0" w:colLast="0"/>
      <w:bookmarkEnd w:id="15"/>
      <w:r>
        <w:lastRenderedPageBreak/>
        <w:t>odpovědnost za škodu</w:t>
      </w:r>
    </w:p>
    <w:p w14:paraId="0000004B" w14:textId="77777777" w:rsidR="00184C3E" w:rsidRDefault="007D1EB4">
      <w:pPr>
        <w:pStyle w:val="Nadpis2"/>
        <w:numPr>
          <w:ilvl w:val="1"/>
          <w:numId w:val="3"/>
        </w:numPr>
        <w:ind w:left="567" w:hanging="567"/>
      </w:pPr>
      <w:r>
        <w:t>Odpovědnost Poskytovatele za nemajetkovou újmu či škodu způsobenou druhé smluvní straně v souvislosti s touto Smlouvou či užíváním SW se omezuje do výše 500 000 Kč. Limitace náhrady škody dle tohoto smlouvy se nevztahuje na škodu způsobenou úmyslně nebo hrubou nedbalostí.</w:t>
      </w:r>
    </w:p>
    <w:p w14:paraId="0000004C" w14:textId="77777777" w:rsidR="00184C3E" w:rsidRDefault="007D1EB4">
      <w:pPr>
        <w:pStyle w:val="Nadpis2"/>
        <w:numPr>
          <w:ilvl w:val="1"/>
          <w:numId w:val="3"/>
        </w:numPr>
        <w:ind w:left="567" w:hanging="567"/>
      </w:pPr>
      <w:bookmarkStart w:id="16" w:name="_heading=h.1t3h5sf" w:colFirst="0" w:colLast="0"/>
      <w:bookmarkEnd w:id="16"/>
      <w:r>
        <w:t>Poskytovatel neodpovídá za jednání a pochybení třetích stran, zejména poskytovatelů hostingu nebo Zákazníka. Za výpadky služeb stejně jako v případě úniků dat a dalších okolností způsobených třetí stranou nese odpovědnost výlučně tato třetí strana. Zákazník se v rozsahu dle předchozí věty vzdává vůči Poskytovateli práva na náhradu škody a práva z odpovědnosti za vady.</w:t>
      </w:r>
    </w:p>
    <w:p w14:paraId="0000004D" w14:textId="77777777" w:rsidR="00184C3E" w:rsidRDefault="007D1EB4">
      <w:pPr>
        <w:pStyle w:val="Nadpis2"/>
        <w:numPr>
          <w:ilvl w:val="1"/>
          <w:numId w:val="3"/>
        </w:numPr>
        <w:ind w:left="567" w:hanging="567"/>
      </w:pPr>
      <w:r>
        <w:t xml:space="preserve">Poskytovatel neodpovídá za nefunkčnost SW v případě klientských vad. </w:t>
      </w:r>
    </w:p>
    <w:p w14:paraId="0000004E" w14:textId="77777777" w:rsidR="00184C3E" w:rsidRDefault="007D1EB4">
      <w:pPr>
        <w:pStyle w:val="Nadpis2"/>
        <w:numPr>
          <w:ilvl w:val="1"/>
          <w:numId w:val="3"/>
        </w:numPr>
        <w:ind w:left="567" w:hanging="567"/>
      </w:pPr>
      <w:bookmarkStart w:id="17" w:name="_heading=h.4d34og8" w:colFirst="0" w:colLast="0"/>
      <w:bookmarkEnd w:id="17"/>
      <w:r>
        <w:t>Zákazník bere na vědomí, že za data a informace, které vloží do SW, nese výlučnou odpovědnost. Poskytovatel neodpovídá za obsah dat uchovávaných prostřednictvím SW, zejména za jejich správnost a úplnost a za jejich soulad s právními předpisy.</w:t>
      </w:r>
    </w:p>
    <w:p w14:paraId="0000004F" w14:textId="77777777" w:rsidR="00184C3E" w:rsidRDefault="007D1EB4">
      <w:pPr>
        <w:pStyle w:val="Nadpis2"/>
        <w:numPr>
          <w:ilvl w:val="1"/>
          <w:numId w:val="3"/>
        </w:numPr>
        <w:ind w:left="567" w:hanging="567"/>
      </w:pPr>
      <w:r>
        <w:t>Poskytovatel neodpovídá za škodu způsobenou ztrátou dat, nebo jiným způsobem z důvodu chybného postupu na straně Zákazníka.</w:t>
      </w:r>
    </w:p>
    <w:p w14:paraId="00000050" w14:textId="77777777" w:rsidR="00184C3E" w:rsidRDefault="007D1EB4">
      <w:pPr>
        <w:pStyle w:val="Nadpis1"/>
        <w:numPr>
          <w:ilvl w:val="0"/>
          <w:numId w:val="3"/>
        </w:numPr>
        <w:ind w:left="567" w:hanging="567"/>
      </w:pPr>
      <w:r>
        <w:t>vyšší moc</w:t>
      </w:r>
    </w:p>
    <w:p w14:paraId="00000051" w14:textId="77777777" w:rsidR="00184C3E" w:rsidRDefault="007D1EB4">
      <w:pPr>
        <w:pStyle w:val="Nadpis2"/>
        <w:numPr>
          <w:ilvl w:val="1"/>
          <w:numId w:val="3"/>
        </w:numPr>
        <w:ind w:left="567" w:hanging="567"/>
      </w:pPr>
      <w:r>
        <w:t xml:space="preserve">Poskytovatel neodpovídá za porušení Smlouvy ani za případnou škodu způsobenou v důsledku vyšší moci. Za vyšší moc se pokládají nepřekonatelné i neodvratitelné události mimořádné povahy, mající bezprostřední vliv na předmět plnění. Případy vyšší moci jsou např. přírodní katastrofy jako zemětřesení, požáry, povodně, jakož i válka, nepokoje, epidemie nakažlivé nemoci či generální stávka. </w:t>
      </w:r>
    </w:p>
    <w:p w14:paraId="00000052" w14:textId="77777777" w:rsidR="00184C3E" w:rsidRDefault="007D1EB4">
      <w:pPr>
        <w:pStyle w:val="Nadpis2"/>
        <w:numPr>
          <w:ilvl w:val="1"/>
          <w:numId w:val="3"/>
        </w:numPr>
        <w:ind w:left="567" w:hanging="567"/>
      </w:pPr>
      <w:r>
        <w:t>V případě, že stav vyšší moci nastane, je Poskytovatel povinen to neprodleně oznámit Zákazníkovi a pokud možno sdělit pravděpodobné trvání překážky. Po dobu trvání vyšší moci není Poskytovatel v prodlení.</w:t>
      </w:r>
    </w:p>
    <w:p w14:paraId="00000053" w14:textId="77777777" w:rsidR="00184C3E" w:rsidRDefault="007D1EB4">
      <w:pPr>
        <w:pStyle w:val="Nadpis2"/>
        <w:numPr>
          <w:ilvl w:val="1"/>
          <w:numId w:val="3"/>
        </w:numPr>
        <w:ind w:left="567" w:hanging="567"/>
      </w:pPr>
      <w:r>
        <w:t xml:space="preserve">Jakmile překážka vyšší moci odpadne, je Poskytovatel povinen pokračovat v plnění Smlouvy. </w:t>
      </w:r>
    </w:p>
    <w:p w14:paraId="00000054" w14:textId="77777777" w:rsidR="00184C3E" w:rsidRDefault="007D1EB4">
      <w:pPr>
        <w:pStyle w:val="Nadpis2"/>
        <w:numPr>
          <w:ilvl w:val="1"/>
          <w:numId w:val="3"/>
        </w:numPr>
        <w:ind w:left="567" w:hanging="567"/>
      </w:pPr>
      <w:r>
        <w:t xml:space="preserve">Jestliže překážka vyšší moci zabrání splnění Smlouvy na dobu delší než 3 měsíce, má Zákazník právo vypovědět Smlouvu bez výpovědní doby. </w:t>
      </w:r>
    </w:p>
    <w:p w14:paraId="00000055" w14:textId="77777777" w:rsidR="00184C3E" w:rsidRDefault="007D1EB4">
      <w:pPr>
        <w:pStyle w:val="Nadpis1"/>
        <w:numPr>
          <w:ilvl w:val="0"/>
          <w:numId w:val="3"/>
        </w:numPr>
        <w:ind w:left="567" w:hanging="567"/>
      </w:pPr>
      <w:r>
        <w:t>důvěrnost a doručování</w:t>
      </w:r>
    </w:p>
    <w:p w14:paraId="00000056" w14:textId="22A835FF" w:rsidR="00184C3E" w:rsidRDefault="007D1EB4">
      <w:pPr>
        <w:pStyle w:val="Nadpis2"/>
        <w:numPr>
          <w:ilvl w:val="1"/>
          <w:numId w:val="3"/>
        </w:numPr>
        <w:ind w:left="567" w:hanging="567"/>
      </w:pPr>
      <w:r>
        <w:t xml:space="preserve">Veškeré skutečnosti obchodní, ekonomické a technické povahy související se smluvními stranami, které nejsou běžně dostupné v obchodních kruzích a které představují obchodní tajemství a se kterými se smluvní strany seznámí při realizaci předmětu Smlouvy nebo v souvislosti s touto Smlouvou, se považují za důvěrné informace a vztahuje se na ně povinnost mlčenlivosti. Obě smluvní strany jsou povinny učinit přiměřená opatření k ochraně těchto informací a zachovávat mlčenlivost vůči všem třetím osobám. Za třetí osobu se nepovažují zřizovatelé, akcionáři, společníci, poradní subjekty, zaměstnanci či spolupracovníci smluvní strany, kteří důvěrnou informaci potřebují znát pro výkon práv příslušné strany z této Smlouvy. </w:t>
      </w:r>
      <w:r w:rsidR="00D757AF" w:rsidRPr="00D757AF">
        <w:t>Smluvní strany se zavazují zabezpečit, aby i tyto osoby považovaly uvedené informace za důvěrné a zachovávaly o nich mlčenlivost alespoň tak, jak ji ukládá tato smlouva</w:t>
      </w:r>
      <w:r>
        <w:t>. Za porušení povinností dle tohoto článku se nepovažuje sdělení informací které:</w:t>
      </w:r>
    </w:p>
    <w:p w14:paraId="00000057" w14:textId="77777777" w:rsidR="00184C3E" w:rsidRDefault="007D1EB4">
      <w:pPr>
        <w:pStyle w:val="Nadpis2"/>
        <w:numPr>
          <w:ilvl w:val="2"/>
          <w:numId w:val="3"/>
        </w:numPr>
        <w:ind w:left="1170" w:hanging="570"/>
      </w:pPr>
      <w:r>
        <w:t>jsou veřejně známé,</w:t>
      </w:r>
    </w:p>
    <w:p w14:paraId="00000058" w14:textId="77777777" w:rsidR="00184C3E" w:rsidRDefault="007D1EB4">
      <w:pPr>
        <w:pStyle w:val="Nadpis2"/>
        <w:numPr>
          <w:ilvl w:val="2"/>
          <w:numId w:val="3"/>
        </w:numPr>
        <w:ind w:left="1170" w:hanging="570"/>
      </w:pPr>
      <w:r>
        <w:t>je kterákoliv ze smluvních stran povinna poskytnout na základě povinnosti uložené jí právním řádem České republiky,</w:t>
      </w:r>
    </w:p>
    <w:p w14:paraId="00000059" w14:textId="77777777" w:rsidR="00184C3E" w:rsidRDefault="007D1EB4">
      <w:pPr>
        <w:pStyle w:val="Nadpis2"/>
        <w:numPr>
          <w:ilvl w:val="2"/>
          <w:numId w:val="3"/>
        </w:numPr>
        <w:ind w:left="1170" w:hanging="570"/>
      </w:pPr>
      <w:r>
        <w:t>se stanou veřejně známými (jinak než z důvodu porušení ustanovení této Smlouvy),</w:t>
      </w:r>
    </w:p>
    <w:p w14:paraId="0000005A" w14:textId="77777777" w:rsidR="00184C3E" w:rsidRDefault="007D1EB4">
      <w:pPr>
        <w:pStyle w:val="Nadpis2"/>
        <w:numPr>
          <w:ilvl w:val="2"/>
          <w:numId w:val="3"/>
        </w:numPr>
        <w:ind w:left="1170" w:hanging="570"/>
      </w:pPr>
      <w:r>
        <w:t>jsou oprávněně v dispozici druhé smluvní strany před jejich poskytnutím této smluvní straně,</w:t>
      </w:r>
    </w:p>
    <w:p w14:paraId="0000005B" w14:textId="77777777" w:rsidR="00184C3E" w:rsidRDefault="007D1EB4">
      <w:pPr>
        <w:pStyle w:val="Nadpis2"/>
        <w:numPr>
          <w:ilvl w:val="2"/>
          <w:numId w:val="3"/>
        </w:numPr>
        <w:ind w:left="1170" w:hanging="570"/>
      </w:pPr>
      <w:r>
        <w:t>smluvní strana získá od třetí osoby, která není zavázána k zachovávání mlčenlivosti</w:t>
      </w:r>
    </w:p>
    <w:p w14:paraId="0000005C" w14:textId="77777777" w:rsidR="00184C3E" w:rsidRDefault="007D1EB4">
      <w:pPr>
        <w:pStyle w:val="Nadpis2"/>
        <w:numPr>
          <w:ilvl w:val="1"/>
          <w:numId w:val="3"/>
        </w:numPr>
        <w:ind w:left="567" w:hanging="567"/>
      </w:pPr>
      <w:r>
        <w:t>Dále jsou smluvní strany oprávněny zpřístupňovat jakékoli informace v rozsahu, v němž je to požadováno jakýmikoli pravomocnými rozhodnutími soudů anebo příslušných správních orgánů.</w:t>
      </w:r>
    </w:p>
    <w:p w14:paraId="0000005D" w14:textId="77777777" w:rsidR="00184C3E" w:rsidRDefault="007D1EB4">
      <w:pPr>
        <w:pStyle w:val="Nadpis2"/>
        <w:numPr>
          <w:ilvl w:val="1"/>
          <w:numId w:val="3"/>
        </w:numPr>
        <w:ind w:left="567" w:hanging="567"/>
      </w:pPr>
      <w:r>
        <w:t>Pokud nebude smluvními stranami později písemně dohodnuto jinak, všechny dokumenty si budou doručovat buď:</w:t>
      </w:r>
    </w:p>
    <w:p w14:paraId="0000005E" w14:textId="77777777" w:rsidR="00184C3E" w:rsidRDefault="007D1EB4">
      <w:pPr>
        <w:pStyle w:val="Nadpis2"/>
        <w:numPr>
          <w:ilvl w:val="2"/>
          <w:numId w:val="3"/>
        </w:numPr>
        <w:ind w:left="1170" w:hanging="570"/>
      </w:pPr>
      <w:bookmarkStart w:id="18" w:name="_heading=h.sv9y03c61pl6" w:colFirst="0" w:colLast="0"/>
      <w:bookmarkEnd w:id="18"/>
      <w:r>
        <w:t xml:space="preserve">doporučenou poštou s doručenkou nebo doporučenou poštou bez doručenky; nebo </w:t>
      </w:r>
    </w:p>
    <w:p w14:paraId="0000005F" w14:textId="77777777" w:rsidR="00184C3E" w:rsidRDefault="007D1EB4">
      <w:pPr>
        <w:pStyle w:val="Nadpis2"/>
        <w:numPr>
          <w:ilvl w:val="2"/>
          <w:numId w:val="3"/>
        </w:numPr>
        <w:ind w:left="1170" w:hanging="570"/>
      </w:pPr>
      <w:bookmarkStart w:id="19" w:name="_heading=h.sjaxqz1f5amn" w:colFirst="0" w:colLast="0"/>
      <w:bookmarkEnd w:id="19"/>
      <w:r>
        <w:t xml:space="preserve">e-mailem určeným v hlavičce této Smlouvy; nebo </w:t>
      </w:r>
    </w:p>
    <w:p w14:paraId="00000060" w14:textId="77777777" w:rsidR="00184C3E" w:rsidRDefault="007D1EB4">
      <w:pPr>
        <w:pStyle w:val="Nadpis2"/>
        <w:numPr>
          <w:ilvl w:val="2"/>
          <w:numId w:val="3"/>
        </w:numPr>
        <w:ind w:left="1170" w:hanging="570"/>
      </w:pPr>
      <w:bookmarkStart w:id="20" w:name="_heading=h.tbdaf9eue818" w:colFirst="0" w:colLast="0"/>
      <w:bookmarkEnd w:id="20"/>
      <w:r>
        <w:t>datovou schránkou; nebo</w:t>
      </w:r>
    </w:p>
    <w:p w14:paraId="00000061" w14:textId="77777777" w:rsidR="00184C3E" w:rsidRDefault="007D1EB4">
      <w:pPr>
        <w:pStyle w:val="Nadpis2"/>
        <w:numPr>
          <w:ilvl w:val="2"/>
          <w:numId w:val="3"/>
        </w:numPr>
        <w:ind w:left="1170" w:hanging="570"/>
      </w:pPr>
      <w:bookmarkStart w:id="21" w:name="_heading=h.qq8z8og401tt" w:colFirst="0" w:colLast="0"/>
      <w:bookmarkEnd w:id="21"/>
      <w:r>
        <w:t>osobním předáním.</w:t>
      </w:r>
    </w:p>
    <w:p w14:paraId="00000062" w14:textId="77777777" w:rsidR="00184C3E" w:rsidRDefault="007D1EB4">
      <w:pPr>
        <w:pStyle w:val="Nadpis2"/>
        <w:numPr>
          <w:ilvl w:val="1"/>
          <w:numId w:val="3"/>
        </w:numPr>
        <w:pBdr>
          <w:top w:val="nil"/>
          <w:left w:val="nil"/>
          <w:bottom w:val="nil"/>
          <w:right w:val="nil"/>
          <w:between w:val="nil"/>
        </w:pBdr>
        <w:ind w:left="567" w:hanging="567"/>
      </w:pPr>
      <w:r>
        <w:t>E-mail se považuje za doručený následující pracovní den.</w:t>
      </w:r>
    </w:p>
    <w:p w14:paraId="00000063" w14:textId="77777777" w:rsidR="00184C3E" w:rsidRDefault="007D1EB4">
      <w:pPr>
        <w:pStyle w:val="Nadpis1"/>
        <w:numPr>
          <w:ilvl w:val="0"/>
          <w:numId w:val="3"/>
        </w:numPr>
        <w:ind w:left="567" w:hanging="567"/>
      </w:pPr>
      <w:r>
        <w:t xml:space="preserve">trvání smlouvy, účinnost smlouvy a možnosti ukončení smlouvy </w:t>
      </w:r>
    </w:p>
    <w:p w14:paraId="00000064" w14:textId="77777777" w:rsidR="00184C3E" w:rsidRDefault="007D1EB4">
      <w:pPr>
        <w:pStyle w:val="Nadpis2"/>
        <w:numPr>
          <w:ilvl w:val="1"/>
          <w:numId w:val="3"/>
        </w:numPr>
        <w:ind w:left="567" w:hanging="567"/>
      </w:pPr>
      <w:r>
        <w:lastRenderedPageBreak/>
        <w:t xml:space="preserve">Tato Smlouva se uzavírá na dobu neurčitou a nabývá platnosti dnem podpisu poslední smluvní stranou a účinnosti dnem zveřejnění v registru smluv. </w:t>
      </w:r>
    </w:p>
    <w:p w14:paraId="00000065" w14:textId="77777777" w:rsidR="00184C3E" w:rsidRDefault="007D1EB4">
      <w:pPr>
        <w:pStyle w:val="Nadpis2"/>
        <w:numPr>
          <w:ilvl w:val="1"/>
          <w:numId w:val="3"/>
        </w:numPr>
        <w:ind w:left="567" w:hanging="567"/>
      </w:pPr>
      <w:r>
        <w:t>Zákazník může Smlouvu vypovědět i bez udání důvodu s tříměsíční výpovědní dobou. Výpovědní doba začíná běžet prvním dnem kalendářního měsíce následujícího po měsíci, v němž byla výpověď doručena druhé smluvní straně.</w:t>
      </w:r>
    </w:p>
    <w:p w14:paraId="00000066" w14:textId="77777777" w:rsidR="00184C3E" w:rsidRDefault="007D1EB4">
      <w:pPr>
        <w:pStyle w:val="Nadpis2"/>
        <w:numPr>
          <w:ilvl w:val="1"/>
          <w:numId w:val="3"/>
        </w:numPr>
        <w:ind w:left="567" w:hanging="567"/>
      </w:pPr>
      <w:r>
        <w:t xml:space="preserve">Zákazník může Smlouvu vypovědět bez výpovědní doby v případě, že SW není v důsledku zavinění Provozovatele dostupný více jak deset po sobě jdoucích dní v rozporu s touto Smlouvou, nebo dohodou smluvních stran. Výpověď je účinná dnem jejího doručení, případně dnem odmítnutí jejího převzetí. </w:t>
      </w:r>
    </w:p>
    <w:p w14:paraId="00000067" w14:textId="77777777" w:rsidR="00184C3E" w:rsidRDefault="007D1EB4">
      <w:pPr>
        <w:pStyle w:val="Nadpis2"/>
        <w:numPr>
          <w:ilvl w:val="1"/>
          <w:numId w:val="3"/>
        </w:numPr>
        <w:ind w:left="567" w:hanging="567"/>
      </w:pPr>
      <w:r>
        <w:t>Poskytovatel je oprávněn Smlouvu vypovědět i bez udání důvodu s tříměsíční výpovědní dobou. Výpovědní doba začíná běžet prvním dnem kalendářního měsíce následujícího po měsíci, v němž byla výpověď doručena druhé smluvní straně.</w:t>
      </w:r>
    </w:p>
    <w:p w14:paraId="00000068" w14:textId="77777777" w:rsidR="00184C3E" w:rsidRDefault="007D1EB4">
      <w:pPr>
        <w:pStyle w:val="Nadpis2"/>
        <w:numPr>
          <w:ilvl w:val="1"/>
          <w:numId w:val="3"/>
        </w:numPr>
        <w:ind w:left="567" w:hanging="567"/>
      </w:pPr>
      <w:r>
        <w:t>Poskytovatel může Smlouvu vypovědět bez výpovědní doby v případě prodlení Zákazníka s úhradou jakékoliv platby dle této Smlouvy, pokud je Zákazník v prodlení s úhradou dlužné částky více jak 30 dní po splatnosti a neuhradí ji ani v dodatečné lhůtě 5 dní na základě výzvy Poskytovatele. Výpověď je účinná dnem jejího doručení, případně dnem odmítnutí jejího převzetí. V případě výpovědi Smlouvy dle tohoto ustanovení v průběhu kalendářního měsíce má Poskytovatel nárok na zaplacení všech služeb jako by je poskytoval až do konce kalendářního měsíce. Výpověď Smlouvy nemá vliv na běh smluvního úroku z prodlení sjednaného dle této Smlouvy.</w:t>
      </w:r>
    </w:p>
    <w:p w14:paraId="00000069" w14:textId="6259572B" w:rsidR="00184C3E" w:rsidRDefault="007D1EB4">
      <w:pPr>
        <w:pStyle w:val="Nadpis2"/>
        <w:numPr>
          <w:ilvl w:val="1"/>
          <w:numId w:val="3"/>
        </w:numPr>
        <w:pBdr>
          <w:top w:val="nil"/>
          <w:left w:val="nil"/>
          <w:bottom w:val="nil"/>
          <w:right w:val="nil"/>
          <w:between w:val="nil"/>
        </w:pBdr>
        <w:ind w:left="567" w:hanging="567"/>
      </w:pPr>
      <w:r>
        <w:t xml:space="preserve">V případě podstatného porušení Smlouvy jednou smluvní stranou má druhá smluvní strana právo Smlouvu vypovědět s měsíční výpovědní dobou. Výpovědní doba začíná běžet prvním dnem kalendářního měsíce následujícího po doručení výpovědi druhé smluvní straně a končí posledním dnem příslušného kalendářního měsíce. Za podstatné porušení Smlouvy Zákazníkem se rozumí zejména porušení povinnosti důvěrnosti, šíření informací o SW krytých obchodním tajemstvím </w:t>
      </w:r>
      <w:r>
        <w:br/>
        <w:t xml:space="preserve">a používání SW v rozporu se Smlouvou, zejména zneužívání SW pro více subjektů/pracovišť, než bylo dohodnuto. Za podstatné porušení Smlouvy Poskytovatelem se rozumí zejména </w:t>
      </w:r>
      <w:r w:rsidR="00692C10">
        <w:t xml:space="preserve">porušení povinnosti důvěrnosti, </w:t>
      </w:r>
      <w:r>
        <w:t>opakované a dlouhodobé porušování garancí dostupnosti SW, které nenapraví ani po nejméně dvou písemných výzvách Zákazníka</w:t>
      </w:r>
      <w:r w:rsidR="00692C10">
        <w:t>.</w:t>
      </w:r>
    </w:p>
    <w:p w14:paraId="0000006A" w14:textId="77777777" w:rsidR="00184C3E" w:rsidRDefault="007D1EB4">
      <w:pPr>
        <w:pStyle w:val="Nadpis2"/>
        <w:numPr>
          <w:ilvl w:val="1"/>
          <w:numId w:val="3"/>
        </w:numPr>
        <w:ind w:left="567" w:hanging="567"/>
      </w:pPr>
      <w:r>
        <w:t>Jiné jednostranné způsoby ukončení Smlouvy jsou vyloučeny.</w:t>
      </w:r>
    </w:p>
    <w:p w14:paraId="0000006B" w14:textId="77777777" w:rsidR="00184C3E" w:rsidRDefault="007D1EB4">
      <w:pPr>
        <w:pStyle w:val="Nadpis2"/>
        <w:numPr>
          <w:ilvl w:val="1"/>
          <w:numId w:val="3"/>
        </w:numPr>
        <w:ind w:left="567" w:hanging="567"/>
      </w:pPr>
      <w:r>
        <w:t xml:space="preserve">Při ukončení Smlouvy si smluvní strany vypořádají vzájemné finanční závazky a předají si vzájemně veškerá svá data. Zákazník je i po ukončení Smlouvy povinen Poskytovateli uhradit cenu za veškeré služby, včetně služeb účtovaných hodinovou sazbou, na které vznikl Poskytovateli nárok. </w:t>
      </w:r>
    </w:p>
    <w:p w14:paraId="0000006C" w14:textId="77777777" w:rsidR="00184C3E" w:rsidRDefault="007D1EB4">
      <w:pPr>
        <w:pStyle w:val="Nadpis2"/>
        <w:numPr>
          <w:ilvl w:val="1"/>
          <w:numId w:val="3"/>
        </w:numPr>
        <w:ind w:left="567" w:hanging="567"/>
      </w:pPr>
      <w:r>
        <w:t>Poskytovatel je oprávněn znepřístupnit SW a veškeré jeho součásti ke dni, kdy je Zákazník více jak 30 dní v prodlení s jakoukoliv platbou dle této Smlouvy.</w:t>
      </w:r>
    </w:p>
    <w:p w14:paraId="0000006D" w14:textId="77777777" w:rsidR="00184C3E" w:rsidRDefault="007D1EB4">
      <w:pPr>
        <w:pStyle w:val="Nadpis1"/>
        <w:numPr>
          <w:ilvl w:val="0"/>
          <w:numId w:val="3"/>
        </w:numPr>
        <w:ind w:left="567" w:hanging="567"/>
      </w:pPr>
      <w:r>
        <w:t xml:space="preserve">závěrečná ustanovení a ochrana osobních údajů </w:t>
      </w:r>
    </w:p>
    <w:p w14:paraId="0000006E" w14:textId="77777777" w:rsidR="00184C3E" w:rsidRDefault="007D1EB4">
      <w:pPr>
        <w:pStyle w:val="Nadpis2"/>
        <w:numPr>
          <w:ilvl w:val="1"/>
          <w:numId w:val="3"/>
        </w:numPr>
        <w:ind w:left="567" w:hanging="567"/>
      </w:pPr>
      <w:bookmarkStart w:id="22" w:name="_heading=h.2s8eyo1" w:colFirst="0" w:colLast="0"/>
      <w:bookmarkEnd w:id="22"/>
      <w:r>
        <w:t>Změny této Smlouvy jsou možné pouze písemnými oboustranně podepsanými dodatky, pokud tato Smlouva nestanoví jinak. Tato Smlouva stanoví jinak zejména ve vztahu ke změně cen dle čl. 4. této Smlouvy, které oznamuje Poskytovatel jednostranně prostřednictvím e-mailu uvedeného v záhlaví smlouvy ve smyslu odst. 4.6 až odst. 4.7 této Smlouvy. Dále tato Smlouva stanoví jinak v případě změn kontaktních osob, změny poskytovatele hostingu, dalších obdobných změn závazku Poskytovatele formálního charakteru a změn výslovně předpokládaných Smlouvou, přičemž tyto změny oznamuje Poskytovatel jednostranně prostřednictvím e-mailu.</w:t>
      </w:r>
    </w:p>
    <w:p w14:paraId="0000006F" w14:textId="77777777" w:rsidR="00184C3E" w:rsidRDefault="007D1EB4">
      <w:pPr>
        <w:pStyle w:val="Nadpis2"/>
        <w:numPr>
          <w:ilvl w:val="1"/>
          <w:numId w:val="3"/>
        </w:numPr>
        <w:ind w:left="567" w:hanging="567"/>
      </w:pPr>
      <w:r>
        <w:t xml:space="preserve">Smlouva se řídí českým právem. Smluvní strany se dohodly na vyloučení aplikace veškerých ustanovení o smlouvě o poskytování digitálního obsahu podle občanského zákoníku, zejména však ust. § 2389a – 2389f občanského zákoníku. </w:t>
      </w:r>
    </w:p>
    <w:p w14:paraId="00000070" w14:textId="77777777" w:rsidR="00184C3E" w:rsidRDefault="007D1EB4">
      <w:pPr>
        <w:numPr>
          <w:ilvl w:val="1"/>
          <w:numId w:val="3"/>
        </w:numPr>
        <w:ind w:left="566" w:hanging="566"/>
        <w:rPr>
          <w:rFonts w:ascii="Times New Roman" w:eastAsia="Times New Roman" w:hAnsi="Times New Roman" w:cs="Times New Roman"/>
          <w:color w:val="222222"/>
          <w:sz w:val="22"/>
          <w:szCs w:val="22"/>
          <w:highlight w:val="white"/>
        </w:rPr>
      </w:pPr>
      <w:bookmarkStart w:id="23" w:name="_heading=h.17dp8vu" w:colFirst="0" w:colLast="0"/>
      <w:bookmarkEnd w:id="23"/>
      <w:r>
        <w:rPr>
          <w:rFonts w:ascii="Times New Roman" w:eastAsia="Times New Roman" w:hAnsi="Times New Roman" w:cs="Times New Roman"/>
          <w:color w:val="222222"/>
          <w:sz w:val="22"/>
          <w:szCs w:val="22"/>
          <w:highlight w:val="white"/>
        </w:rPr>
        <w:t>Poskytovatel je oprávněn práva, která má Poskytovatel k SW, postoupit třetím subjektům, přičemž takové postoupení oznámí Zákazníkovi e-mailem. Poskytovatel je povinen zajistit, že plnění této Smlouvy bude pokračovat podle nezměněných podmínek</w:t>
      </w:r>
      <w:r>
        <w:rPr>
          <w:rFonts w:ascii="Arial" w:eastAsia="Arial" w:hAnsi="Arial" w:cs="Arial"/>
          <w:i/>
          <w:color w:val="222222"/>
          <w:sz w:val="22"/>
          <w:szCs w:val="22"/>
          <w:highlight w:val="white"/>
        </w:rPr>
        <w:t>.</w:t>
      </w:r>
      <w:r>
        <w:rPr>
          <w:rFonts w:ascii="Arial" w:eastAsia="Arial" w:hAnsi="Arial" w:cs="Arial"/>
          <w:color w:val="222222"/>
          <w:sz w:val="22"/>
          <w:szCs w:val="22"/>
        </w:rPr>
        <w:t xml:space="preserve"> </w:t>
      </w:r>
      <w:r>
        <w:rPr>
          <w:rFonts w:ascii="Times New Roman" w:eastAsia="Times New Roman" w:hAnsi="Times New Roman" w:cs="Times New Roman"/>
          <w:color w:val="222222"/>
          <w:sz w:val="22"/>
          <w:szCs w:val="22"/>
          <w:highlight w:val="white"/>
        </w:rPr>
        <w:t xml:space="preserve">Zákazník tímto výslovně souhlasí </w:t>
      </w:r>
      <w:r>
        <w:rPr>
          <w:rFonts w:ascii="Times New Roman" w:eastAsia="Times New Roman" w:hAnsi="Times New Roman" w:cs="Times New Roman"/>
          <w:color w:val="222222"/>
          <w:sz w:val="22"/>
          <w:szCs w:val="22"/>
          <w:highlight w:val="white"/>
        </w:rPr>
        <w:br/>
        <w:t>s možností Poskytovatele tuto Smlouvu postoupit na třetí stranu za podmínek tohoto ustanovení.</w:t>
      </w:r>
    </w:p>
    <w:p w14:paraId="00000071" w14:textId="77777777" w:rsidR="00184C3E" w:rsidRDefault="007D1EB4">
      <w:pPr>
        <w:pStyle w:val="Nadpis2"/>
        <w:numPr>
          <w:ilvl w:val="1"/>
          <w:numId w:val="3"/>
        </w:numPr>
        <w:ind w:left="567" w:hanging="567"/>
      </w:pPr>
      <w:r>
        <w:t>Ani jedna ze smluvních stran se necítí být slabší smluvní stranou a ani jedna ze smluvních stran není v postavení spotřebitele.</w:t>
      </w:r>
    </w:p>
    <w:p w14:paraId="00000072" w14:textId="77777777" w:rsidR="00184C3E" w:rsidRDefault="007D1EB4">
      <w:pPr>
        <w:pStyle w:val="Nadpis2"/>
        <w:numPr>
          <w:ilvl w:val="1"/>
          <w:numId w:val="3"/>
        </w:numPr>
        <w:ind w:left="567" w:hanging="567"/>
      </w:pPr>
      <w:r>
        <w:t>Obě smluvní strany se budou bez zbytečného odkladu informovat, dojde-li k ohrožení či porušení jakýchkoliv smluvních podmínek.</w:t>
      </w:r>
    </w:p>
    <w:p w14:paraId="00000073" w14:textId="77777777" w:rsidR="00184C3E" w:rsidRDefault="007D1EB4">
      <w:pPr>
        <w:numPr>
          <w:ilvl w:val="1"/>
          <w:numId w:val="3"/>
        </w:numPr>
        <w:ind w:left="566" w:hanging="566"/>
      </w:pPr>
      <w:r>
        <w:rPr>
          <w:rFonts w:ascii="Times New Roman" w:eastAsia="Times New Roman" w:hAnsi="Times New Roman" w:cs="Times New Roman"/>
          <w:sz w:val="22"/>
          <w:szCs w:val="22"/>
        </w:rPr>
        <w:lastRenderedPageBreak/>
        <w:t>Zákazník souhlasí s použitím jeho obchodní firmy a loga (vč. identifikace produktu poskytovaného Poskytovatelem) jakožto reference v rámci marketingových aktivit Poskytovatele zejména na webu, v propagačních materiálech a v komunikaci s potenciálními zákazníky Poskytovatele.</w:t>
      </w:r>
    </w:p>
    <w:p w14:paraId="00000074" w14:textId="77777777" w:rsidR="00184C3E" w:rsidRDefault="007D1EB4">
      <w:pPr>
        <w:pStyle w:val="Nadpis2"/>
        <w:numPr>
          <w:ilvl w:val="1"/>
          <w:numId w:val="3"/>
        </w:numPr>
        <w:ind w:left="567" w:hanging="567"/>
      </w:pPr>
      <w:bookmarkStart w:id="24" w:name="_heading=h.35nkun2" w:colFirst="0" w:colLast="0"/>
      <w:bookmarkEnd w:id="24"/>
      <w:r>
        <w:t>Smlouva je podepsána elektronicky pomocí elektronického podpisu založeného na kvalifikovaném certifikátu vydaném akreditovaným poskytovatelem certifikačních služeb.</w:t>
      </w:r>
    </w:p>
    <w:p w14:paraId="00000075" w14:textId="474CA9FC" w:rsidR="00184C3E" w:rsidRDefault="007D1EB4">
      <w:pPr>
        <w:pStyle w:val="Nadpis2"/>
        <w:numPr>
          <w:ilvl w:val="1"/>
          <w:numId w:val="3"/>
        </w:numPr>
        <w:ind w:left="566" w:hanging="566"/>
      </w:pPr>
      <w:bookmarkStart w:id="25" w:name="_heading=h.agri3cwqolek" w:colFirst="0" w:colLast="0"/>
      <w:bookmarkEnd w:id="25"/>
      <w:r>
        <w:t xml:space="preserve">Poskytovatel není zpracovatelem žádných osobních údajů pacientů Zákazníka. Poskytovatel je zpracovatelem osobních údajů pracovníků Zákazníka, informace o nakládání s osobními údaji je obsažena na webové stránce </w:t>
      </w:r>
      <w:hyperlink r:id="rId9">
        <w:r>
          <w:rPr>
            <w:color w:val="1155CC"/>
            <w:u w:val="single"/>
          </w:rPr>
          <w:t>gdpr.slp.blue</w:t>
        </w:r>
      </w:hyperlink>
      <w:r w:rsidR="001E68A8">
        <w:t>xxxxxxxxxxxxxxxxxxxxxxxxxxxxxxxxxxxxxxxxxxxxxxxxxxxxxxxxxxxxxxxxxxxxxx</w:t>
      </w:r>
      <w:hyperlink r:id="rId10">
        <w:r>
          <w:rPr>
            <w:color w:val="0563C1"/>
            <w:u w:val="single"/>
          </w:rPr>
          <w:t>.</w:t>
        </w:r>
      </w:hyperlink>
      <w:r>
        <w:t xml:space="preserve"> </w:t>
      </w:r>
    </w:p>
    <w:p w14:paraId="00000076" w14:textId="77777777" w:rsidR="00184C3E" w:rsidRDefault="007D1EB4">
      <w:pPr>
        <w:pStyle w:val="Nadpis2"/>
        <w:numPr>
          <w:ilvl w:val="1"/>
          <w:numId w:val="3"/>
        </w:numPr>
        <w:ind w:left="567" w:hanging="567"/>
      </w:pPr>
      <w:r>
        <w:t>SW využívá a uchovává technické i netechnické cookies (včetně analytických) a Zákazník s jejich využitím a uchováním výslovně souhlasí.</w:t>
      </w:r>
    </w:p>
    <w:p w14:paraId="00000078" w14:textId="574E08C8" w:rsidR="00184C3E" w:rsidRDefault="007D1EB4" w:rsidP="00960674">
      <w:pPr>
        <w:pStyle w:val="Nadpis2"/>
        <w:numPr>
          <w:ilvl w:val="1"/>
          <w:numId w:val="3"/>
        </w:numPr>
        <w:ind w:left="567" w:hanging="567"/>
      </w:pPr>
      <w:r>
        <w:t>Tato Smlouva a její výklad se řídí právním řádem České republiky. Pokud se kterékoli ustanovení této Smlouvy stane v jakémkoli ohledu nezákonným, neplatným nebo nevymahatelným, nebude tím žádným způsobem dotčena ani oslabena zákonnost, platnost a vymahatelnost zbývajících ustanovení této Smlouvy.</w:t>
      </w:r>
    </w:p>
    <w:p w14:paraId="00000079" w14:textId="59AF0939" w:rsidR="00184C3E" w:rsidRDefault="007D1EB4">
      <w:pPr>
        <w:pStyle w:val="Nadpis2"/>
        <w:numPr>
          <w:ilvl w:val="1"/>
          <w:numId w:val="3"/>
        </w:numPr>
        <w:ind w:left="567" w:hanging="567"/>
      </w:pPr>
      <w:r>
        <w:t xml:space="preserve">Smluvní strany souhlasí s tím, že Smlouva bude uveřejněna v registru smluv ve smyslu zákona </w:t>
      </w:r>
      <w:r>
        <w:br/>
        <w:t xml:space="preserve">č. 340/2015 Sb., o zvláštních podmínkách účinnosti některých smluv, uveřejňováni těchto smluv </w:t>
      </w:r>
      <w:r>
        <w:br/>
        <w:t xml:space="preserve">a o registru smluv (zákon o registru smluv). Uveřejnění ve smyslu předchozí věty provede dle dohody smluvních stran Zákazník. </w:t>
      </w:r>
    </w:p>
    <w:p w14:paraId="0000007A" w14:textId="354E9E11" w:rsidR="00184C3E" w:rsidRDefault="006349A2">
      <w:pPr>
        <w:pStyle w:val="Nadpis2"/>
        <w:numPr>
          <w:ilvl w:val="1"/>
          <w:numId w:val="3"/>
        </w:numPr>
        <w:ind w:left="567" w:hanging="567"/>
      </w:pPr>
      <w:r w:rsidRPr="008F3ABA">
        <w:t>Smluvní strany souhlasně prohlašují, že jednotkové ceny u položek Základní balíček a Individualizovaná migrace dat</w:t>
      </w:r>
      <w:r w:rsidR="00212BFD">
        <w:t>, přesný rozpis položek zahrnutých v Základním balíčku</w:t>
      </w:r>
      <w:r w:rsidRPr="008F3ABA">
        <w:t xml:space="preserve"> </w:t>
      </w:r>
      <w:r w:rsidR="00212BFD">
        <w:t xml:space="preserve">a jeho měsíční správě a kontaktní údaje pro support (email i telefon) </w:t>
      </w:r>
      <w:r w:rsidRPr="008F3ABA">
        <w:t>považují za obchodní tajemství ve smyslu § 504 občanského zákoníku, a jako takové se zavazují je v této souvislosti chránit a utajovat a tuto skutečnost zohlednit při uveřejnění smlouvy v registru smluv. Smluvní strany prohlašují, že skutečnosti uvedené v této Smlouvě, s výjimkou uvedenou ve větě předcházející, nepovažují za obchodní tajemství ve smyslu § 504 občanského zákoníku a udělují svolení k jejich užití a zveřejnění bez stanovení jakýchkoli dalších podmínek</w:t>
      </w:r>
      <w:r w:rsidRPr="006349A2">
        <w:t>.</w:t>
      </w:r>
      <w:r>
        <w:t xml:space="preserve"> </w:t>
      </w:r>
    </w:p>
    <w:p w14:paraId="0000007B" w14:textId="77777777" w:rsidR="00184C3E" w:rsidRDefault="007D1EB4">
      <w:pPr>
        <w:pStyle w:val="Nadpis2"/>
        <w:numPr>
          <w:ilvl w:val="1"/>
          <w:numId w:val="3"/>
        </w:numPr>
        <w:ind w:left="567" w:hanging="567"/>
      </w:pPr>
      <w:r>
        <w:t>Nedílnou součástí Smlouvy jsou tyto přílohy:</w:t>
      </w:r>
    </w:p>
    <w:p w14:paraId="0000007C"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Příloha č. 1 – Rozsah a cenové podmínky poskytovaných služeb</w:t>
      </w:r>
    </w:p>
    <w:p w14:paraId="0000007D" w14:textId="77777777" w:rsidR="00184C3E" w:rsidRDefault="007D1EB4">
      <w:r>
        <w:rPr>
          <w:rFonts w:ascii="Times New Roman" w:eastAsia="Times New Roman" w:hAnsi="Times New Roman" w:cs="Times New Roman"/>
          <w:sz w:val="22"/>
          <w:szCs w:val="22"/>
        </w:rPr>
        <w:t xml:space="preserve">          Příloha č. 2 – Technická specifikace spl.blue</w:t>
      </w:r>
    </w:p>
    <w:p w14:paraId="0000007E" w14:textId="77777777" w:rsidR="00184C3E" w:rsidRDefault="00184C3E">
      <w:pPr>
        <w:rPr>
          <w:rFonts w:ascii="Times New Roman" w:eastAsia="Times New Roman" w:hAnsi="Times New Roman" w:cs="Times New Roman"/>
        </w:rPr>
      </w:pPr>
    </w:p>
    <w:p w14:paraId="00000080" w14:textId="77777777" w:rsidR="00184C3E" w:rsidRDefault="00184C3E">
      <w:pPr>
        <w:rPr>
          <w:rFonts w:ascii="Times New Roman" w:eastAsia="Times New Roman" w:hAnsi="Times New Roman" w:cs="Times New Roman"/>
        </w:rPr>
      </w:pPr>
    </w:p>
    <w:p w14:paraId="10B68597" w14:textId="77777777" w:rsidR="00960674" w:rsidRDefault="00960674">
      <w:pPr>
        <w:rPr>
          <w:rFonts w:ascii="Times New Roman" w:eastAsia="Times New Roman" w:hAnsi="Times New Roman" w:cs="Times New Roman"/>
        </w:rPr>
      </w:pPr>
    </w:p>
    <w:p w14:paraId="00000081" w14:textId="77777777" w:rsidR="00184C3E" w:rsidRDefault="00184C3E">
      <w:pPr>
        <w:rPr>
          <w:rFonts w:ascii="Times New Roman" w:eastAsia="Times New Roman" w:hAnsi="Times New Roman" w:cs="Times New Roman"/>
        </w:rPr>
      </w:pPr>
    </w:p>
    <w:p w14:paraId="00000082" w14:textId="77777777" w:rsidR="00184C3E" w:rsidRDefault="007D1EB4">
      <w:pPr>
        <w:pBdr>
          <w:top w:val="nil"/>
          <w:left w:val="nil"/>
          <w:bottom w:val="nil"/>
          <w:right w:val="nil"/>
          <w:between w:val="nil"/>
        </w:pBdr>
        <w:tabs>
          <w:tab w:val="left" w:pos="425"/>
        </w:tabs>
        <w:ind w:left="928" w:hanging="360"/>
        <w:rPr>
          <w:rFonts w:ascii="Times New Roman" w:eastAsia="Times New Roman" w:hAnsi="Times New Roman" w:cs="Times New Roman"/>
          <w:color w:val="000000"/>
          <w:sz w:val="22"/>
          <w:szCs w:val="22"/>
        </w:rPr>
      </w:pPr>
      <w:bookmarkStart w:id="26" w:name="_heading=h.2jxsxqh" w:colFirst="0" w:colLast="0"/>
      <w:bookmarkEnd w:id="26"/>
      <w:r>
        <w:rPr>
          <w:rFonts w:ascii="Times New Roman" w:eastAsia="Times New Roman" w:hAnsi="Times New Roman" w:cs="Times New Roman"/>
          <w:color w:val="000000"/>
          <w:sz w:val="22"/>
          <w:szCs w:val="22"/>
        </w:rPr>
        <w:t>V ______________ dne _____</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V Jablonci nad Nisou dne _____</w:t>
      </w:r>
    </w:p>
    <w:p w14:paraId="00000083" w14:textId="77777777" w:rsidR="00184C3E" w:rsidRDefault="00184C3E">
      <w:pPr>
        <w:pBdr>
          <w:top w:val="nil"/>
          <w:left w:val="nil"/>
          <w:bottom w:val="nil"/>
          <w:right w:val="nil"/>
          <w:between w:val="nil"/>
        </w:pBdr>
        <w:tabs>
          <w:tab w:val="left" w:pos="425"/>
        </w:tabs>
        <w:ind w:left="360" w:hanging="360"/>
        <w:rPr>
          <w:rFonts w:ascii="Times New Roman" w:eastAsia="Times New Roman" w:hAnsi="Times New Roman" w:cs="Times New Roman"/>
          <w:color w:val="000000"/>
          <w:sz w:val="22"/>
          <w:szCs w:val="22"/>
        </w:rPr>
      </w:pPr>
    </w:p>
    <w:p w14:paraId="00000084" w14:textId="77777777" w:rsidR="00184C3E" w:rsidRDefault="00184C3E">
      <w:pPr>
        <w:pBdr>
          <w:top w:val="nil"/>
          <w:left w:val="nil"/>
          <w:bottom w:val="nil"/>
          <w:right w:val="nil"/>
          <w:between w:val="nil"/>
        </w:pBdr>
        <w:tabs>
          <w:tab w:val="left" w:pos="425"/>
        </w:tabs>
        <w:ind w:left="360" w:hanging="360"/>
        <w:rPr>
          <w:rFonts w:ascii="Times New Roman" w:eastAsia="Times New Roman" w:hAnsi="Times New Roman" w:cs="Times New Roman"/>
          <w:color w:val="000000"/>
          <w:sz w:val="22"/>
          <w:szCs w:val="22"/>
        </w:rPr>
      </w:pPr>
    </w:p>
    <w:p w14:paraId="00000085" w14:textId="77777777" w:rsidR="00184C3E" w:rsidRDefault="007D1EB4">
      <w:pPr>
        <w:pBdr>
          <w:top w:val="nil"/>
          <w:left w:val="nil"/>
          <w:bottom w:val="nil"/>
          <w:right w:val="nil"/>
          <w:between w:val="nil"/>
        </w:pBdr>
        <w:ind w:left="56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Poskytovatel:</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Zákazník:</w:t>
      </w:r>
    </w:p>
    <w:p w14:paraId="00000086" w14:textId="77777777" w:rsidR="00184C3E" w:rsidRDefault="00184C3E">
      <w:pPr>
        <w:shd w:val="clear" w:color="auto" w:fill="FFFFFF"/>
        <w:ind w:left="567"/>
        <w:rPr>
          <w:rFonts w:ascii="Times New Roman" w:eastAsia="Times New Roman" w:hAnsi="Times New Roman" w:cs="Times New Roman"/>
          <w:sz w:val="22"/>
          <w:szCs w:val="22"/>
        </w:rPr>
      </w:pPr>
    </w:p>
    <w:p w14:paraId="00000087" w14:textId="77777777" w:rsidR="00184C3E" w:rsidRDefault="007D1EB4">
      <w:pPr>
        <w:shd w:val="clear" w:color="auto" w:fill="FFFFFF"/>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slp.blue s.r.o.</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Nemocnice Jablonec nad Nisou, p.o. </w:t>
      </w:r>
    </w:p>
    <w:p w14:paraId="00000088" w14:textId="77777777" w:rsidR="00184C3E" w:rsidRDefault="00184C3E">
      <w:pPr>
        <w:ind w:left="567"/>
        <w:rPr>
          <w:rFonts w:ascii="Times New Roman" w:eastAsia="Times New Roman" w:hAnsi="Times New Roman" w:cs="Times New Roman"/>
          <w:sz w:val="22"/>
          <w:szCs w:val="22"/>
        </w:rPr>
      </w:pPr>
    </w:p>
    <w:p w14:paraId="00000089" w14:textId="77777777" w:rsidR="00184C3E" w:rsidRDefault="00184C3E">
      <w:pPr>
        <w:ind w:left="567"/>
        <w:rPr>
          <w:rFonts w:ascii="Times New Roman" w:eastAsia="Times New Roman" w:hAnsi="Times New Roman" w:cs="Times New Roman"/>
          <w:sz w:val="22"/>
          <w:szCs w:val="22"/>
        </w:rPr>
      </w:pPr>
    </w:p>
    <w:p w14:paraId="0000008A" w14:textId="77777777" w:rsidR="00184C3E" w:rsidRDefault="007D1EB4">
      <w:pPr>
        <w:ind w:left="567"/>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__________________________</w:t>
      </w:r>
    </w:p>
    <w:p w14:paraId="0000008B" w14:textId="77777777" w:rsidR="00184C3E" w:rsidRDefault="007D1EB4">
      <w:pPr>
        <w:ind w:left="567"/>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Ing. Tomáš Kouřim, jednatel </w:t>
      </w:r>
      <w:r>
        <w:rPr>
          <w:rFonts w:ascii="Times New Roman" w:eastAsia="Times New Roman" w:hAnsi="Times New Roman" w:cs="Times New Roman"/>
          <w:i/>
          <w:sz w:val="22"/>
          <w:szCs w:val="22"/>
        </w:rPr>
        <w:tab/>
      </w:r>
      <w:r>
        <w:rPr>
          <w:rFonts w:ascii="Times New Roman" w:eastAsia="Times New Roman" w:hAnsi="Times New Roman" w:cs="Times New Roman"/>
          <w:i/>
          <w:sz w:val="22"/>
          <w:szCs w:val="22"/>
        </w:rPr>
        <w:tab/>
      </w:r>
      <w:r>
        <w:rPr>
          <w:rFonts w:ascii="Times New Roman" w:eastAsia="Times New Roman" w:hAnsi="Times New Roman" w:cs="Times New Roman"/>
          <w:i/>
          <w:sz w:val="22"/>
          <w:szCs w:val="22"/>
        </w:rPr>
        <w:tab/>
      </w:r>
      <w:r>
        <w:rPr>
          <w:rFonts w:ascii="Times New Roman" w:eastAsia="Times New Roman" w:hAnsi="Times New Roman" w:cs="Times New Roman"/>
          <w:i/>
          <w:sz w:val="22"/>
          <w:szCs w:val="22"/>
        </w:rPr>
        <w:tab/>
      </w:r>
      <w:r>
        <w:rPr>
          <w:rFonts w:ascii="Times New Roman" w:eastAsia="Times New Roman" w:hAnsi="Times New Roman" w:cs="Times New Roman"/>
          <w:sz w:val="22"/>
          <w:szCs w:val="22"/>
        </w:rPr>
        <w:t>MUDr. Vít Němeček, MBA</w:t>
      </w:r>
    </w:p>
    <w:p w14:paraId="0000008C" w14:textId="77777777" w:rsidR="00184C3E" w:rsidRDefault="00184C3E">
      <w:pPr>
        <w:rPr>
          <w:rFonts w:ascii="Times New Roman" w:eastAsia="Times New Roman" w:hAnsi="Times New Roman" w:cs="Times New Roman"/>
          <w:i/>
        </w:rPr>
      </w:pPr>
    </w:p>
    <w:p w14:paraId="0000008D" w14:textId="77777777" w:rsidR="00184C3E" w:rsidRDefault="00184C3E">
      <w:pPr>
        <w:pBdr>
          <w:top w:val="nil"/>
          <w:left w:val="nil"/>
          <w:bottom w:val="nil"/>
          <w:right w:val="nil"/>
          <w:between w:val="nil"/>
        </w:pBdr>
        <w:ind w:left="720"/>
        <w:rPr>
          <w:rFonts w:ascii="Times New Roman" w:eastAsia="Times New Roman" w:hAnsi="Times New Roman" w:cs="Times New Roman"/>
          <w:i/>
          <w:color w:val="000000"/>
          <w:sz w:val="22"/>
          <w:szCs w:val="22"/>
        </w:rPr>
      </w:pPr>
    </w:p>
    <w:p w14:paraId="0000008E" w14:textId="77777777" w:rsidR="00184C3E" w:rsidRDefault="007D1EB4">
      <w:pPr>
        <w:rPr>
          <w:rFonts w:ascii="Times New Roman" w:eastAsia="Times New Roman" w:hAnsi="Times New Roman" w:cs="Times New Roman"/>
          <w:b/>
          <w:sz w:val="22"/>
          <w:szCs w:val="22"/>
        </w:rPr>
      </w:pPr>
      <w:r>
        <w:br w:type="page"/>
      </w:r>
    </w:p>
    <w:p w14:paraId="0000008F" w14:textId="77777777" w:rsidR="00184C3E" w:rsidRDefault="007D1EB4">
      <w:pPr>
        <w:spacing w:after="120"/>
        <w:rPr>
          <w:rFonts w:ascii="Times New Roman" w:eastAsia="Times New Roman" w:hAnsi="Times New Roman" w:cs="Times New Roman"/>
          <w:b/>
          <w:color w:val="000000"/>
          <w:sz w:val="22"/>
          <w:szCs w:val="22"/>
        </w:rPr>
      </w:pPr>
      <w:bookmarkStart w:id="27" w:name="_heading=h.z337ya" w:colFirst="0" w:colLast="0"/>
      <w:bookmarkEnd w:id="27"/>
      <w:r>
        <w:rPr>
          <w:rFonts w:ascii="Times New Roman" w:eastAsia="Times New Roman" w:hAnsi="Times New Roman" w:cs="Times New Roman"/>
          <w:b/>
          <w:color w:val="000000"/>
          <w:sz w:val="28"/>
          <w:szCs w:val="28"/>
        </w:rPr>
        <w:lastRenderedPageBreak/>
        <w:t>Příloha č.</w:t>
      </w:r>
      <w:r>
        <w:rPr>
          <w:rFonts w:ascii="Times New Roman" w:eastAsia="Times New Roman" w:hAnsi="Times New Roman" w:cs="Times New Roman"/>
          <w:b/>
          <w:sz w:val="28"/>
          <w:szCs w:val="28"/>
        </w:rPr>
        <w:t xml:space="preserve"> 1</w:t>
      </w:r>
      <w:r>
        <w:rPr>
          <w:rFonts w:ascii="Times New Roman" w:eastAsia="Times New Roman" w:hAnsi="Times New Roman" w:cs="Times New Roman"/>
          <w:b/>
          <w:color w:val="000000"/>
          <w:sz w:val="28"/>
          <w:szCs w:val="28"/>
        </w:rPr>
        <w:t xml:space="preserve"> – Rozsah a cenové podmínky poskytovaných služeb</w:t>
      </w:r>
    </w:p>
    <w:p w14:paraId="000000AF" w14:textId="034C5B25" w:rsidR="00184C3E" w:rsidRDefault="001E68A8">
      <w:pPr>
        <w:ind w:left="567"/>
        <w:rPr>
          <w:rFonts w:ascii="Times New Roman" w:eastAsia="Times New Roman" w:hAnsi="Times New Roman" w:cs="Times New Roman"/>
          <w:b/>
          <w:sz w:val="22"/>
          <w:szCs w:val="22"/>
          <w:u w:val="single"/>
        </w:rPr>
      </w:pPr>
      <w:bookmarkStart w:id="28" w:name="_heading=h.3j2qqm3" w:colFirst="0" w:colLast="0"/>
      <w:bookmarkEnd w:id="28"/>
      <w:r>
        <w:rPr>
          <w:rFonts w:ascii="Times New Roman" w:eastAsia="Times New Roman" w:hAnsi="Times New Roman" w:cs="Times New Roman"/>
          <w:b/>
          <w:sz w:val="22"/>
          <w:szCs w:val="22"/>
          <w:u w:val="single"/>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00000B0" w14:textId="77777777" w:rsidR="00184C3E" w:rsidRDefault="007D1EB4">
      <w:pPr>
        <w:pStyle w:val="Nadpis2"/>
        <w:numPr>
          <w:ilvl w:val="0"/>
          <w:numId w:val="7"/>
        </w:numPr>
        <w:spacing w:before="240" w:after="120"/>
        <w:ind w:left="714" w:hanging="357"/>
        <w:rPr>
          <w:b/>
        </w:rPr>
      </w:pPr>
      <w:r>
        <w:rPr>
          <w:b/>
          <w:u w:val="single"/>
        </w:rPr>
        <w:t>Základní podpora</w:t>
      </w:r>
    </w:p>
    <w:p w14:paraId="000000B1"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Základní podporou je myšlena podpora na úrovni L2 a L3</w:t>
      </w:r>
      <w:r>
        <w:rPr>
          <w:rFonts w:ascii="Times New Roman" w:eastAsia="Times New Roman" w:hAnsi="Times New Roman" w:cs="Times New Roman"/>
          <w:sz w:val="22"/>
          <w:szCs w:val="22"/>
          <w:highlight w:val="white"/>
        </w:rPr>
        <w:t>.</w:t>
      </w:r>
      <w:r>
        <w:rPr>
          <w:rFonts w:ascii="Times New Roman" w:eastAsia="Times New Roman" w:hAnsi="Times New Roman" w:cs="Times New Roman"/>
          <w:sz w:val="22"/>
          <w:szCs w:val="22"/>
        </w:rPr>
        <w:t xml:space="preserve"> Poskytovatel garantuje reakční dobu na požadavky Zákazníka, směřující k odstranění vad SW dle následující tabulky:</w:t>
      </w:r>
    </w:p>
    <w:p w14:paraId="000000B2" w14:textId="77777777" w:rsidR="00184C3E" w:rsidRDefault="00184C3E">
      <w:pPr>
        <w:rPr>
          <w:rFonts w:ascii="Times New Roman" w:eastAsia="Times New Roman" w:hAnsi="Times New Roman" w:cs="Times New Roman"/>
          <w:sz w:val="22"/>
          <w:szCs w:val="22"/>
        </w:rPr>
      </w:pPr>
    </w:p>
    <w:tbl>
      <w:tblPr>
        <w:tblStyle w:val="a9"/>
        <w:tblW w:w="9242" w:type="dxa"/>
        <w:tblLayout w:type="fixed"/>
        <w:tblLook w:val="0400" w:firstRow="0" w:lastRow="0" w:firstColumn="0" w:lastColumn="0" w:noHBand="0" w:noVBand="1"/>
      </w:tblPr>
      <w:tblGrid>
        <w:gridCol w:w="2127"/>
        <w:gridCol w:w="1097"/>
        <w:gridCol w:w="1048"/>
        <w:gridCol w:w="1253"/>
        <w:gridCol w:w="1260"/>
        <w:gridCol w:w="1207"/>
        <w:gridCol w:w="1250"/>
      </w:tblGrid>
      <w:tr w:rsidR="00184C3E" w14:paraId="00FEC7C4" w14:textId="77777777">
        <w:trPr>
          <w:trHeight w:val="735"/>
        </w:trPr>
        <w:tc>
          <w:tcPr>
            <w:tcW w:w="2127" w:type="dxa"/>
            <w:tcBorders>
              <w:top w:val="single" w:sz="12" w:space="0" w:color="000000"/>
            </w:tcBorders>
            <w:shd w:val="clear" w:color="auto" w:fill="67AAFA"/>
            <w:tcMar>
              <w:top w:w="0" w:type="dxa"/>
              <w:left w:w="40" w:type="dxa"/>
              <w:bottom w:w="0" w:type="dxa"/>
              <w:right w:w="40" w:type="dxa"/>
            </w:tcMar>
            <w:vAlign w:val="center"/>
          </w:tcPr>
          <w:p w14:paraId="000000B3" w14:textId="77777777" w:rsidR="00184C3E" w:rsidRDefault="00184C3E">
            <w:pPr>
              <w:jc w:val="left"/>
              <w:rPr>
                <w:rFonts w:ascii="Times New Roman" w:eastAsia="Times New Roman" w:hAnsi="Times New Roman" w:cs="Times New Roman"/>
              </w:rPr>
            </w:pPr>
          </w:p>
        </w:tc>
        <w:tc>
          <w:tcPr>
            <w:tcW w:w="2145" w:type="dxa"/>
            <w:gridSpan w:val="2"/>
            <w:tcBorders>
              <w:top w:val="single" w:sz="12" w:space="0" w:color="000000"/>
            </w:tcBorders>
            <w:shd w:val="clear" w:color="auto" w:fill="67AAFA"/>
            <w:tcMar>
              <w:top w:w="0" w:type="dxa"/>
              <w:left w:w="40" w:type="dxa"/>
              <w:bottom w:w="0" w:type="dxa"/>
              <w:right w:w="40" w:type="dxa"/>
            </w:tcMar>
            <w:vAlign w:val="center"/>
          </w:tcPr>
          <w:p w14:paraId="000000B4" w14:textId="77777777" w:rsidR="00184C3E" w:rsidRDefault="007D1EB4">
            <w:pPr>
              <w:jc w:val="center"/>
              <w:rPr>
                <w:rFonts w:ascii="Times New Roman" w:eastAsia="Times New Roman" w:hAnsi="Times New Roman" w:cs="Times New Roman"/>
              </w:rPr>
            </w:pPr>
            <w:r>
              <w:rPr>
                <w:rFonts w:ascii="Raleway" w:eastAsia="Raleway" w:hAnsi="Raleway" w:cs="Raleway"/>
                <w:b/>
                <w:color w:val="000000"/>
                <w:sz w:val="20"/>
                <w:szCs w:val="20"/>
              </w:rPr>
              <w:t>Příjem hlášení</w:t>
            </w:r>
          </w:p>
          <w:p w14:paraId="000000B5" w14:textId="77777777" w:rsidR="00184C3E" w:rsidRDefault="007D1EB4">
            <w:pPr>
              <w:jc w:val="center"/>
              <w:rPr>
                <w:rFonts w:ascii="Times New Roman" w:eastAsia="Times New Roman" w:hAnsi="Times New Roman" w:cs="Times New Roman"/>
              </w:rPr>
            </w:pPr>
            <w:r>
              <w:rPr>
                <w:rFonts w:ascii="Raleway" w:eastAsia="Raleway" w:hAnsi="Raleway" w:cs="Raleway"/>
                <w:b/>
                <w:color w:val="000000"/>
                <w:sz w:val="20"/>
                <w:szCs w:val="20"/>
              </w:rPr>
              <w:t>(pracovní dny)</w:t>
            </w:r>
          </w:p>
        </w:tc>
        <w:tc>
          <w:tcPr>
            <w:tcW w:w="2513" w:type="dxa"/>
            <w:gridSpan w:val="2"/>
            <w:tcBorders>
              <w:top w:val="single" w:sz="12" w:space="0" w:color="000000"/>
            </w:tcBorders>
            <w:shd w:val="clear" w:color="auto" w:fill="67AAFA"/>
            <w:tcMar>
              <w:top w:w="0" w:type="dxa"/>
              <w:left w:w="40" w:type="dxa"/>
              <w:bottom w:w="0" w:type="dxa"/>
              <w:right w:w="40" w:type="dxa"/>
            </w:tcMar>
            <w:vAlign w:val="center"/>
          </w:tcPr>
          <w:p w14:paraId="000000B7" w14:textId="77777777" w:rsidR="00184C3E" w:rsidRDefault="007D1EB4">
            <w:pPr>
              <w:jc w:val="center"/>
              <w:rPr>
                <w:rFonts w:ascii="Times New Roman" w:eastAsia="Times New Roman" w:hAnsi="Times New Roman" w:cs="Times New Roman"/>
              </w:rPr>
            </w:pPr>
            <w:r>
              <w:rPr>
                <w:rFonts w:ascii="Raleway" w:eastAsia="Raleway" w:hAnsi="Raleway" w:cs="Raleway"/>
                <w:b/>
                <w:color w:val="000000"/>
                <w:sz w:val="20"/>
                <w:szCs w:val="20"/>
              </w:rPr>
              <w:t>Reakční doba</w:t>
            </w:r>
          </w:p>
          <w:p w14:paraId="000000B8" w14:textId="77777777" w:rsidR="00184C3E" w:rsidRDefault="007D1EB4">
            <w:pPr>
              <w:jc w:val="center"/>
              <w:rPr>
                <w:rFonts w:ascii="Times New Roman" w:eastAsia="Times New Roman" w:hAnsi="Times New Roman" w:cs="Times New Roman"/>
              </w:rPr>
            </w:pPr>
            <w:r>
              <w:rPr>
                <w:rFonts w:ascii="Raleway" w:eastAsia="Raleway" w:hAnsi="Raleway" w:cs="Raleway"/>
                <w:b/>
                <w:color w:val="000000"/>
                <w:sz w:val="20"/>
                <w:szCs w:val="20"/>
              </w:rPr>
              <w:t>(doba od nahlášení do zahájení řešení)</w:t>
            </w:r>
          </w:p>
        </w:tc>
        <w:tc>
          <w:tcPr>
            <w:tcW w:w="2457" w:type="dxa"/>
            <w:gridSpan w:val="2"/>
            <w:tcBorders>
              <w:top w:val="single" w:sz="12" w:space="0" w:color="000000"/>
            </w:tcBorders>
            <w:shd w:val="clear" w:color="auto" w:fill="67AAFA"/>
            <w:tcMar>
              <w:top w:w="0" w:type="dxa"/>
              <w:left w:w="40" w:type="dxa"/>
              <w:bottom w:w="0" w:type="dxa"/>
              <w:right w:w="40" w:type="dxa"/>
            </w:tcMar>
            <w:vAlign w:val="center"/>
          </w:tcPr>
          <w:p w14:paraId="000000BA" w14:textId="77777777" w:rsidR="00184C3E" w:rsidRDefault="007D1EB4">
            <w:pPr>
              <w:jc w:val="center"/>
              <w:rPr>
                <w:rFonts w:ascii="Times New Roman" w:eastAsia="Times New Roman" w:hAnsi="Times New Roman" w:cs="Times New Roman"/>
              </w:rPr>
            </w:pPr>
            <w:r>
              <w:rPr>
                <w:rFonts w:ascii="Raleway" w:eastAsia="Raleway" w:hAnsi="Raleway" w:cs="Raleway"/>
                <w:b/>
                <w:color w:val="000000"/>
                <w:sz w:val="20"/>
                <w:szCs w:val="20"/>
              </w:rPr>
              <w:t>Maximální doba do odstranění závady</w:t>
            </w:r>
          </w:p>
          <w:p w14:paraId="000000BB" w14:textId="77777777" w:rsidR="00184C3E" w:rsidRDefault="007D1EB4">
            <w:pPr>
              <w:jc w:val="center"/>
              <w:rPr>
                <w:rFonts w:ascii="Times New Roman" w:eastAsia="Times New Roman" w:hAnsi="Times New Roman" w:cs="Times New Roman"/>
              </w:rPr>
            </w:pPr>
            <w:r>
              <w:rPr>
                <w:rFonts w:ascii="Raleway" w:eastAsia="Raleway" w:hAnsi="Raleway" w:cs="Raleway"/>
                <w:b/>
                <w:color w:val="000000"/>
                <w:sz w:val="20"/>
                <w:szCs w:val="20"/>
              </w:rPr>
              <w:t>(od zahájení řešení)</w:t>
            </w:r>
          </w:p>
        </w:tc>
      </w:tr>
      <w:tr w:rsidR="00184C3E" w14:paraId="494251FD" w14:textId="77777777">
        <w:trPr>
          <w:trHeight w:val="300"/>
        </w:trPr>
        <w:tc>
          <w:tcPr>
            <w:tcW w:w="2127" w:type="dxa"/>
            <w:tcBorders>
              <w:bottom w:val="single" w:sz="12" w:space="0" w:color="000000"/>
            </w:tcBorders>
            <w:shd w:val="clear" w:color="auto" w:fill="D8F3FF"/>
            <w:tcMar>
              <w:top w:w="0" w:type="dxa"/>
              <w:left w:w="40" w:type="dxa"/>
              <w:bottom w:w="0" w:type="dxa"/>
              <w:right w:w="40" w:type="dxa"/>
            </w:tcMar>
            <w:vAlign w:val="center"/>
          </w:tcPr>
          <w:p w14:paraId="000000BD" w14:textId="77777777" w:rsidR="00184C3E" w:rsidRDefault="007D1EB4">
            <w:pPr>
              <w:jc w:val="left"/>
              <w:rPr>
                <w:rFonts w:ascii="Times New Roman" w:eastAsia="Times New Roman" w:hAnsi="Times New Roman" w:cs="Times New Roman"/>
              </w:rPr>
            </w:pPr>
            <w:r>
              <w:rPr>
                <w:rFonts w:ascii="Raleway" w:eastAsia="Raleway" w:hAnsi="Raleway" w:cs="Raleway"/>
                <w:b/>
                <w:i/>
                <w:color w:val="000000"/>
                <w:sz w:val="18"/>
                <w:szCs w:val="18"/>
              </w:rPr>
              <w:t>Stupeň podpory</w:t>
            </w:r>
          </w:p>
        </w:tc>
        <w:tc>
          <w:tcPr>
            <w:tcW w:w="1097" w:type="dxa"/>
            <w:tcBorders>
              <w:bottom w:val="single" w:sz="12" w:space="0" w:color="000000"/>
            </w:tcBorders>
            <w:shd w:val="clear" w:color="auto" w:fill="D8F3FF"/>
            <w:tcMar>
              <w:top w:w="0" w:type="dxa"/>
              <w:left w:w="40" w:type="dxa"/>
              <w:bottom w:w="0" w:type="dxa"/>
              <w:right w:w="40" w:type="dxa"/>
            </w:tcMar>
            <w:vAlign w:val="center"/>
          </w:tcPr>
          <w:p w14:paraId="000000BE" w14:textId="77777777" w:rsidR="00184C3E" w:rsidRDefault="007D1EB4">
            <w:pPr>
              <w:jc w:val="center"/>
              <w:rPr>
                <w:rFonts w:ascii="Times New Roman" w:eastAsia="Times New Roman" w:hAnsi="Times New Roman" w:cs="Times New Roman"/>
              </w:rPr>
            </w:pPr>
            <w:r>
              <w:rPr>
                <w:rFonts w:ascii="Raleway" w:eastAsia="Raleway" w:hAnsi="Raleway" w:cs="Raleway"/>
                <w:i/>
                <w:color w:val="000000"/>
                <w:sz w:val="16"/>
                <w:szCs w:val="16"/>
              </w:rPr>
              <w:t>Standard</w:t>
            </w:r>
          </w:p>
        </w:tc>
        <w:tc>
          <w:tcPr>
            <w:tcW w:w="1048" w:type="dxa"/>
            <w:tcBorders>
              <w:bottom w:val="single" w:sz="12" w:space="0" w:color="000000"/>
            </w:tcBorders>
            <w:shd w:val="clear" w:color="auto" w:fill="D8F3FF"/>
            <w:tcMar>
              <w:top w:w="0" w:type="dxa"/>
              <w:left w:w="40" w:type="dxa"/>
              <w:bottom w:w="0" w:type="dxa"/>
              <w:right w:w="40" w:type="dxa"/>
            </w:tcMar>
            <w:vAlign w:val="center"/>
          </w:tcPr>
          <w:p w14:paraId="000000BF" w14:textId="77777777" w:rsidR="00184C3E" w:rsidRDefault="007D1EB4">
            <w:pPr>
              <w:jc w:val="center"/>
              <w:rPr>
                <w:rFonts w:ascii="Times New Roman" w:eastAsia="Times New Roman" w:hAnsi="Times New Roman" w:cs="Times New Roman"/>
              </w:rPr>
            </w:pPr>
            <w:r>
              <w:rPr>
                <w:rFonts w:ascii="Raleway" w:eastAsia="Raleway" w:hAnsi="Raleway" w:cs="Raleway"/>
                <w:i/>
                <w:color w:val="000000"/>
                <w:sz w:val="16"/>
                <w:szCs w:val="16"/>
              </w:rPr>
              <w:t>Premium</w:t>
            </w:r>
          </w:p>
        </w:tc>
        <w:tc>
          <w:tcPr>
            <w:tcW w:w="1253" w:type="dxa"/>
            <w:tcBorders>
              <w:bottom w:val="single" w:sz="12" w:space="0" w:color="000000"/>
            </w:tcBorders>
            <w:shd w:val="clear" w:color="auto" w:fill="D8F3FF"/>
            <w:tcMar>
              <w:top w:w="0" w:type="dxa"/>
              <w:left w:w="40" w:type="dxa"/>
              <w:bottom w:w="0" w:type="dxa"/>
              <w:right w:w="40" w:type="dxa"/>
            </w:tcMar>
            <w:vAlign w:val="center"/>
          </w:tcPr>
          <w:p w14:paraId="000000C0" w14:textId="77777777" w:rsidR="00184C3E" w:rsidRDefault="007D1EB4">
            <w:pPr>
              <w:jc w:val="center"/>
              <w:rPr>
                <w:rFonts w:ascii="Times New Roman" w:eastAsia="Times New Roman" w:hAnsi="Times New Roman" w:cs="Times New Roman"/>
              </w:rPr>
            </w:pPr>
            <w:r>
              <w:rPr>
                <w:rFonts w:ascii="Raleway" w:eastAsia="Raleway" w:hAnsi="Raleway" w:cs="Raleway"/>
                <w:i/>
                <w:color w:val="000000"/>
                <w:sz w:val="16"/>
                <w:szCs w:val="16"/>
              </w:rPr>
              <w:t>Standard</w:t>
            </w:r>
          </w:p>
        </w:tc>
        <w:tc>
          <w:tcPr>
            <w:tcW w:w="1260" w:type="dxa"/>
            <w:tcBorders>
              <w:bottom w:val="single" w:sz="12" w:space="0" w:color="000000"/>
            </w:tcBorders>
            <w:shd w:val="clear" w:color="auto" w:fill="D8F3FF"/>
            <w:tcMar>
              <w:top w:w="0" w:type="dxa"/>
              <w:left w:w="40" w:type="dxa"/>
              <w:bottom w:w="0" w:type="dxa"/>
              <w:right w:w="40" w:type="dxa"/>
            </w:tcMar>
            <w:vAlign w:val="center"/>
          </w:tcPr>
          <w:p w14:paraId="000000C1" w14:textId="77777777" w:rsidR="00184C3E" w:rsidRDefault="007D1EB4">
            <w:pPr>
              <w:jc w:val="center"/>
              <w:rPr>
                <w:rFonts w:ascii="Times New Roman" w:eastAsia="Times New Roman" w:hAnsi="Times New Roman" w:cs="Times New Roman"/>
              </w:rPr>
            </w:pPr>
            <w:r>
              <w:rPr>
                <w:rFonts w:ascii="Raleway" w:eastAsia="Raleway" w:hAnsi="Raleway" w:cs="Raleway"/>
                <w:i/>
                <w:color w:val="000000"/>
                <w:sz w:val="16"/>
                <w:szCs w:val="16"/>
              </w:rPr>
              <w:t>Premium</w:t>
            </w:r>
          </w:p>
        </w:tc>
        <w:tc>
          <w:tcPr>
            <w:tcW w:w="1207" w:type="dxa"/>
            <w:tcBorders>
              <w:bottom w:val="single" w:sz="12" w:space="0" w:color="000000"/>
            </w:tcBorders>
            <w:shd w:val="clear" w:color="auto" w:fill="D8F3FF"/>
            <w:tcMar>
              <w:top w:w="0" w:type="dxa"/>
              <w:left w:w="40" w:type="dxa"/>
              <w:bottom w:w="0" w:type="dxa"/>
              <w:right w:w="40" w:type="dxa"/>
            </w:tcMar>
            <w:vAlign w:val="center"/>
          </w:tcPr>
          <w:p w14:paraId="000000C2" w14:textId="77777777" w:rsidR="00184C3E" w:rsidRDefault="007D1EB4">
            <w:pPr>
              <w:jc w:val="center"/>
              <w:rPr>
                <w:rFonts w:ascii="Times New Roman" w:eastAsia="Times New Roman" w:hAnsi="Times New Roman" w:cs="Times New Roman"/>
              </w:rPr>
            </w:pPr>
            <w:r>
              <w:rPr>
                <w:rFonts w:ascii="Raleway" w:eastAsia="Raleway" w:hAnsi="Raleway" w:cs="Raleway"/>
                <w:i/>
                <w:color w:val="000000"/>
                <w:sz w:val="16"/>
                <w:szCs w:val="16"/>
              </w:rPr>
              <w:t>Standard</w:t>
            </w:r>
          </w:p>
        </w:tc>
        <w:tc>
          <w:tcPr>
            <w:tcW w:w="1250" w:type="dxa"/>
            <w:tcBorders>
              <w:bottom w:val="single" w:sz="12" w:space="0" w:color="000000"/>
            </w:tcBorders>
            <w:shd w:val="clear" w:color="auto" w:fill="D8F3FF"/>
            <w:tcMar>
              <w:top w:w="0" w:type="dxa"/>
              <w:left w:w="40" w:type="dxa"/>
              <w:bottom w:w="0" w:type="dxa"/>
              <w:right w:w="40" w:type="dxa"/>
            </w:tcMar>
            <w:vAlign w:val="center"/>
          </w:tcPr>
          <w:p w14:paraId="000000C3" w14:textId="77777777" w:rsidR="00184C3E" w:rsidRDefault="007D1EB4">
            <w:pPr>
              <w:jc w:val="center"/>
              <w:rPr>
                <w:rFonts w:ascii="Times New Roman" w:eastAsia="Times New Roman" w:hAnsi="Times New Roman" w:cs="Times New Roman"/>
              </w:rPr>
            </w:pPr>
            <w:r>
              <w:rPr>
                <w:rFonts w:ascii="Raleway" w:eastAsia="Raleway" w:hAnsi="Raleway" w:cs="Raleway"/>
                <w:i/>
                <w:color w:val="000000"/>
                <w:sz w:val="16"/>
                <w:szCs w:val="16"/>
              </w:rPr>
              <w:t>Premium</w:t>
            </w:r>
          </w:p>
        </w:tc>
      </w:tr>
      <w:tr w:rsidR="00184C3E" w14:paraId="10504210" w14:textId="77777777">
        <w:trPr>
          <w:trHeight w:val="300"/>
        </w:trPr>
        <w:tc>
          <w:tcPr>
            <w:tcW w:w="2127" w:type="dxa"/>
            <w:tcBorders>
              <w:top w:val="single" w:sz="12" w:space="0" w:color="000000"/>
              <w:right w:val="single" w:sz="6" w:space="0" w:color="000000"/>
            </w:tcBorders>
            <w:tcMar>
              <w:top w:w="0" w:type="dxa"/>
              <w:left w:w="40" w:type="dxa"/>
              <w:bottom w:w="0" w:type="dxa"/>
              <w:right w:w="40" w:type="dxa"/>
            </w:tcMar>
            <w:vAlign w:val="center"/>
          </w:tcPr>
          <w:p w14:paraId="000000C4" w14:textId="77777777" w:rsidR="00184C3E" w:rsidRDefault="007D1EB4">
            <w:pPr>
              <w:jc w:val="left"/>
              <w:rPr>
                <w:rFonts w:ascii="Times New Roman" w:eastAsia="Times New Roman" w:hAnsi="Times New Roman" w:cs="Times New Roman"/>
              </w:rPr>
            </w:pPr>
            <w:r>
              <w:rPr>
                <w:rFonts w:ascii="Raleway" w:eastAsia="Raleway" w:hAnsi="Raleway" w:cs="Raleway"/>
                <w:b/>
                <w:color w:val="000000"/>
                <w:sz w:val="20"/>
                <w:szCs w:val="20"/>
              </w:rPr>
              <w:t>1 – KRITICKÁ</w:t>
            </w:r>
          </w:p>
        </w:tc>
        <w:tc>
          <w:tcPr>
            <w:tcW w:w="1097" w:type="dxa"/>
            <w:tcBorders>
              <w:top w:val="single" w:sz="12" w:space="0" w:color="000000"/>
              <w:left w:val="single" w:sz="6" w:space="0" w:color="000000"/>
            </w:tcBorders>
            <w:tcMar>
              <w:top w:w="0" w:type="dxa"/>
              <w:left w:w="40" w:type="dxa"/>
              <w:bottom w:w="0" w:type="dxa"/>
              <w:right w:w="40" w:type="dxa"/>
            </w:tcMar>
            <w:vAlign w:val="center"/>
          </w:tcPr>
          <w:p w14:paraId="000000C5"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9:00 - 17:00</w:t>
            </w:r>
          </w:p>
        </w:tc>
        <w:tc>
          <w:tcPr>
            <w:tcW w:w="1048" w:type="dxa"/>
            <w:tcBorders>
              <w:top w:val="single" w:sz="12" w:space="0" w:color="000000"/>
              <w:right w:val="single" w:sz="6" w:space="0" w:color="000000"/>
            </w:tcBorders>
            <w:tcMar>
              <w:top w:w="0" w:type="dxa"/>
              <w:left w:w="40" w:type="dxa"/>
              <w:bottom w:w="0" w:type="dxa"/>
              <w:right w:w="40" w:type="dxa"/>
            </w:tcMar>
            <w:vAlign w:val="center"/>
          </w:tcPr>
          <w:p w14:paraId="000000C6"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9:00 - 17:00</w:t>
            </w:r>
          </w:p>
        </w:tc>
        <w:tc>
          <w:tcPr>
            <w:tcW w:w="1253" w:type="dxa"/>
            <w:vMerge w:val="restart"/>
            <w:tcBorders>
              <w:top w:val="single" w:sz="12" w:space="0" w:color="000000"/>
              <w:left w:val="single" w:sz="6" w:space="0" w:color="000000"/>
              <w:bottom w:val="single" w:sz="6" w:space="0" w:color="000000"/>
            </w:tcBorders>
            <w:tcMar>
              <w:top w:w="0" w:type="dxa"/>
              <w:left w:w="40" w:type="dxa"/>
              <w:bottom w:w="0" w:type="dxa"/>
              <w:right w:w="40" w:type="dxa"/>
            </w:tcMar>
            <w:vAlign w:val="center"/>
          </w:tcPr>
          <w:p w14:paraId="000000C7"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4 hodiny</w:t>
            </w:r>
          </w:p>
        </w:tc>
        <w:tc>
          <w:tcPr>
            <w:tcW w:w="1260" w:type="dxa"/>
            <w:vMerge w:val="restart"/>
            <w:tcBorders>
              <w:top w:val="single" w:sz="12" w:space="0" w:color="000000"/>
              <w:bottom w:val="single" w:sz="6" w:space="0" w:color="000000"/>
              <w:right w:val="single" w:sz="6" w:space="0" w:color="000000"/>
            </w:tcBorders>
            <w:tcMar>
              <w:top w:w="0" w:type="dxa"/>
              <w:left w:w="40" w:type="dxa"/>
              <w:bottom w:w="0" w:type="dxa"/>
              <w:right w:w="40" w:type="dxa"/>
            </w:tcMar>
            <w:vAlign w:val="center"/>
          </w:tcPr>
          <w:p w14:paraId="000000C8"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1 hodina</w:t>
            </w:r>
          </w:p>
        </w:tc>
        <w:tc>
          <w:tcPr>
            <w:tcW w:w="1207" w:type="dxa"/>
            <w:vMerge w:val="restart"/>
            <w:tcBorders>
              <w:top w:val="single" w:sz="12" w:space="0" w:color="000000"/>
              <w:left w:val="single" w:sz="6" w:space="0" w:color="000000"/>
              <w:bottom w:val="single" w:sz="6" w:space="0" w:color="000000"/>
            </w:tcBorders>
            <w:tcMar>
              <w:top w:w="0" w:type="dxa"/>
              <w:left w:w="40" w:type="dxa"/>
              <w:bottom w:w="0" w:type="dxa"/>
              <w:right w:w="40" w:type="dxa"/>
            </w:tcMar>
            <w:vAlign w:val="center"/>
          </w:tcPr>
          <w:p w14:paraId="000000C9"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1 den</w:t>
            </w:r>
          </w:p>
        </w:tc>
        <w:tc>
          <w:tcPr>
            <w:tcW w:w="1250" w:type="dxa"/>
            <w:vMerge w:val="restart"/>
            <w:tcBorders>
              <w:top w:val="single" w:sz="12" w:space="0" w:color="000000"/>
              <w:bottom w:val="single" w:sz="6" w:space="0" w:color="000000"/>
            </w:tcBorders>
            <w:tcMar>
              <w:top w:w="0" w:type="dxa"/>
              <w:left w:w="40" w:type="dxa"/>
              <w:bottom w:w="0" w:type="dxa"/>
              <w:right w:w="40" w:type="dxa"/>
            </w:tcMar>
            <w:vAlign w:val="center"/>
          </w:tcPr>
          <w:p w14:paraId="000000CA"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4 hodiny</w:t>
            </w:r>
          </w:p>
        </w:tc>
      </w:tr>
      <w:tr w:rsidR="00184C3E" w14:paraId="72031502" w14:textId="77777777">
        <w:trPr>
          <w:trHeight w:val="435"/>
        </w:trPr>
        <w:tc>
          <w:tcPr>
            <w:tcW w:w="2127" w:type="dxa"/>
            <w:tcBorders>
              <w:bottom w:val="single" w:sz="6" w:space="0" w:color="000000"/>
              <w:right w:val="single" w:sz="6" w:space="0" w:color="000000"/>
            </w:tcBorders>
            <w:tcMar>
              <w:top w:w="0" w:type="dxa"/>
              <w:left w:w="40" w:type="dxa"/>
              <w:bottom w:w="0" w:type="dxa"/>
              <w:right w:w="40" w:type="dxa"/>
            </w:tcMar>
            <w:vAlign w:val="center"/>
          </w:tcPr>
          <w:p w14:paraId="000000CB" w14:textId="77777777" w:rsidR="00184C3E" w:rsidRDefault="007D1EB4">
            <w:pPr>
              <w:jc w:val="left"/>
              <w:rPr>
                <w:rFonts w:ascii="Times New Roman" w:eastAsia="Times New Roman" w:hAnsi="Times New Roman" w:cs="Times New Roman"/>
              </w:rPr>
            </w:pPr>
            <w:r>
              <w:rPr>
                <w:rFonts w:ascii="Raleway" w:eastAsia="Raleway" w:hAnsi="Raleway" w:cs="Raleway"/>
                <w:color w:val="000000"/>
                <w:sz w:val="18"/>
                <w:szCs w:val="18"/>
              </w:rPr>
              <w:t>Kritický dopad na systém jako celek</w:t>
            </w:r>
          </w:p>
        </w:tc>
        <w:tc>
          <w:tcPr>
            <w:tcW w:w="1097" w:type="dxa"/>
            <w:tcBorders>
              <w:left w:val="single" w:sz="6" w:space="0" w:color="000000"/>
              <w:bottom w:val="single" w:sz="6" w:space="0" w:color="000000"/>
            </w:tcBorders>
            <w:tcMar>
              <w:top w:w="0" w:type="dxa"/>
              <w:left w:w="40" w:type="dxa"/>
              <w:bottom w:w="0" w:type="dxa"/>
              <w:right w:w="40" w:type="dxa"/>
            </w:tcMar>
            <w:vAlign w:val="center"/>
          </w:tcPr>
          <w:p w14:paraId="000000CC"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Telefon</w:t>
            </w:r>
          </w:p>
        </w:tc>
        <w:tc>
          <w:tcPr>
            <w:tcW w:w="1048" w:type="dxa"/>
            <w:tcBorders>
              <w:bottom w:val="single" w:sz="6" w:space="0" w:color="000000"/>
              <w:right w:val="single" w:sz="6" w:space="0" w:color="000000"/>
            </w:tcBorders>
            <w:tcMar>
              <w:top w:w="0" w:type="dxa"/>
              <w:left w:w="40" w:type="dxa"/>
              <w:bottom w:w="0" w:type="dxa"/>
              <w:right w:w="40" w:type="dxa"/>
            </w:tcMar>
            <w:vAlign w:val="center"/>
          </w:tcPr>
          <w:p w14:paraId="000000CD"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Telefon</w:t>
            </w:r>
          </w:p>
        </w:tc>
        <w:tc>
          <w:tcPr>
            <w:tcW w:w="1253" w:type="dxa"/>
            <w:vMerge/>
            <w:tcBorders>
              <w:top w:val="single" w:sz="12" w:space="0" w:color="000000"/>
              <w:left w:val="single" w:sz="6" w:space="0" w:color="000000"/>
              <w:bottom w:val="single" w:sz="6" w:space="0" w:color="000000"/>
            </w:tcBorders>
            <w:tcMar>
              <w:top w:w="0" w:type="dxa"/>
              <w:left w:w="40" w:type="dxa"/>
              <w:bottom w:w="0" w:type="dxa"/>
              <w:right w:w="40" w:type="dxa"/>
            </w:tcMar>
            <w:vAlign w:val="center"/>
          </w:tcPr>
          <w:p w14:paraId="000000CE"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60" w:type="dxa"/>
            <w:vMerge/>
            <w:tcBorders>
              <w:top w:val="single" w:sz="12" w:space="0" w:color="000000"/>
              <w:bottom w:val="single" w:sz="6" w:space="0" w:color="000000"/>
              <w:right w:val="single" w:sz="6" w:space="0" w:color="000000"/>
            </w:tcBorders>
            <w:tcMar>
              <w:top w:w="0" w:type="dxa"/>
              <w:left w:w="40" w:type="dxa"/>
              <w:bottom w:w="0" w:type="dxa"/>
              <w:right w:w="40" w:type="dxa"/>
            </w:tcMar>
            <w:vAlign w:val="center"/>
          </w:tcPr>
          <w:p w14:paraId="000000CF"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07" w:type="dxa"/>
            <w:vMerge/>
            <w:tcBorders>
              <w:top w:val="single" w:sz="12" w:space="0" w:color="000000"/>
              <w:left w:val="single" w:sz="6" w:space="0" w:color="000000"/>
              <w:bottom w:val="single" w:sz="6" w:space="0" w:color="000000"/>
            </w:tcBorders>
            <w:tcMar>
              <w:top w:w="0" w:type="dxa"/>
              <w:left w:w="40" w:type="dxa"/>
              <w:bottom w:w="0" w:type="dxa"/>
              <w:right w:w="40" w:type="dxa"/>
            </w:tcMar>
            <w:vAlign w:val="center"/>
          </w:tcPr>
          <w:p w14:paraId="000000D0"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50" w:type="dxa"/>
            <w:vMerge/>
            <w:tcBorders>
              <w:top w:val="single" w:sz="12" w:space="0" w:color="000000"/>
              <w:bottom w:val="single" w:sz="6" w:space="0" w:color="000000"/>
            </w:tcBorders>
            <w:tcMar>
              <w:top w:w="0" w:type="dxa"/>
              <w:left w:w="40" w:type="dxa"/>
              <w:bottom w:w="0" w:type="dxa"/>
              <w:right w:w="40" w:type="dxa"/>
            </w:tcMar>
            <w:vAlign w:val="center"/>
          </w:tcPr>
          <w:p w14:paraId="000000D1"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84C3E" w14:paraId="7B49EC94" w14:textId="77777777">
        <w:trPr>
          <w:trHeight w:val="300"/>
        </w:trPr>
        <w:tc>
          <w:tcPr>
            <w:tcW w:w="2127" w:type="dxa"/>
            <w:tcBorders>
              <w:top w:val="single" w:sz="6" w:space="0" w:color="000000"/>
              <w:right w:val="single" w:sz="6" w:space="0" w:color="000000"/>
            </w:tcBorders>
            <w:tcMar>
              <w:top w:w="0" w:type="dxa"/>
              <w:left w:w="40" w:type="dxa"/>
              <w:bottom w:w="0" w:type="dxa"/>
              <w:right w:w="40" w:type="dxa"/>
            </w:tcMar>
            <w:vAlign w:val="center"/>
          </w:tcPr>
          <w:p w14:paraId="000000D2" w14:textId="77777777" w:rsidR="00184C3E" w:rsidRDefault="007D1EB4">
            <w:pPr>
              <w:jc w:val="left"/>
              <w:rPr>
                <w:rFonts w:ascii="Times New Roman" w:eastAsia="Times New Roman" w:hAnsi="Times New Roman" w:cs="Times New Roman"/>
              </w:rPr>
            </w:pPr>
            <w:r>
              <w:rPr>
                <w:rFonts w:ascii="Raleway" w:eastAsia="Raleway" w:hAnsi="Raleway" w:cs="Raleway"/>
                <w:b/>
                <w:color w:val="000000"/>
                <w:sz w:val="20"/>
                <w:szCs w:val="20"/>
              </w:rPr>
              <w:t>2 – VÁŽNÁ</w:t>
            </w:r>
          </w:p>
        </w:tc>
        <w:tc>
          <w:tcPr>
            <w:tcW w:w="1097" w:type="dxa"/>
            <w:tcBorders>
              <w:top w:val="single" w:sz="6" w:space="0" w:color="000000"/>
              <w:left w:val="single" w:sz="6" w:space="0" w:color="000000"/>
            </w:tcBorders>
            <w:tcMar>
              <w:top w:w="0" w:type="dxa"/>
              <w:left w:w="40" w:type="dxa"/>
              <w:bottom w:w="0" w:type="dxa"/>
              <w:right w:w="40" w:type="dxa"/>
            </w:tcMar>
            <w:vAlign w:val="center"/>
          </w:tcPr>
          <w:p w14:paraId="000000D3"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9:00 - 17:00</w:t>
            </w:r>
          </w:p>
        </w:tc>
        <w:tc>
          <w:tcPr>
            <w:tcW w:w="1048" w:type="dxa"/>
            <w:tcBorders>
              <w:top w:val="single" w:sz="6" w:space="0" w:color="000000"/>
              <w:right w:val="single" w:sz="6" w:space="0" w:color="000000"/>
            </w:tcBorders>
            <w:tcMar>
              <w:top w:w="0" w:type="dxa"/>
              <w:left w:w="40" w:type="dxa"/>
              <w:bottom w:w="0" w:type="dxa"/>
              <w:right w:w="40" w:type="dxa"/>
            </w:tcMar>
            <w:vAlign w:val="center"/>
          </w:tcPr>
          <w:p w14:paraId="000000D4"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9:00 - 17:00</w:t>
            </w:r>
          </w:p>
        </w:tc>
        <w:tc>
          <w:tcPr>
            <w:tcW w:w="1253" w:type="dxa"/>
            <w:vMerge w:val="restart"/>
            <w:tcBorders>
              <w:top w:val="single" w:sz="6" w:space="0" w:color="000000"/>
              <w:left w:val="single" w:sz="6" w:space="0" w:color="000000"/>
              <w:bottom w:val="single" w:sz="6" w:space="0" w:color="000000"/>
            </w:tcBorders>
            <w:tcMar>
              <w:top w:w="0" w:type="dxa"/>
              <w:left w:w="40" w:type="dxa"/>
              <w:bottom w:w="0" w:type="dxa"/>
              <w:right w:w="40" w:type="dxa"/>
            </w:tcMar>
            <w:vAlign w:val="center"/>
          </w:tcPr>
          <w:p w14:paraId="000000D5"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1 den</w:t>
            </w:r>
          </w:p>
        </w:tc>
        <w:tc>
          <w:tcPr>
            <w:tcW w:w="1260" w:type="dxa"/>
            <w:vMerge w:val="restart"/>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00000D6"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2 hodiny</w:t>
            </w:r>
          </w:p>
        </w:tc>
        <w:tc>
          <w:tcPr>
            <w:tcW w:w="1207" w:type="dxa"/>
            <w:vMerge w:val="restart"/>
            <w:tcBorders>
              <w:top w:val="single" w:sz="6" w:space="0" w:color="000000"/>
              <w:left w:val="single" w:sz="6" w:space="0" w:color="000000"/>
              <w:bottom w:val="single" w:sz="6" w:space="0" w:color="000000"/>
            </w:tcBorders>
            <w:tcMar>
              <w:top w:w="0" w:type="dxa"/>
              <w:left w:w="40" w:type="dxa"/>
              <w:bottom w:w="0" w:type="dxa"/>
              <w:right w:w="40" w:type="dxa"/>
            </w:tcMar>
            <w:vAlign w:val="center"/>
          </w:tcPr>
          <w:p w14:paraId="000000D7"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2 dny</w:t>
            </w:r>
          </w:p>
        </w:tc>
        <w:tc>
          <w:tcPr>
            <w:tcW w:w="1250" w:type="dxa"/>
            <w:vMerge w:val="restart"/>
            <w:tcBorders>
              <w:top w:val="single" w:sz="6" w:space="0" w:color="000000"/>
              <w:bottom w:val="single" w:sz="6" w:space="0" w:color="000000"/>
            </w:tcBorders>
            <w:tcMar>
              <w:top w:w="0" w:type="dxa"/>
              <w:left w:w="40" w:type="dxa"/>
              <w:bottom w:w="0" w:type="dxa"/>
              <w:right w:w="40" w:type="dxa"/>
            </w:tcMar>
            <w:vAlign w:val="center"/>
          </w:tcPr>
          <w:p w14:paraId="000000D8"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1 den</w:t>
            </w:r>
          </w:p>
        </w:tc>
      </w:tr>
      <w:tr w:rsidR="00184C3E" w14:paraId="5E05D789" w14:textId="77777777">
        <w:trPr>
          <w:trHeight w:val="645"/>
        </w:trPr>
        <w:tc>
          <w:tcPr>
            <w:tcW w:w="2127" w:type="dxa"/>
            <w:tcBorders>
              <w:bottom w:val="single" w:sz="6" w:space="0" w:color="000000"/>
              <w:right w:val="single" w:sz="6" w:space="0" w:color="000000"/>
            </w:tcBorders>
            <w:tcMar>
              <w:top w:w="0" w:type="dxa"/>
              <w:left w:w="40" w:type="dxa"/>
              <w:bottom w:w="0" w:type="dxa"/>
              <w:right w:w="40" w:type="dxa"/>
            </w:tcMar>
            <w:vAlign w:val="center"/>
          </w:tcPr>
          <w:p w14:paraId="000000D9" w14:textId="77777777" w:rsidR="00184C3E" w:rsidRDefault="007D1EB4">
            <w:pPr>
              <w:jc w:val="left"/>
              <w:rPr>
                <w:rFonts w:ascii="Times New Roman" w:eastAsia="Times New Roman" w:hAnsi="Times New Roman" w:cs="Times New Roman"/>
              </w:rPr>
            </w:pPr>
            <w:r>
              <w:rPr>
                <w:rFonts w:ascii="Raleway" w:eastAsia="Raleway" w:hAnsi="Raleway" w:cs="Raleway"/>
                <w:color w:val="000000"/>
                <w:sz w:val="18"/>
                <w:szCs w:val="18"/>
              </w:rPr>
              <w:t>Závažný dopad na dílčí funkce systému</w:t>
            </w:r>
          </w:p>
        </w:tc>
        <w:tc>
          <w:tcPr>
            <w:tcW w:w="1097" w:type="dxa"/>
            <w:tcBorders>
              <w:left w:val="single" w:sz="6" w:space="0" w:color="000000"/>
              <w:bottom w:val="single" w:sz="6" w:space="0" w:color="000000"/>
            </w:tcBorders>
            <w:tcMar>
              <w:top w:w="0" w:type="dxa"/>
              <w:left w:w="40" w:type="dxa"/>
              <w:bottom w:w="0" w:type="dxa"/>
              <w:right w:w="40" w:type="dxa"/>
            </w:tcMar>
            <w:vAlign w:val="center"/>
          </w:tcPr>
          <w:p w14:paraId="000000DA"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Email</w:t>
            </w:r>
          </w:p>
        </w:tc>
        <w:tc>
          <w:tcPr>
            <w:tcW w:w="1048" w:type="dxa"/>
            <w:tcBorders>
              <w:bottom w:val="single" w:sz="6" w:space="0" w:color="000000"/>
              <w:right w:val="single" w:sz="6" w:space="0" w:color="000000"/>
            </w:tcBorders>
            <w:tcMar>
              <w:top w:w="0" w:type="dxa"/>
              <w:left w:w="40" w:type="dxa"/>
              <w:bottom w:w="0" w:type="dxa"/>
              <w:right w:w="40" w:type="dxa"/>
            </w:tcMar>
            <w:vAlign w:val="center"/>
          </w:tcPr>
          <w:p w14:paraId="000000DB"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Telefon</w:t>
            </w:r>
          </w:p>
        </w:tc>
        <w:tc>
          <w:tcPr>
            <w:tcW w:w="1253" w:type="dxa"/>
            <w:vMerge/>
            <w:tcBorders>
              <w:top w:val="single" w:sz="6" w:space="0" w:color="000000"/>
              <w:left w:val="single" w:sz="6" w:space="0" w:color="000000"/>
              <w:bottom w:val="single" w:sz="6" w:space="0" w:color="000000"/>
            </w:tcBorders>
            <w:tcMar>
              <w:top w:w="0" w:type="dxa"/>
              <w:left w:w="40" w:type="dxa"/>
              <w:bottom w:w="0" w:type="dxa"/>
              <w:right w:w="40" w:type="dxa"/>
            </w:tcMar>
            <w:vAlign w:val="center"/>
          </w:tcPr>
          <w:p w14:paraId="000000DC"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60" w:type="dxa"/>
            <w:vMerge/>
            <w:tcBorders>
              <w:top w:val="single" w:sz="6" w:space="0" w:color="000000"/>
              <w:bottom w:val="single" w:sz="6" w:space="0" w:color="000000"/>
              <w:right w:val="single" w:sz="6" w:space="0" w:color="000000"/>
            </w:tcBorders>
            <w:tcMar>
              <w:top w:w="0" w:type="dxa"/>
              <w:left w:w="40" w:type="dxa"/>
              <w:bottom w:w="0" w:type="dxa"/>
              <w:right w:w="40" w:type="dxa"/>
            </w:tcMar>
            <w:vAlign w:val="center"/>
          </w:tcPr>
          <w:p w14:paraId="000000DD"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07" w:type="dxa"/>
            <w:vMerge/>
            <w:tcBorders>
              <w:top w:val="single" w:sz="6" w:space="0" w:color="000000"/>
              <w:left w:val="single" w:sz="6" w:space="0" w:color="000000"/>
              <w:bottom w:val="single" w:sz="6" w:space="0" w:color="000000"/>
            </w:tcBorders>
            <w:tcMar>
              <w:top w:w="0" w:type="dxa"/>
              <w:left w:w="40" w:type="dxa"/>
              <w:bottom w:w="0" w:type="dxa"/>
              <w:right w:w="40" w:type="dxa"/>
            </w:tcMar>
            <w:vAlign w:val="center"/>
          </w:tcPr>
          <w:p w14:paraId="000000DE"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50" w:type="dxa"/>
            <w:vMerge/>
            <w:tcBorders>
              <w:top w:val="single" w:sz="6" w:space="0" w:color="000000"/>
              <w:bottom w:val="single" w:sz="6" w:space="0" w:color="000000"/>
            </w:tcBorders>
            <w:tcMar>
              <w:top w:w="0" w:type="dxa"/>
              <w:left w:w="40" w:type="dxa"/>
              <w:bottom w:w="0" w:type="dxa"/>
              <w:right w:w="40" w:type="dxa"/>
            </w:tcMar>
            <w:vAlign w:val="center"/>
          </w:tcPr>
          <w:p w14:paraId="000000DF"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r w:rsidR="00184C3E" w14:paraId="212A80A8" w14:textId="77777777">
        <w:trPr>
          <w:trHeight w:val="300"/>
        </w:trPr>
        <w:tc>
          <w:tcPr>
            <w:tcW w:w="2127" w:type="dxa"/>
            <w:tcBorders>
              <w:top w:val="single" w:sz="6" w:space="0" w:color="000000"/>
              <w:right w:val="single" w:sz="6" w:space="0" w:color="000000"/>
            </w:tcBorders>
            <w:tcMar>
              <w:top w:w="0" w:type="dxa"/>
              <w:left w:w="40" w:type="dxa"/>
              <w:bottom w:w="0" w:type="dxa"/>
              <w:right w:w="40" w:type="dxa"/>
            </w:tcMar>
            <w:vAlign w:val="center"/>
          </w:tcPr>
          <w:p w14:paraId="000000E0" w14:textId="77777777" w:rsidR="00184C3E" w:rsidRDefault="007D1EB4">
            <w:pPr>
              <w:jc w:val="left"/>
              <w:rPr>
                <w:rFonts w:ascii="Times New Roman" w:eastAsia="Times New Roman" w:hAnsi="Times New Roman" w:cs="Times New Roman"/>
              </w:rPr>
            </w:pPr>
            <w:r>
              <w:rPr>
                <w:rFonts w:ascii="Raleway" w:eastAsia="Raleway" w:hAnsi="Raleway" w:cs="Raleway"/>
                <w:b/>
                <w:color w:val="000000"/>
                <w:sz w:val="20"/>
                <w:szCs w:val="20"/>
              </w:rPr>
              <w:t>3 – BĚŽNÁ</w:t>
            </w:r>
          </w:p>
        </w:tc>
        <w:tc>
          <w:tcPr>
            <w:tcW w:w="1097" w:type="dxa"/>
            <w:tcBorders>
              <w:top w:val="single" w:sz="6" w:space="0" w:color="000000"/>
              <w:left w:val="single" w:sz="6" w:space="0" w:color="000000"/>
            </w:tcBorders>
            <w:tcMar>
              <w:top w:w="0" w:type="dxa"/>
              <w:left w:w="40" w:type="dxa"/>
              <w:bottom w:w="0" w:type="dxa"/>
              <w:right w:w="40" w:type="dxa"/>
            </w:tcMar>
            <w:vAlign w:val="center"/>
          </w:tcPr>
          <w:p w14:paraId="000000E1"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9:00 - 17:00</w:t>
            </w:r>
          </w:p>
        </w:tc>
        <w:tc>
          <w:tcPr>
            <w:tcW w:w="1048" w:type="dxa"/>
            <w:tcBorders>
              <w:top w:val="single" w:sz="6" w:space="0" w:color="000000"/>
              <w:right w:val="single" w:sz="6" w:space="0" w:color="000000"/>
            </w:tcBorders>
            <w:tcMar>
              <w:top w:w="0" w:type="dxa"/>
              <w:left w:w="40" w:type="dxa"/>
              <w:bottom w:w="0" w:type="dxa"/>
              <w:right w:w="40" w:type="dxa"/>
            </w:tcMar>
            <w:vAlign w:val="center"/>
          </w:tcPr>
          <w:p w14:paraId="000000E2"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9:00 - 17:00</w:t>
            </w:r>
          </w:p>
        </w:tc>
        <w:tc>
          <w:tcPr>
            <w:tcW w:w="1253" w:type="dxa"/>
            <w:vMerge w:val="restart"/>
            <w:tcBorders>
              <w:top w:val="single" w:sz="6" w:space="0" w:color="000000"/>
              <w:left w:val="single" w:sz="6" w:space="0" w:color="000000"/>
              <w:bottom w:val="single" w:sz="12" w:space="0" w:color="000000"/>
            </w:tcBorders>
            <w:tcMar>
              <w:top w:w="0" w:type="dxa"/>
              <w:left w:w="40" w:type="dxa"/>
              <w:bottom w:w="0" w:type="dxa"/>
              <w:right w:w="40" w:type="dxa"/>
            </w:tcMar>
            <w:vAlign w:val="center"/>
          </w:tcPr>
          <w:p w14:paraId="000000E3"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2 dny</w:t>
            </w:r>
          </w:p>
        </w:tc>
        <w:tc>
          <w:tcPr>
            <w:tcW w:w="1260" w:type="dxa"/>
            <w:vMerge w:val="restart"/>
            <w:tcBorders>
              <w:top w:val="single" w:sz="6" w:space="0" w:color="000000"/>
              <w:bottom w:val="single" w:sz="12" w:space="0" w:color="000000"/>
              <w:right w:val="single" w:sz="6" w:space="0" w:color="000000"/>
            </w:tcBorders>
            <w:tcMar>
              <w:top w:w="0" w:type="dxa"/>
              <w:left w:w="40" w:type="dxa"/>
              <w:bottom w:w="0" w:type="dxa"/>
              <w:right w:w="40" w:type="dxa"/>
            </w:tcMar>
            <w:vAlign w:val="center"/>
          </w:tcPr>
          <w:p w14:paraId="000000E4"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1 den</w:t>
            </w:r>
          </w:p>
        </w:tc>
        <w:tc>
          <w:tcPr>
            <w:tcW w:w="1207" w:type="dxa"/>
            <w:vMerge w:val="restart"/>
            <w:tcBorders>
              <w:top w:val="single" w:sz="6" w:space="0" w:color="000000"/>
              <w:left w:val="single" w:sz="6" w:space="0" w:color="000000"/>
              <w:bottom w:val="single" w:sz="12" w:space="0" w:color="000000"/>
            </w:tcBorders>
            <w:tcMar>
              <w:top w:w="0" w:type="dxa"/>
              <w:left w:w="40" w:type="dxa"/>
              <w:bottom w:w="0" w:type="dxa"/>
              <w:right w:w="40" w:type="dxa"/>
            </w:tcMar>
            <w:vAlign w:val="center"/>
          </w:tcPr>
          <w:p w14:paraId="000000E5"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10 dnů</w:t>
            </w:r>
          </w:p>
        </w:tc>
        <w:tc>
          <w:tcPr>
            <w:tcW w:w="1250" w:type="dxa"/>
            <w:vMerge w:val="restart"/>
            <w:tcBorders>
              <w:top w:val="single" w:sz="6" w:space="0" w:color="000000"/>
              <w:bottom w:val="single" w:sz="12" w:space="0" w:color="000000"/>
            </w:tcBorders>
            <w:tcMar>
              <w:top w:w="0" w:type="dxa"/>
              <w:left w:w="40" w:type="dxa"/>
              <w:bottom w:w="0" w:type="dxa"/>
              <w:right w:w="40" w:type="dxa"/>
            </w:tcMar>
            <w:vAlign w:val="center"/>
          </w:tcPr>
          <w:p w14:paraId="000000E6"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5 dnů</w:t>
            </w:r>
          </w:p>
        </w:tc>
      </w:tr>
      <w:tr w:rsidR="00184C3E" w14:paraId="7696775B" w14:textId="77777777">
        <w:trPr>
          <w:trHeight w:val="660"/>
        </w:trPr>
        <w:tc>
          <w:tcPr>
            <w:tcW w:w="2127" w:type="dxa"/>
            <w:tcBorders>
              <w:bottom w:val="single" w:sz="12" w:space="0" w:color="000000"/>
              <w:right w:val="single" w:sz="6" w:space="0" w:color="000000"/>
            </w:tcBorders>
            <w:tcMar>
              <w:top w:w="0" w:type="dxa"/>
              <w:left w:w="40" w:type="dxa"/>
              <w:bottom w:w="0" w:type="dxa"/>
              <w:right w:w="40" w:type="dxa"/>
            </w:tcMar>
            <w:vAlign w:val="center"/>
          </w:tcPr>
          <w:p w14:paraId="000000E7" w14:textId="77777777" w:rsidR="00184C3E" w:rsidRDefault="007D1EB4">
            <w:pPr>
              <w:jc w:val="left"/>
              <w:rPr>
                <w:rFonts w:ascii="Times New Roman" w:eastAsia="Times New Roman" w:hAnsi="Times New Roman" w:cs="Times New Roman"/>
              </w:rPr>
            </w:pPr>
            <w:r>
              <w:rPr>
                <w:rFonts w:ascii="Raleway" w:eastAsia="Raleway" w:hAnsi="Raleway" w:cs="Raleway"/>
                <w:color w:val="000000"/>
                <w:sz w:val="18"/>
                <w:szCs w:val="18"/>
              </w:rPr>
              <w:t>Funkčnost aplikace není významně ovlivněna</w:t>
            </w:r>
          </w:p>
        </w:tc>
        <w:tc>
          <w:tcPr>
            <w:tcW w:w="1097" w:type="dxa"/>
            <w:tcBorders>
              <w:left w:val="single" w:sz="6" w:space="0" w:color="000000"/>
              <w:bottom w:val="single" w:sz="12" w:space="0" w:color="000000"/>
            </w:tcBorders>
            <w:tcMar>
              <w:top w:w="0" w:type="dxa"/>
              <w:left w:w="40" w:type="dxa"/>
              <w:bottom w:w="0" w:type="dxa"/>
              <w:right w:w="40" w:type="dxa"/>
            </w:tcMar>
            <w:vAlign w:val="center"/>
          </w:tcPr>
          <w:p w14:paraId="000000E8"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Email</w:t>
            </w:r>
          </w:p>
        </w:tc>
        <w:tc>
          <w:tcPr>
            <w:tcW w:w="1048" w:type="dxa"/>
            <w:tcBorders>
              <w:bottom w:val="single" w:sz="12" w:space="0" w:color="000000"/>
              <w:right w:val="single" w:sz="6" w:space="0" w:color="000000"/>
            </w:tcBorders>
            <w:tcMar>
              <w:top w:w="0" w:type="dxa"/>
              <w:left w:w="40" w:type="dxa"/>
              <w:bottom w:w="0" w:type="dxa"/>
              <w:right w:w="40" w:type="dxa"/>
            </w:tcMar>
            <w:vAlign w:val="center"/>
          </w:tcPr>
          <w:p w14:paraId="000000E9" w14:textId="77777777" w:rsidR="00184C3E" w:rsidRDefault="007D1EB4">
            <w:pPr>
              <w:jc w:val="center"/>
              <w:rPr>
                <w:rFonts w:ascii="Times New Roman" w:eastAsia="Times New Roman" w:hAnsi="Times New Roman" w:cs="Times New Roman"/>
              </w:rPr>
            </w:pPr>
            <w:r>
              <w:rPr>
                <w:rFonts w:ascii="Raleway" w:eastAsia="Raleway" w:hAnsi="Raleway" w:cs="Raleway"/>
                <w:color w:val="000000"/>
                <w:sz w:val="18"/>
                <w:szCs w:val="18"/>
              </w:rPr>
              <w:t>Email</w:t>
            </w:r>
          </w:p>
        </w:tc>
        <w:tc>
          <w:tcPr>
            <w:tcW w:w="1253" w:type="dxa"/>
            <w:vMerge/>
            <w:tcBorders>
              <w:top w:val="single" w:sz="6" w:space="0" w:color="000000"/>
              <w:left w:val="single" w:sz="6" w:space="0" w:color="000000"/>
              <w:bottom w:val="single" w:sz="12" w:space="0" w:color="000000"/>
            </w:tcBorders>
            <w:tcMar>
              <w:top w:w="0" w:type="dxa"/>
              <w:left w:w="40" w:type="dxa"/>
              <w:bottom w:w="0" w:type="dxa"/>
              <w:right w:w="40" w:type="dxa"/>
            </w:tcMar>
            <w:vAlign w:val="center"/>
          </w:tcPr>
          <w:p w14:paraId="000000EA"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60" w:type="dxa"/>
            <w:vMerge/>
            <w:tcBorders>
              <w:top w:val="single" w:sz="6" w:space="0" w:color="000000"/>
              <w:bottom w:val="single" w:sz="12" w:space="0" w:color="000000"/>
              <w:right w:val="single" w:sz="6" w:space="0" w:color="000000"/>
            </w:tcBorders>
            <w:tcMar>
              <w:top w:w="0" w:type="dxa"/>
              <w:left w:w="40" w:type="dxa"/>
              <w:bottom w:w="0" w:type="dxa"/>
              <w:right w:w="40" w:type="dxa"/>
            </w:tcMar>
            <w:vAlign w:val="center"/>
          </w:tcPr>
          <w:p w14:paraId="000000EB"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07" w:type="dxa"/>
            <w:vMerge/>
            <w:tcBorders>
              <w:top w:val="single" w:sz="6" w:space="0" w:color="000000"/>
              <w:left w:val="single" w:sz="6" w:space="0" w:color="000000"/>
              <w:bottom w:val="single" w:sz="12" w:space="0" w:color="000000"/>
            </w:tcBorders>
            <w:tcMar>
              <w:top w:w="0" w:type="dxa"/>
              <w:left w:w="40" w:type="dxa"/>
              <w:bottom w:w="0" w:type="dxa"/>
              <w:right w:w="40" w:type="dxa"/>
            </w:tcMar>
            <w:vAlign w:val="center"/>
          </w:tcPr>
          <w:p w14:paraId="000000EC"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250" w:type="dxa"/>
            <w:vMerge/>
            <w:tcBorders>
              <w:top w:val="single" w:sz="6" w:space="0" w:color="000000"/>
              <w:bottom w:val="single" w:sz="12" w:space="0" w:color="000000"/>
            </w:tcBorders>
            <w:tcMar>
              <w:top w:w="0" w:type="dxa"/>
              <w:left w:w="40" w:type="dxa"/>
              <w:bottom w:w="0" w:type="dxa"/>
              <w:right w:w="40" w:type="dxa"/>
            </w:tcMar>
            <w:vAlign w:val="center"/>
          </w:tcPr>
          <w:p w14:paraId="000000ED" w14:textId="77777777" w:rsidR="00184C3E" w:rsidRDefault="00184C3E">
            <w:pPr>
              <w:widowControl w:val="0"/>
              <w:pBdr>
                <w:top w:val="nil"/>
                <w:left w:val="nil"/>
                <w:bottom w:val="nil"/>
                <w:right w:val="nil"/>
                <w:between w:val="nil"/>
              </w:pBdr>
              <w:spacing w:line="276" w:lineRule="auto"/>
              <w:jc w:val="left"/>
              <w:rPr>
                <w:rFonts w:ascii="Times New Roman" w:eastAsia="Times New Roman" w:hAnsi="Times New Roman" w:cs="Times New Roman"/>
              </w:rPr>
            </w:pPr>
          </w:p>
        </w:tc>
      </w:tr>
    </w:tbl>
    <w:p w14:paraId="000000EE" w14:textId="77777777" w:rsidR="00184C3E" w:rsidRDefault="00184C3E">
      <w:pPr>
        <w:rPr>
          <w:rFonts w:ascii="Times New Roman" w:eastAsia="Times New Roman" w:hAnsi="Times New Roman" w:cs="Times New Roman"/>
          <w:sz w:val="22"/>
          <w:szCs w:val="22"/>
        </w:rPr>
      </w:pPr>
    </w:p>
    <w:p w14:paraId="000000EF" w14:textId="149EDC2A" w:rsidR="00184C3E" w:rsidRDefault="007D1EB4">
      <w:pPr>
        <w:rPr>
          <w:rFonts w:ascii="Times New Roman" w:eastAsia="Times New Roman" w:hAnsi="Times New Roman" w:cs="Times New Roman"/>
          <w:sz w:val="22"/>
          <w:szCs w:val="22"/>
        </w:rPr>
      </w:pPr>
      <w:bookmarkStart w:id="29" w:name="_heading=h.4i7ojhp" w:colFirst="0" w:colLast="0"/>
      <w:bookmarkEnd w:id="29"/>
      <w:r>
        <w:rPr>
          <w:rFonts w:ascii="Times New Roman" w:eastAsia="Times New Roman" w:hAnsi="Times New Roman" w:cs="Times New Roman"/>
          <w:sz w:val="22"/>
          <w:szCs w:val="22"/>
        </w:rPr>
        <w:t xml:space="preserve">Smluvní strany si ujednaly podporu na úrovni Standard. Veškeré časové údaje se vztahují na standardní pracovní dobu, tedy v pracovní dny od 9:00 do 17:00. Pro hlášení požadavků Zákazník využije primárně emailovou adresu </w:t>
      </w:r>
      <w:r w:rsidR="001E68A8">
        <w:t>xxxxxxxxxxxxxxxxxxx</w:t>
      </w:r>
      <w:r>
        <w:rPr>
          <w:rFonts w:ascii="Times New Roman" w:eastAsia="Times New Roman" w:hAnsi="Times New Roman" w:cs="Times New Roman"/>
          <w:sz w:val="22"/>
          <w:szCs w:val="22"/>
        </w:rPr>
        <w:t xml:space="preserve">, případně telefon </w:t>
      </w:r>
      <w:r w:rsidR="001E68A8">
        <w:rPr>
          <w:rFonts w:ascii="Times New Roman" w:eastAsia="Times New Roman" w:hAnsi="Times New Roman" w:cs="Times New Roman"/>
          <w:sz w:val="22"/>
          <w:szCs w:val="22"/>
        </w:rPr>
        <w:t>xxxxxxxxxxxxxxxxxx</w:t>
      </w:r>
    </w:p>
    <w:p w14:paraId="000000F0" w14:textId="77777777" w:rsidR="00184C3E" w:rsidRDefault="007D1EB4">
      <w:pPr>
        <w:pStyle w:val="Nadpis2"/>
        <w:numPr>
          <w:ilvl w:val="0"/>
          <w:numId w:val="7"/>
        </w:numPr>
        <w:spacing w:before="240" w:after="120"/>
        <w:ind w:left="714" w:hanging="357"/>
        <w:rPr>
          <w:b/>
        </w:rPr>
      </w:pPr>
      <w:r>
        <w:rPr>
          <w:b/>
          <w:u w:val="single"/>
        </w:rPr>
        <w:t>Individuální podpora</w:t>
      </w:r>
    </w:p>
    <w:p w14:paraId="000000F1"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 případě zájmu Zákazníka nabízí Poskytovatel podporu na úrovni L1 s reakční dobou shodnou se Základní podporou. Čas strávený na řešení požadavků v rámci L1 podpory bude Zákazníkovi účtován hodinovou sazbou, a to včetně případné prvotní investigace Zákazníkem nahlášené vady. </w:t>
      </w:r>
    </w:p>
    <w:p w14:paraId="000000F2" w14:textId="77777777" w:rsidR="00184C3E" w:rsidRDefault="00184C3E">
      <w:pPr>
        <w:rPr>
          <w:rFonts w:ascii="Times New Roman" w:eastAsia="Times New Roman" w:hAnsi="Times New Roman" w:cs="Times New Roman"/>
          <w:sz w:val="22"/>
          <w:szCs w:val="22"/>
        </w:rPr>
      </w:pPr>
    </w:p>
    <w:p w14:paraId="000000F3" w14:textId="77777777" w:rsidR="00184C3E" w:rsidRDefault="007D1EB4">
      <w:pPr>
        <w:rPr>
          <w:rFonts w:ascii="Times New Roman" w:eastAsia="Times New Roman" w:hAnsi="Times New Roman" w:cs="Times New Roman"/>
          <w:sz w:val="22"/>
          <w:szCs w:val="22"/>
        </w:rPr>
      </w:pPr>
      <w:r>
        <w:rPr>
          <w:rFonts w:ascii="Times New Roman" w:eastAsia="Times New Roman" w:hAnsi="Times New Roman" w:cs="Times New Roman"/>
          <w:sz w:val="22"/>
          <w:szCs w:val="22"/>
        </w:rPr>
        <w:t>V případě zájmu Zákazníka nabízí Poskytovatel rozšířenou úroveň poskytování služeb v rámci jednotlivých dnů a případně zkrácené reakční doby, například pro případ nutného dočasného zajištění vyšší dostupnosti podpory. Rozsah, stejně jako cena takto rozšířené podpory, bude stanoven předem na základě dohody Zákazníka s Poskytovatelem.</w:t>
      </w:r>
    </w:p>
    <w:p w14:paraId="000000F4" w14:textId="77777777" w:rsidR="00184C3E" w:rsidRDefault="007D1EB4">
      <w:pPr>
        <w:spacing w:before="360"/>
        <w:rPr>
          <w:rFonts w:ascii="Times New Roman" w:eastAsia="Times New Roman" w:hAnsi="Times New Roman" w:cs="Times New Roman"/>
          <w:b/>
          <w:sz w:val="28"/>
          <w:szCs w:val="28"/>
          <w:u w:val="single"/>
        </w:rPr>
      </w:pPr>
      <w:bookmarkStart w:id="30" w:name="_heading=h.2xcytpi" w:colFirst="0" w:colLast="0"/>
      <w:bookmarkEnd w:id="30"/>
      <w:r>
        <w:rPr>
          <w:rFonts w:ascii="Times New Roman" w:eastAsia="Times New Roman" w:hAnsi="Times New Roman" w:cs="Times New Roman"/>
          <w:b/>
          <w:sz w:val="28"/>
          <w:szCs w:val="28"/>
          <w:u w:val="single"/>
        </w:rPr>
        <w:t>Cena poskytovaných služeb</w:t>
      </w:r>
    </w:p>
    <w:p w14:paraId="000000F5" w14:textId="77777777" w:rsidR="00184C3E" w:rsidRDefault="007D1EB4">
      <w:pPr>
        <w:numPr>
          <w:ilvl w:val="0"/>
          <w:numId w:val="8"/>
        </w:numPr>
        <w:spacing w:before="120" w:after="120"/>
        <w:ind w:left="538" w:hanging="357"/>
        <w:rPr>
          <w:rFonts w:ascii="Times New Roman" w:eastAsia="Times New Roman" w:hAnsi="Times New Roman" w:cs="Times New Roman"/>
          <w:b/>
          <w:sz w:val="22"/>
          <w:szCs w:val="22"/>
        </w:rPr>
      </w:pPr>
      <w:bookmarkStart w:id="31" w:name="_heading=h.1ci93xb" w:colFirst="0" w:colLast="0"/>
      <w:bookmarkEnd w:id="31"/>
      <w:r>
        <w:rPr>
          <w:rFonts w:ascii="Times New Roman" w:eastAsia="Times New Roman" w:hAnsi="Times New Roman" w:cs="Times New Roman"/>
          <w:b/>
          <w:sz w:val="22"/>
          <w:szCs w:val="22"/>
        </w:rPr>
        <w:t>Základní balíček a Volitelné služby</w:t>
      </w:r>
    </w:p>
    <w:p w14:paraId="000000F6" w14:textId="77777777" w:rsidR="00184C3E" w:rsidRDefault="007D1EB4">
      <w:pPr>
        <w:pStyle w:val="Nadpis2"/>
        <w:numPr>
          <w:ilvl w:val="1"/>
          <w:numId w:val="1"/>
        </w:numPr>
        <w:shd w:val="clear" w:color="auto" w:fill="FFFFFF"/>
        <w:ind w:left="850" w:hanging="400"/>
      </w:pPr>
      <w:bookmarkStart w:id="32" w:name="_heading=h.1ksv4uv" w:colFirst="0" w:colLast="0"/>
      <w:bookmarkEnd w:id="32"/>
      <w:r>
        <w:t xml:space="preserve">Jednorázová cena za instalaci (za uvedení SW do provozu) a další jednorázové služby za </w:t>
      </w:r>
      <w:r>
        <w:br/>
        <w:t xml:space="preserve">1 instanci činí částku 249 400,-Kč (slovy dvě stě čtyřicet devět tisíc čtyři sta korun českých) </w:t>
      </w:r>
      <w:r>
        <w:br/>
        <w:t xml:space="preserve">a skládá se z: </w:t>
      </w:r>
    </w:p>
    <w:p w14:paraId="000000F7" w14:textId="68527DDF" w:rsidR="00184C3E" w:rsidRDefault="001E68A8">
      <w:pPr>
        <w:pStyle w:val="Nadpis2"/>
        <w:numPr>
          <w:ilvl w:val="2"/>
          <w:numId w:val="1"/>
        </w:numPr>
        <w:shd w:val="clear" w:color="auto" w:fill="FFFFFF"/>
        <w:ind w:left="1260"/>
      </w:pPr>
      <w:bookmarkStart w:id="33" w:name="_heading=h.1p12sa4mhdpb" w:colFirst="0" w:colLast="0"/>
      <w:bookmarkEnd w:id="33"/>
      <w:r>
        <w:lastRenderedPageBreak/>
        <w:t>xxxxxxxxxx</w:t>
      </w:r>
      <w:r w:rsidR="007D1EB4">
        <w:t xml:space="preserve"> = </w:t>
      </w:r>
      <w:r>
        <w:t>xxxxxxxxxxxxxxx</w:t>
      </w:r>
      <w:r w:rsidR="007D1EB4">
        <w:t>,-Kč</w:t>
      </w:r>
    </w:p>
    <w:p w14:paraId="000000F8" w14:textId="760E5739" w:rsidR="00184C3E" w:rsidRDefault="001E68A8">
      <w:pPr>
        <w:pStyle w:val="Nadpis2"/>
        <w:numPr>
          <w:ilvl w:val="2"/>
          <w:numId w:val="1"/>
        </w:numPr>
        <w:pBdr>
          <w:top w:val="nil"/>
          <w:left w:val="nil"/>
          <w:bottom w:val="nil"/>
          <w:right w:val="nil"/>
          <w:between w:val="nil"/>
        </w:pBdr>
        <w:shd w:val="clear" w:color="auto" w:fill="FFFFFF"/>
        <w:ind w:left="1260"/>
      </w:pPr>
      <w:bookmarkStart w:id="34" w:name="_heading=h.nayevmmmduuv" w:colFirst="0" w:colLast="0"/>
      <w:bookmarkEnd w:id="34"/>
      <w:r>
        <w:t>xxxxxxxxxxxxxxxxxxxxxxxxxxxx Kč</w:t>
      </w:r>
    </w:p>
    <w:p w14:paraId="000000F9" w14:textId="77777777" w:rsidR="00184C3E" w:rsidRDefault="007D1EB4">
      <w:pPr>
        <w:pStyle w:val="Nadpis2"/>
        <w:numPr>
          <w:ilvl w:val="1"/>
          <w:numId w:val="1"/>
        </w:numPr>
        <w:pBdr>
          <w:top w:val="nil"/>
          <w:left w:val="nil"/>
          <w:bottom w:val="nil"/>
          <w:right w:val="nil"/>
          <w:between w:val="nil"/>
        </w:pBdr>
        <w:shd w:val="clear" w:color="auto" w:fill="FFFFFF"/>
        <w:ind w:left="850" w:hanging="400"/>
      </w:pPr>
      <w:bookmarkStart w:id="35" w:name="_heading=h.k1p7jrawnav0" w:colFirst="0" w:colLast="0"/>
      <w:bookmarkEnd w:id="35"/>
      <w:r>
        <w:t xml:space="preserve">Měsíční cena po slevě za roční předplacení služeb za Základní balíček a Volitelné služby za </w:t>
      </w:r>
      <w:r>
        <w:br/>
        <w:t xml:space="preserve">1 instanci činí 6 128,-Kč (slovy šest tisíc sto dvacet osm korun českých) za každý, byť započatý, kalendářní měsíc, tedy 73 536,- Kč (slovy sedmdesát tři tisíc pět set třicet šest korun českých) za každý rok a skládá se z pravidelné aktualizace systému, správy a provozu serveru, podpory na úrovni Basic a veškerých legislativních úprav. </w:t>
      </w:r>
    </w:p>
    <w:p w14:paraId="000000FA" w14:textId="77777777" w:rsidR="00184C3E" w:rsidRDefault="00184C3E">
      <w:pPr>
        <w:pStyle w:val="Nadpis2"/>
        <w:pBdr>
          <w:top w:val="nil"/>
          <w:left w:val="nil"/>
          <w:bottom w:val="nil"/>
          <w:right w:val="nil"/>
          <w:between w:val="nil"/>
        </w:pBdr>
        <w:shd w:val="clear" w:color="auto" w:fill="FFFFFF"/>
        <w:ind w:left="2160"/>
      </w:pPr>
    </w:p>
    <w:p w14:paraId="000000FB" w14:textId="77777777" w:rsidR="00184C3E" w:rsidRDefault="007D1EB4">
      <w:pPr>
        <w:numPr>
          <w:ilvl w:val="0"/>
          <w:numId w:val="8"/>
        </w:numPr>
        <w:spacing w:before="120" w:after="120"/>
        <w:ind w:left="538" w:hanging="357"/>
        <w:rPr>
          <w:sz w:val="22"/>
          <w:szCs w:val="22"/>
        </w:rPr>
      </w:pPr>
      <w:r>
        <w:rPr>
          <w:rFonts w:ascii="Times New Roman" w:eastAsia="Times New Roman" w:hAnsi="Times New Roman" w:cs="Times New Roman"/>
          <w:b/>
          <w:sz w:val="22"/>
          <w:szCs w:val="22"/>
        </w:rPr>
        <w:t>Individuální</w:t>
      </w:r>
      <w:r>
        <w:rPr>
          <w:sz w:val="22"/>
          <w:szCs w:val="22"/>
        </w:rPr>
        <w:t xml:space="preserve"> </w:t>
      </w:r>
      <w:r>
        <w:rPr>
          <w:rFonts w:ascii="Times New Roman" w:eastAsia="Times New Roman" w:hAnsi="Times New Roman" w:cs="Times New Roman"/>
          <w:b/>
          <w:sz w:val="22"/>
          <w:szCs w:val="22"/>
        </w:rPr>
        <w:t>úpravy</w:t>
      </w:r>
    </w:p>
    <w:p w14:paraId="000000FC" w14:textId="77777777" w:rsidR="00184C3E" w:rsidRDefault="007D1EB4">
      <w:pPr>
        <w:pStyle w:val="Nadpis2"/>
        <w:numPr>
          <w:ilvl w:val="1"/>
          <w:numId w:val="1"/>
        </w:numPr>
        <w:pBdr>
          <w:top w:val="nil"/>
          <w:left w:val="nil"/>
          <w:bottom w:val="nil"/>
          <w:right w:val="nil"/>
          <w:between w:val="nil"/>
        </w:pBdr>
        <w:shd w:val="clear" w:color="auto" w:fill="FFFFFF"/>
        <w:ind w:left="850" w:hanging="400"/>
      </w:pPr>
      <w:bookmarkStart w:id="36" w:name="_heading=h.xy1dhzs128dm" w:colFirst="0" w:colLast="0"/>
      <w:bookmarkEnd w:id="36"/>
      <w:r>
        <w:t xml:space="preserve">Individuální úpravy jsou účtovány hodinovou sazbou ve výši 2 187,5 Kč/hodina práce vývojáře, případně podle předem dohodnuté paušální ceny za konkrétní Individuální úpravu. </w:t>
      </w:r>
    </w:p>
    <w:p w14:paraId="000000FD" w14:textId="77777777" w:rsidR="00184C3E" w:rsidRDefault="007D1EB4">
      <w:pPr>
        <w:numPr>
          <w:ilvl w:val="0"/>
          <w:numId w:val="8"/>
        </w:numPr>
        <w:spacing w:before="120" w:after="120"/>
        <w:ind w:left="538" w:hanging="357"/>
        <w:rPr>
          <w:sz w:val="22"/>
          <w:szCs w:val="22"/>
        </w:rPr>
      </w:pPr>
      <w:r>
        <w:rPr>
          <w:rFonts w:ascii="Times New Roman" w:eastAsia="Times New Roman" w:hAnsi="Times New Roman" w:cs="Times New Roman"/>
          <w:b/>
          <w:sz w:val="22"/>
          <w:szCs w:val="22"/>
        </w:rPr>
        <w:t>Individuální</w:t>
      </w:r>
      <w:r>
        <w:rPr>
          <w:sz w:val="22"/>
          <w:szCs w:val="22"/>
        </w:rPr>
        <w:t xml:space="preserve"> </w:t>
      </w:r>
      <w:r>
        <w:rPr>
          <w:rFonts w:ascii="Times New Roman" w:eastAsia="Times New Roman" w:hAnsi="Times New Roman" w:cs="Times New Roman"/>
          <w:b/>
          <w:sz w:val="22"/>
          <w:szCs w:val="22"/>
        </w:rPr>
        <w:t>podpora</w:t>
      </w:r>
    </w:p>
    <w:p w14:paraId="000000FE" w14:textId="77777777" w:rsidR="00184C3E" w:rsidRDefault="007D1EB4">
      <w:pPr>
        <w:pStyle w:val="Nadpis2"/>
        <w:numPr>
          <w:ilvl w:val="1"/>
          <w:numId w:val="1"/>
        </w:numPr>
        <w:pBdr>
          <w:top w:val="nil"/>
          <w:left w:val="nil"/>
          <w:bottom w:val="nil"/>
          <w:right w:val="nil"/>
          <w:between w:val="nil"/>
        </w:pBdr>
        <w:shd w:val="clear" w:color="auto" w:fill="FFFFFF"/>
        <w:ind w:left="850" w:hanging="400"/>
        <w:rPr>
          <w:sz w:val="32"/>
          <w:szCs w:val="32"/>
        </w:rPr>
      </w:pPr>
      <w:bookmarkStart w:id="37" w:name="_heading=h.sby8kn53xse6" w:colFirst="0" w:colLast="0"/>
      <w:bookmarkEnd w:id="37"/>
      <w:r>
        <w:t>Individuální podpora</w:t>
      </w:r>
      <w:r>
        <w:rPr>
          <w:b/>
        </w:rPr>
        <w:t xml:space="preserve"> </w:t>
      </w:r>
      <w:r>
        <w:t>je účtována jako Individuální úprava.</w:t>
      </w:r>
    </w:p>
    <w:p w14:paraId="000000FF" w14:textId="77777777" w:rsidR="00184C3E" w:rsidRDefault="007D1EB4">
      <w:pPr>
        <w:rPr>
          <w:rFonts w:ascii="Times New Roman" w:eastAsia="Times New Roman" w:hAnsi="Times New Roman" w:cs="Times New Roman"/>
          <w:sz w:val="22"/>
          <w:szCs w:val="22"/>
        </w:rPr>
      </w:pPr>
      <w:bookmarkStart w:id="38" w:name="_heading=h.3rdcrjn" w:colFirst="0" w:colLast="0"/>
      <w:bookmarkEnd w:id="38"/>
      <w:r>
        <w:br w:type="page"/>
      </w:r>
      <w:r>
        <w:rPr>
          <w:rFonts w:ascii="Times New Roman" w:eastAsia="Times New Roman" w:hAnsi="Times New Roman" w:cs="Times New Roman"/>
          <w:b/>
          <w:sz w:val="28"/>
          <w:szCs w:val="28"/>
        </w:rPr>
        <w:lastRenderedPageBreak/>
        <w:t xml:space="preserve">Příloha č. 2 – Technická specifikace slp.blue </w:t>
      </w:r>
    </w:p>
    <w:p w14:paraId="00000100" w14:textId="77777777" w:rsidR="00184C3E" w:rsidRDefault="007D1EB4">
      <w:pPr>
        <w:rPr>
          <w:rFonts w:ascii="Times New Roman" w:eastAsia="Times New Roman" w:hAnsi="Times New Roman" w:cs="Times New Roman"/>
          <w:sz w:val="22"/>
          <w:szCs w:val="22"/>
        </w:rPr>
      </w:pPr>
      <w:bookmarkStart w:id="39" w:name="_heading=h.8yjmr0jmdqfm" w:colFirst="0" w:colLast="0"/>
      <w:bookmarkEnd w:id="39"/>
      <w:r>
        <w:rPr>
          <w:rFonts w:ascii="Times New Roman" w:eastAsia="Times New Roman" w:hAnsi="Times New Roman" w:cs="Times New Roman"/>
          <w:sz w:val="22"/>
          <w:szCs w:val="22"/>
        </w:rPr>
        <w:t xml:space="preserve">Systém na řízení dokumentace s ohledem na dodržování požadavků na systémy řízení kvality </w:t>
      </w:r>
      <w:r>
        <w:rPr>
          <w:rFonts w:ascii="Times New Roman" w:eastAsia="Times New Roman" w:hAnsi="Times New Roman" w:cs="Times New Roman"/>
          <w:sz w:val="22"/>
          <w:szCs w:val="22"/>
        </w:rPr>
        <w:br/>
        <w:t>a zefektivnění práce s dokumentací.</w:t>
      </w:r>
    </w:p>
    <w:p w14:paraId="00000101" w14:textId="77777777" w:rsidR="00184C3E" w:rsidRDefault="00184C3E">
      <w:pPr>
        <w:rPr>
          <w:rFonts w:ascii="Times New Roman" w:eastAsia="Times New Roman" w:hAnsi="Times New Roman" w:cs="Times New Roman"/>
          <w:sz w:val="22"/>
          <w:szCs w:val="22"/>
        </w:rPr>
      </w:pPr>
    </w:p>
    <w:p w14:paraId="00000102" w14:textId="77777777" w:rsidR="00184C3E" w:rsidRDefault="007D1EB4">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Technické parametry a funkcionality</w:t>
      </w:r>
    </w:p>
    <w:p w14:paraId="00000103" w14:textId="77777777" w:rsidR="00184C3E" w:rsidRDefault="007D1EB4">
      <w:pPr>
        <w:numPr>
          <w:ilvl w:val="0"/>
          <w:numId w:val="6"/>
        </w:numPr>
        <w:rPr>
          <w:rFonts w:ascii="Times New Roman" w:eastAsia="Times New Roman" w:hAnsi="Times New Roman" w:cs="Times New Roman"/>
          <w:sz w:val="22"/>
          <w:szCs w:val="22"/>
        </w:rPr>
      </w:pPr>
      <w:bookmarkStart w:id="40" w:name="_heading=h.7h1pjfhmq9lj" w:colFirst="0" w:colLast="0"/>
      <w:bookmarkEnd w:id="40"/>
      <w:r>
        <w:rPr>
          <w:rFonts w:ascii="Times New Roman" w:eastAsia="Times New Roman" w:hAnsi="Times New Roman" w:cs="Times New Roman"/>
          <w:sz w:val="22"/>
          <w:szCs w:val="22"/>
        </w:rPr>
        <w:t>Software pro řízení dokumentace – dle normy ČSN EN ISO 15189, v platném znění</w:t>
      </w:r>
    </w:p>
    <w:p w14:paraId="00000104" w14:textId="77777777" w:rsidR="00184C3E" w:rsidRDefault="007D1EB4">
      <w:pPr>
        <w:numPr>
          <w:ilvl w:val="0"/>
          <w:numId w:val="6"/>
        </w:numPr>
        <w:rPr>
          <w:rFonts w:ascii="Times New Roman" w:eastAsia="Times New Roman" w:hAnsi="Times New Roman" w:cs="Times New Roman"/>
          <w:sz w:val="22"/>
          <w:szCs w:val="22"/>
        </w:rPr>
      </w:pPr>
      <w:bookmarkStart w:id="41" w:name="_heading=h.aa0jw3bsww4f" w:colFirst="0" w:colLast="0"/>
      <w:bookmarkEnd w:id="41"/>
      <w:r>
        <w:rPr>
          <w:rFonts w:ascii="Times New Roman" w:eastAsia="Times New Roman" w:hAnsi="Times New Roman" w:cs="Times New Roman"/>
          <w:sz w:val="22"/>
          <w:szCs w:val="22"/>
        </w:rPr>
        <w:t>Elektronické řízení dokumentace</w:t>
      </w:r>
    </w:p>
    <w:p w14:paraId="00000105" w14:textId="77777777" w:rsidR="00184C3E" w:rsidRDefault="007D1EB4">
      <w:pPr>
        <w:numPr>
          <w:ilvl w:val="1"/>
          <w:numId w:val="6"/>
        </w:numPr>
      </w:pPr>
      <w:bookmarkStart w:id="42" w:name="_heading=h.z976v45kvtfj" w:colFirst="0" w:colLast="0"/>
      <w:bookmarkEnd w:id="42"/>
      <w:r>
        <w:rPr>
          <w:rFonts w:ascii="Times New Roman" w:eastAsia="Times New Roman" w:hAnsi="Times New Roman" w:cs="Times New Roman"/>
          <w:sz w:val="22"/>
          <w:szCs w:val="22"/>
        </w:rPr>
        <w:t xml:space="preserve">Hromadné i jednotlivé zasílání dokumentů/skupiny dokumentů vybranému uživateli/skupinám uživatelů, vše uživatelsky definované </w:t>
      </w:r>
    </w:p>
    <w:p w14:paraId="00000106" w14:textId="77777777" w:rsidR="00184C3E" w:rsidRDefault="007D1EB4">
      <w:pPr>
        <w:numPr>
          <w:ilvl w:val="1"/>
          <w:numId w:val="6"/>
        </w:numPr>
        <w:rPr>
          <w:rFonts w:ascii="Times New Roman" w:eastAsia="Times New Roman" w:hAnsi="Times New Roman" w:cs="Times New Roman"/>
          <w:sz w:val="22"/>
          <w:szCs w:val="22"/>
        </w:rPr>
      </w:pPr>
      <w:bookmarkStart w:id="43" w:name="_heading=h.jos8r6xm14pq" w:colFirst="0" w:colLast="0"/>
      <w:bookmarkEnd w:id="43"/>
      <w:r>
        <w:rPr>
          <w:rFonts w:ascii="Times New Roman" w:eastAsia="Times New Roman" w:hAnsi="Times New Roman" w:cs="Times New Roman"/>
          <w:sz w:val="22"/>
          <w:szCs w:val="22"/>
        </w:rPr>
        <w:t>Integrovaný textový editor</w:t>
      </w:r>
    </w:p>
    <w:p w14:paraId="00000107" w14:textId="77777777" w:rsidR="00184C3E" w:rsidRDefault="007D1EB4">
      <w:pPr>
        <w:numPr>
          <w:ilvl w:val="2"/>
          <w:numId w:val="6"/>
        </w:numPr>
        <w:rPr>
          <w:rFonts w:ascii="Times New Roman" w:eastAsia="Times New Roman" w:hAnsi="Times New Roman" w:cs="Times New Roman"/>
          <w:sz w:val="22"/>
          <w:szCs w:val="22"/>
        </w:rPr>
      </w:pPr>
      <w:bookmarkStart w:id="44" w:name="_heading=h.5el6cyasfq7y" w:colFirst="0" w:colLast="0"/>
      <w:bookmarkEnd w:id="44"/>
      <w:r>
        <w:rPr>
          <w:rFonts w:ascii="Times New Roman" w:eastAsia="Times New Roman" w:hAnsi="Times New Roman" w:cs="Times New Roman"/>
          <w:sz w:val="22"/>
          <w:szCs w:val="22"/>
        </w:rPr>
        <w:t>Automatické ukládání a evidence změn v dokumentu</w:t>
      </w:r>
    </w:p>
    <w:p w14:paraId="00000108" w14:textId="77777777" w:rsidR="00184C3E" w:rsidRDefault="007D1EB4">
      <w:pPr>
        <w:numPr>
          <w:ilvl w:val="2"/>
          <w:numId w:val="6"/>
        </w:numPr>
        <w:rPr>
          <w:rFonts w:ascii="Times New Roman" w:eastAsia="Times New Roman" w:hAnsi="Times New Roman" w:cs="Times New Roman"/>
          <w:sz w:val="22"/>
          <w:szCs w:val="22"/>
        </w:rPr>
      </w:pPr>
      <w:bookmarkStart w:id="45" w:name="_heading=h.57h20520psf" w:colFirst="0" w:colLast="0"/>
      <w:bookmarkEnd w:id="45"/>
      <w:r>
        <w:rPr>
          <w:rFonts w:ascii="Times New Roman" w:eastAsia="Times New Roman" w:hAnsi="Times New Roman" w:cs="Times New Roman"/>
          <w:sz w:val="22"/>
          <w:szCs w:val="22"/>
        </w:rPr>
        <w:t>Víceúrovňová tvorba a schvalování dokumentů</w:t>
      </w:r>
    </w:p>
    <w:p w14:paraId="00000109" w14:textId="77777777" w:rsidR="00184C3E" w:rsidRDefault="007D1EB4">
      <w:pPr>
        <w:numPr>
          <w:ilvl w:val="2"/>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Možnost prohlížet historické změny dokumentu</w:t>
      </w:r>
    </w:p>
    <w:p w14:paraId="0000010A" w14:textId="77777777" w:rsidR="00184C3E" w:rsidRDefault="007D1EB4">
      <w:pPr>
        <w:numPr>
          <w:ilvl w:val="2"/>
          <w:numId w:val="6"/>
        </w:numPr>
        <w:rPr>
          <w:rFonts w:ascii="Times New Roman" w:eastAsia="Times New Roman" w:hAnsi="Times New Roman" w:cs="Times New Roman"/>
          <w:sz w:val="22"/>
          <w:szCs w:val="22"/>
        </w:rPr>
      </w:pPr>
      <w:bookmarkStart w:id="46" w:name="_heading=h.l839g6z605mq" w:colFirst="0" w:colLast="0"/>
      <w:bookmarkEnd w:id="46"/>
      <w:r>
        <w:rPr>
          <w:rFonts w:ascii="Times New Roman" w:eastAsia="Times New Roman" w:hAnsi="Times New Roman" w:cs="Times New Roman"/>
          <w:sz w:val="22"/>
          <w:szCs w:val="22"/>
        </w:rPr>
        <w:t>Možnost zobrazení s i bez zvýraznění změn</w:t>
      </w:r>
    </w:p>
    <w:p w14:paraId="0000010B" w14:textId="77777777" w:rsidR="00184C3E" w:rsidRDefault="007D1EB4">
      <w:pPr>
        <w:numPr>
          <w:ilvl w:val="2"/>
          <w:numId w:val="6"/>
        </w:numPr>
        <w:rPr>
          <w:rFonts w:ascii="Times New Roman" w:eastAsia="Times New Roman" w:hAnsi="Times New Roman" w:cs="Times New Roman"/>
          <w:sz w:val="22"/>
          <w:szCs w:val="22"/>
        </w:rPr>
      </w:pPr>
      <w:bookmarkStart w:id="47" w:name="_heading=h.empesntlxndy" w:colFirst="0" w:colLast="0"/>
      <w:bookmarkEnd w:id="47"/>
      <w:r>
        <w:rPr>
          <w:rFonts w:ascii="Times New Roman" w:eastAsia="Times New Roman" w:hAnsi="Times New Roman" w:cs="Times New Roman"/>
          <w:sz w:val="22"/>
          <w:szCs w:val="22"/>
        </w:rPr>
        <w:t xml:space="preserve">Elektronická evidence výtisků </w:t>
      </w:r>
    </w:p>
    <w:p w14:paraId="0000010C" w14:textId="77777777" w:rsidR="00184C3E" w:rsidRDefault="007D1EB4">
      <w:pPr>
        <w:numPr>
          <w:ilvl w:val="2"/>
          <w:numId w:val="6"/>
        </w:numPr>
        <w:rPr>
          <w:rFonts w:ascii="Times New Roman" w:eastAsia="Times New Roman" w:hAnsi="Times New Roman" w:cs="Times New Roman"/>
          <w:sz w:val="22"/>
          <w:szCs w:val="22"/>
        </w:rPr>
      </w:pPr>
      <w:bookmarkStart w:id="48" w:name="_heading=h.b355g8pi5v4a" w:colFirst="0" w:colLast="0"/>
      <w:bookmarkEnd w:id="48"/>
      <w:r>
        <w:rPr>
          <w:rFonts w:ascii="Times New Roman" w:eastAsia="Times New Roman" w:hAnsi="Times New Roman" w:cs="Times New Roman"/>
          <w:sz w:val="22"/>
          <w:szCs w:val="22"/>
        </w:rPr>
        <w:t>Možnost kolaborace více autorů dokumentů najednou</w:t>
      </w:r>
    </w:p>
    <w:p w14:paraId="0000010D" w14:textId="77777777" w:rsidR="00184C3E" w:rsidRDefault="007D1EB4">
      <w:pPr>
        <w:numPr>
          <w:ilvl w:val="2"/>
          <w:numId w:val="6"/>
        </w:numPr>
        <w:rPr>
          <w:rFonts w:ascii="Times New Roman" w:eastAsia="Times New Roman" w:hAnsi="Times New Roman" w:cs="Times New Roman"/>
          <w:sz w:val="22"/>
          <w:szCs w:val="22"/>
        </w:rPr>
      </w:pPr>
      <w:bookmarkStart w:id="49" w:name="_heading=h.yru889u6jxj0" w:colFirst="0" w:colLast="0"/>
      <w:bookmarkEnd w:id="49"/>
      <w:r>
        <w:rPr>
          <w:rFonts w:ascii="Times New Roman" w:eastAsia="Times New Roman" w:hAnsi="Times New Roman" w:cs="Times New Roman"/>
          <w:sz w:val="22"/>
          <w:szCs w:val="22"/>
        </w:rPr>
        <w:t>Možnost pevně dané osnovy dokumentu</w:t>
      </w:r>
    </w:p>
    <w:p w14:paraId="0000010E" w14:textId="77777777" w:rsidR="00184C3E" w:rsidRDefault="007D1EB4">
      <w:pPr>
        <w:numPr>
          <w:ilvl w:val="2"/>
          <w:numId w:val="6"/>
        </w:numPr>
        <w:rPr>
          <w:rFonts w:ascii="Times New Roman" w:eastAsia="Times New Roman" w:hAnsi="Times New Roman" w:cs="Times New Roman"/>
          <w:sz w:val="22"/>
          <w:szCs w:val="22"/>
        </w:rPr>
      </w:pPr>
      <w:bookmarkStart w:id="50" w:name="_heading=h.klm3z048jkqj" w:colFirst="0" w:colLast="0"/>
      <w:bookmarkEnd w:id="50"/>
      <w:r>
        <w:rPr>
          <w:rFonts w:ascii="Times New Roman" w:eastAsia="Times New Roman" w:hAnsi="Times New Roman" w:cs="Times New Roman"/>
          <w:sz w:val="22"/>
          <w:szCs w:val="22"/>
        </w:rPr>
        <w:t>Možnost vložení odkazu na laboratorní položky, další dokumenty i externí stránky</w:t>
      </w:r>
    </w:p>
    <w:p w14:paraId="0000010F" w14:textId="77777777" w:rsidR="00184C3E" w:rsidRDefault="007D1EB4">
      <w:pPr>
        <w:numPr>
          <w:ilvl w:val="1"/>
          <w:numId w:val="6"/>
        </w:numPr>
        <w:rPr>
          <w:rFonts w:ascii="Times New Roman" w:eastAsia="Times New Roman" w:hAnsi="Times New Roman" w:cs="Times New Roman"/>
          <w:sz w:val="22"/>
          <w:szCs w:val="22"/>
        </w:rPr>
      </w:pPr>
      <w:bookmarkStart w:id="51" w:name="_heading=h.rvcn2iwdn3hc" w:colFirst="0" w:colLast="0"/>
      <w:bookmarkEnd w:id="51"/>
      <w:r>
        <w:rPr>
          <w:rFonts w:ascii="Times New Roman" w:eastAsia="Times New Roman" w:hAnsi="Times New Roman" w:cs="Times New Roman"/>
          <w:sz w:val="22"/>
          <w:szCs w:val="22"/>
        </w:rPr>
        <w:t>Možnost vzorových dokumentů</w:t>
      </w:r>
    </w:p>
    <w:p w14:paraId="00000110" w14:textId="77777777" w:rsidR="00184C3E" w:rsidRDefault="007D1EB4">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Možnost řízení dokumentů jak ve formátu interního textového editoru, tak i v libovolném jiném formátu</w:t>
      </w:r>
    </w:p>
    <w:p w14:paraId="00000111" w14:textId="77777777" w:rsidR="00184C3E" w:rsidRDefault="007D1EB4">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Možnost detailně nastavit práva na editování. schvalování, prohlížení jednotlivých dokumentů</w:t>
      </w:r>
    </w:p>
    <w:p w14:paraId="00000112" w14:textId="77777777" w:rsidR="00184C3E" w:rsidRDefault="007D1EB4">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Možnost dokumenty připomínkovat, posílat k seznamování a vše mít přehledně </w:t>
      </w:r>
      <w:r>
        <w:rPr>
          <w:rFonts w:ascii="Times New Roman" w:eastAsia="Times New Roman" w:hAnsi="Times New Roman" w:cs="Times New Roman"/>
          <w:sz w:val="22"/>
          <w:szCs w:val="22"/>
        </w:rPr>
        <w:br/>
        <w:t>k dispozici v přehledech</w:t>
      </w:r>
    </w:p>
    <w:p w14:paraId="00000113" w14:textId="77777777" w:rsidR="00184C3E" w:rsidRDefault="007D1EB4">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Možnost dokumenty komentovat a označovat, koho se to týká v komentářích</w:t>
      </w:r>
    </w:p>
    <w:p w14:paraId="00000114" w14:textId="77777777" w:rsidR="00184C3E" w:rsidRDefault="007D1EB4">
      <w:pPr>
        <w:numPr>
          <w:ilvl w:val="0"/>
          <w:numId w:val="6"/>
        </w:numPr>
        <w:rPr>
          <w:rFonts w:ascii="Times New Roman" w:eastAsia="Times New Roman" w:hAnsi="Times New Roman" w:cs="Times New Roman"/>
          <w:sz w:val="22"/>
          <w:szCs w:val="22"/>
        </w:rPr>
      </w:pPr>
      <w:bookmarkStart w:id="52" w:name="_heading=h.ltze6vs605sn" w:colFirst="0" w:colLast="0"/>
      <w:bookmarkEnd w:id="52"/>
      <w:r>
        <w:rPr>
          <w:rFonts w:ascii="Times New Roman" w:eastAsia="Times New Roman" w:hAnsi="Times New Roman" w:cs="Times New Roman"/>
          <w:sz w:val="22"/>
          <w:szCs w:val="22"/>
        </w:rPr>
        <w:t xml:space="preserve">Provázání s národními číselníky laboratorních položek </w:t>
      </w:r>
    </w:p>
    <w:p w14:paraId="00000115" w14:textId="77777777" w:rsidR="00184C3E" w:rsidRDefault="007D1EB4">
      <w:pPr>
        <w:numPr>
          <w:ilvl w:val="1"/>
          <w:numId w:val="6"/>
        </w:numPr>
        <w:rPr>
          <w:rFonts w:ascii="Times New Roman" w:eastAsia="Times New Roman" w:hAnsi="Times New Roman" w:cs="Times New Roman"/>
          <w:sz w:val="22"/>
          <w:szCs w:val="22"/>
        </w:rPr>
      </w:pPr>
      <w:bookmarkStart w:id="53" w:name="_heading=h.fmb28dew0iew" w:colFirst="0" w:colLast="0"/>
      <w:bookmarkEnd w:id="53"/>
      <w:r>
        <w:rPr>
          <w:rFonts w:ascii="Times New Roman" w:eastAsia="Times New Roman" w:hAnsi="Times New Roman" w:cs="Times New Roman"/>
          <w:sz w:val="22"/>
          <w:szCs w:val="22"/>
        </w:rPr>
        <w:t>Správa lokálních číselníků laboratorních položek</w:t>
      </w:r>
    </w:p>
    <w:p w14:paraId="00000116" w14:textId="77777777" w:rsidR="00184C3E" w:rsidRDefault="007D1EB4">
      <w:pPr>
        <w:numPr>
          <w:ilvl w:val="0"/>
          <w:numId w:val="6"/>
        </w:numPr>
        <w:rPr>
          <w:rFonts w:ascii="Times New Roman" w:eastAsia="Times New Roman" w:hAnsi="Times New Roman" w:cs="Times New Roman"/>
          <w:sz w:val="22"/>
          <w:szCs w:val="22"/>
        </w:rPr>
      </w:pPr>
      <w:bookmarkStart w:id="54" w:name="_heading=h.yj1g3sdavuhw" w:colFirst="0" w:colLast="0"/>
      <w:bookmarkEnd w:id="54"/>
      <w:r>
        <w:rPr>
          <w:rFonts w:ascii="Times New Roman" w:eastAsia="Times New Roman" w:hAnsi="Times New Roman" w:cs="Times New Roman"/>
          <w:sz w:val="22"/>
          <w:szCs w:val="22"/>
        </w:rPr>
        <w:t>Automatizované prolinkování</w:t>
      </w:r>
    </w:p>
    <w:p w14:paraId="00000117" w14:textId="77777777" w:rsidR="00184C3E" w:rsidRDefault="007D1EB4">
      <w:pPr>
        <w:numPr>
          <w:ilvl w:val="1"/>
          <w:numId w:val="6"/>
        </w:numPr>
        <w:rPr>
          <w:rFonts w:ascii="Times New Roman" w:eastAsia="Times New Roman" w:hAnsi="Times New Roman" w:cs="Times New Roman"/>
          <w:sz w:val="22"/>
          <w:szCs w:val="22"/>
        </w:rPr>
      </w:pPr>
      <w:bookmarkStart w:id="55" w:name="_heading=h.1zlymaexjqhe" w:colFirst="0" w:colLast="0"/>
      <w:bookmarkEnd w:id="55"/>
      <w:r>
        <w:rPr>
          <w:rFonts w:ascii="Times New Roman" w:eastAsia="Times New Roman" w:hAnsi="Times New Roman" w:cs="Times New Roman"/>
          <w:sz w:val="22"/>
          <w:szCs w:val="22"/>
        </w:rPr>
        <w:t>Automatická kontrola platnosti všech odkazů</w:t>
      </w:r>
    </w:p>
    <w:p w14:paraId="00000118" w14:textId="77777777" w:rsidR="00184C3E" w:rsidRDefault="007D1EB4">
      <w:pPr>
        <w:numPr>
          <w:ilvl w:val="0"/>
          <w:numId w:val="6"/>
        </w:numPr>
        <w:rPr>
          <w:rFonts w:ascii="Times New Roman" w:eastAsia="Times New Roman" w:hAnsi="Times New Roman" w:cs="Times New Roman"/>
          <w:sz w:val="22"/>
          <w:szCs w:val="22"/>
        </w:rPr>
      </w:pPr>
      <w:bookmarkStart w:id="56" w:name="_heading=h.ee1fzdsvqxpw" w:colFirst="0" w:colLast="0"/>
      <w:bookmarkEnd w:id="56"/>
      <w:r>
        <w:rPr>
          <w:rFonts w:ascii="Times New Roman" w:eastAsia="Times New Roman" w:hAnsi="Times New Roman" w:cs="Times New Roman"/>
          <w:sz w:val="22"/>
          <w:szCs w:val="22"/>
        </w:rPr>
        <w:t>Tvorba laboratorní příručky ve formě interaktivní webové stránky</w:t>
      </w:r>
    </w:p>
    <w:p w14:paraId="00000119" w14:textId="77777777" w:rsidR="00184C3E" w:rsidRDefault="007D1EB4">
      <w:pPr>
        <w:numPr>
          <w:ilvl w:val="1"/>
          <w:numId w:val="6"/>
        </w:numPr>
        <w:rPr>
          <w:rFonts w:ascii="Times New Roman" w:eastAsia="Times New Roman" w:hAnsi="Times New Roman" w:cs="Times New Roman"/>
          <w:sz w:val="22"/>
          <w:szCs w:val="22"/>
        </w:rPr>
      </w:pPr>
      <w:bookmarkStart w:id="57" w:name="_heading=h.p8h73dr6uzin" w:colFirst="0" w:colLast="0"/>
      <w:bookmarkEnd w:id="57"/>
      <w:r>
        <w:rPr>
          <w:rFonts w:ascii="Times New Roman" w:eastAsia="Times New Roman" w:hAnsi="Times New Roman" w:cs="Times New Roman"/>
          <w:sz w:val="22"/>
          <w:szCs w:val="22"/>
        </w:rPr>
        <w:t>Automatická propagace změn do laboratorní příručky</w:t>
      </w:r>
    </w:p>
    <w:p w14:paraId="0000011A" w14:textId="77777777" w:rsidR="00184C3E" w:rsidRDefault="007D1EB4">
      <w:pPr>
        <w:numPr>
          <w:ilvl w:val="2"/>
          <w:numId w:val="6"/>
        </w:numPr>
        <w:rPr>
          <w:rFonts w:ascii="Times New Roman" w:eastAsia="Times New Roman" w:hAnsi="Times New Roman" w:cs="Times New Roman"/>
          <w:sz w:val="22"/>
          <w:szCs w:val="22"/>
        </w:rPr>
      </w:pPr>
      <w:bookmarkStart w:id="58" w:name="_heading=h.3421pbc9bp7" w:colFirst="0" w:colLast="0"/>
      <w:bookmarkEnd w:id="58"/>
      <w:r>
        <w:rPr>
          <w:rFonts w:ascii="Times New Roman" w:eastAsia="Times New Roman" w:hAnsi="Times New Roman" w:cs="Times New Roman"/>
          <w:sz w:val="22"/>
          <w:szCs w:val="22"/>
        </w:rPr>
        <w:t>možnost editace dokumentu přímo z laboratorní příručky</w:t>
      </w:r>
    </w:p>
    <w:p w14:paraId="0000011B" w14:textId="77777777" w:rsidR="00184C3E" w:rsidRDefault="007D1EB4">
      <w:pPr>
        <w:numPr>
          <w:ilvl w:val="1"/>
          <w:numId w:val="6"/>
        </w:numPr>
        <w:rPr>
          <w:rFonts w:ascii="Times New Roman" w:eastAsia="Times New Roman" w:hAnsi="Times New Roman" w:cs="Times New Roman"/>
          <w:sz w:val="22"/>
          <w:szCs w:val="22"/>
        </w:rPr>
      </w:pPr>
      <w:bookmarkStart w:id="59" w:name="_heading=h.2kwajsjd3cip" w:colFirst="0" w:colLast="0"/>
      <w:bookmarkEnd w:id="59"/>
      <w:r>
        <w:rPr>
          <w:rFonts w:ascii="Times New Roman" w:eastAsia="Times New Roman" w:hAnsi="Times New Roman" w:cs="Times New Roman"/>
          <w:sz w:val="22"/>
          <w:szCs w:val="22"/>
        </w:rPr>
        <w:t>Přehled metod s</w:t>
      </w:r>
    </w:p>
    <w:p w14:paraId="0000011C" w14:textId="77777777" w:rsidR="00184C3E" w:rsidRDefault="007D1EB4">
      <w:pPr>
        <w:numPr>
          <w:ilvl w:val="2"/>
          <w:numId w:val="6"/>
        </w:numPr>
        <w:rPr>
          <w:rFonts w:ascii="Times New Roman" w:eastAsia="Times New Roman" w:hAnsi="Times New Roman" w:cs="Times New Roman"/>
          <w:sz w:val="22"/>
          <w:szCs w:val="22"/>
        </w:rPr>
      </w:pPr>
      <w:bookmarkStart w:id="60" w:name="_heading=h.zgrkulbh9eq7" w:colFirst="0" w:colLast="0"/>
      <w:bookmarkEnd w:id="60"/>
      <w:r>
        <w:rPr>
          <w:rFonts w:ascii="Times New Roman" w:eastAsia="Times New Roman" w:hAnsi="Times New Roman" w:cs="Times New Roman"/>
          <w:sz w:val="22"/>
          <w:szCs w:val="22"/>
        </w:rPr>
        <w:t>editovatelnými parametry pro vyhledávání</w:t>
      </w:r>
    </w:p>
    <w:p w14:paraId="0000011D" w14:textId="77777777" w:rsidR="00184C3E" w:rsidRDefault="007D1EB4">
      <w:pPr>
        <w:numPr>
          <w:ilvl w:val="2"/>
          <w:numId w:val="6"/>
        </w:numPr>
        <w:rPr>
          <w:rFonts w:ascii="Times New Roman" w:eastAsia="Times New Roman" w:hAnsi="Times New Roman" w:cs="Times New Roman"/>
          <w:sz w:val="22"/>
          <w:szCs w:val="22"/>
        </w:rPr>
      </w:pPr>
      <w:bookmarkStart w:id="61" w:name="_heading=h.k51yqft7q8zc" w:colFirst="0" w:colLast="0"/>
      <w:bookmarkEnd w:id="61"/>
      <w:r>
        <w:rPr>
          <w:rFonts w:ascii="Times New Roman" w:eastAsia="Times New Roman" w:hAnsi="Times New Roman" w:cs="Times New Roman"/>
          <w:sz w:val="22"/>
          <w:szCs w:val="22"/>
        </w:rPr>
        <w:t>vyhledáváním pomocí synonym</w:t>
      </w:r>
    </w:p>
    <w:p w14:paraId="0000011E" w14:textId="77777777" w:rsidR="00184C3E" w:rsidRDefault="007D1EB4">
      <w:pPr>
        <w:numPr>
          <w:ilvl w:val="2"/>
          <w:numId w:val="6"/>
        </w:numPr>
        <w:rPr>
          <w:rFonts w:ascii="Times New Roman" w:eastAsia="Times New Roman" w:hAnsi="Times New Roman" w:cs="Times New Roman"/>
          <w:sz w:val="22"/>
          <w:szCs w:val="22"/>
        </w:rPr>
      </w:pPr>
      <w:bookmarkStart w:id="62" w:name="_heading=h.kuapz2wkab0n" w:colFirst="0" w:colLast="0"/>
      <w:bookmarkEnd w:id="62"/>
      <w:r>
        <w:rPr>
          <w:rFonts w:ascii="Times New Roman" w:eastAsia="Times New Roman" w:hAnsi="Times New Roman" w:cs="Times New Roman"/>
          <w:sz w:val="22"/>
          <w:szCs w:val="22"/>
        </w:rPr>
        <w:t>možností vstupu do editace metody přímo z laboratorní příručky</w:t>
      </w:r>
    </w:p>
    <w:p w14:paraId="0000011F" w14:textId="77777777" w:rsidR="00184C3E" w:rsidRDefault="007D1EB4">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Možnost tvorby libovolného množství laboratorních příruček</w:t>
      </w:r>
    </w:p>
    <w:p w14:paraId="00000120" w14:textId="77777777" w:rsidR="00184C3E" w:rsidRDefault="007D1EB4">
      <w:pPr>
        <w:numPr>
          <w:ilvl w:val="0"/>
          <w:numId w:val="6"/>
        </w:numPr>
        <w:rPr>
          <w:rFonts w:ascii="Times New Roman" w:eastAsia="Times New Roman" w:hAnsi="Times New Roman" w:cs="Times New Roman"/>
          <w:sz w:val="22"/>
          <w:szCs w:val="22"/>
        </w:rPr>
      </w:pPr>
      <w:bookmarkStart w:id="63" w:name="_heading=h.dcho3b9mv6li" w:colFirst="0" w:colLast="0"/>
      <w:bookmarkEnd w:id="63"/>
      <w:r>
        <w:rPr>
          <w:rFonts w:ascii="Times New Roman" w:eastAsia="Times New Roman" w:hAnsi="Times New Roman" w:cs="Times New Roman"/>
          <w:sz w:val="22"/>
          <w:szCs w:val="22"/>
        </w:rPr>
        <w:t xml:space="preserve">Agendy </w:t>
      </w:r>
    </w:p>
    <w:p w14:paraId="00000121" w14:textId="77777777" w:rsidR="00184C3E" w:rsidRDefault="007D1EB4">
      <w:pPr>
        <w:numPr>
          <w:ilvl w:val="1"/>
          <w:numId w:val="6"/>
        </w:numPr>
        <w:rPr>
          <w:rFonts w:ascii="Times New Roman" w:eastAsia="Times New Roman" w:hAnsi="Times New Roman" w:cs="Times New Roman"/>
          <w:sz w:val="22"/>
          <w:szCs w:val="22"/>
        </w:rPr>
      </w:pPr>
      <w:bookmarkStart w:id="64" w:name="_heading=h.tr60go28fqei" w:colFirst="0" w:colLast="0"/>
      <w:bookmarkEnd w:id="64"/>
      <w:r>
        <w:rPr>
          <w:rFonts w:ascii="Times New Roman" w:eastAsia="Times New Roman" w:hAnsi="Times New Roman" w:cs="Times New Roman"/>
          <w:sz w:val="22"/>
          <w:szCs w:val="22"/>
        </w:rPr>
        <w:t>Agenda přístrojové techniky</w:t>
      </w:r>
    </w:p>
    <w:p w14:paraId="00000122" w14:textId="77777777" w:rsidR="00184C3E" w:rsidRDefault="007D1EB4">
      <w:pPr>
        <w:numPr>
          <w:ilvl w:val="1"/>
          <w:numId w:val="6"/>
        </w:numPr>
        <w:rPr>
          <w:rFonts w:ascii="Times New Roman" w:eastAsia="Times New Roman" w:hAnsi="Times New Roman" w:cs="Times New Roman"/>
          <w:sz w:val="22"/>
          <w:szCs w:val="22"/>
        </w:rPr>
      </w:pPr>
      <w:bookmarkStart w:id="65" w:name="_heading=h.4qug27gzz89u" w:colFirst="0" w:colLast="0"/>
      <w:bookmarkEnd w:id="65"/>
      <w:r>
        <w:rPr>
          <w:rFonts w:ascii="Times New Roman" w:eastAsia="Times New Roman" w:hAnsi="Times New Roman" w:cs="Times New Roman"/>
          <w:sz w:val="22"/>
          <w:szCs w:val="22"/>
        </w:rPr>
        <w:t>Tvorba verifikačních protokolů dle aktuálních doporučení odborných společností</w:t>
      </w:r>
    </w:p>
    <w:p w14:paraId="00000123" w14:textId="77777777" w:rsidR="00184C3E" w:rsidRDefault="007D1EB4">
      <w:pPr>
        <w:numPr>
          <w:ilvl w:val="2"/>
          <w:numId w:val="6"/>
        </w:numPr>
        <w:jc w:val="left"/>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Nejistota měření, kritická diference (automatické vyhodnocení parametrů mezilehlé preciznosti, opakovatelnosti, bias, parametrů odvozených od biologických variabilit, vyhodnocení nejistoty – splnění/nesplnění požadavků)</w:t>
      </w:r>
    </w:p>
    <w:p w14:paraId="00000124" w14:textId="77777777" w:rsidR="00184C3E" w:rsidRDefault="007D1EB4">
      <w:pPr>
        <w:numPr>
          <w:ilvl w:val="1"/>
          <w:numId w:val="6"/>
        </w:numPr>
        <w:rPr>
          <w:rFonts w:ascii="Times New Roman" w:eastAsia="Times New Roman" w:hAnsi="Times New Roman" w:cs="Times New Roman"/>
          <w:sz w:val="22"/>
          <w:szCs w:val="22"/>
        </w:rPr>
      </w:pPr>
      <w:bookmarkStart w:id="66" w:name="_heading=h.e9z40lrsb9ku" w:colFirst="0" w:colLast="0"/>
      <w:bookmarkEnd w:id="66"/>
      <w:r>
        <w:rPr>
          <w:rFonts w:ascii="Times New Roman" w:eastAsia="Times New Roman" w:hAnsi="Times New Roman" w:cs="Times New Roman"/>
          <w:sz w:val="22"/>
          <w:szCs w:val="22"/>
        </w:rPr>
        <w:t>Agenda pracovníků laboratoře</w:t>
      </w:r>
    </w:p>
    <w:p w14:paraId="00000125" w14:textId="77777777" w:rsidR="00184C3E" w:rsidRDefault="007D1EB4">
      <w:pPr>
        <w:numPr>
          <w:ilvl w:val="1"/>
          <w:numId w:val="6"/>
        </w:numPr>
        <w:rPr>
          <w:rFonts w:ascii="Times New Roman" w:eastAsia="Times New Roman" w:hAnsi="Times New Roman" w:cs="Times New Roman"/>
          <w:sz w:val="22"/>
          <w:szCs w:val="22"/>
        </w:rPr>
      </w:pPr>
      <w:bookmarkStart w:id="67" w:name="_heading=h.czxtcoxsljt8" w:colFirst="0" w:colLast="0"/>
      <w:bookmarkEnd w:id="67"/>
      <w:r>
        <w:rPr>
          <w:rFonts w:ascii="Times New Roman" w:eastAsia="Times New Roman" w:hAnsi="Times New Roman" w:cs="Times New Roman"/>
          <w:sz w:val="22"/>
          <w:szCs w:val="22"/>
        </w:rPr>
        <w:t>Řízení interních auditů, včetně záznamů a provázání s neshodami</w:t>
      </w:r>
    </w:p>
    <w:p w14:paraId="00000126" w14:textId="77777777" w:rsidR="00184C3E" w:rsidRDefault="007D1EB4">
      <w:pPr>
        <w:numPr>
          <w:ilvl w:val="1"/>
          <w:numId w:val="6"/>
        </w:numPr>
        <w:rPr>
          <w:rFonts w:ascii="Times New Roman" w:eastAsia="Times New Roman" w:hAnsi="Times New Roman" w:cs="Times New Roman"/>
          <w:sz w:val="22"/>
          <w:szCs w:val="22"/>
        </w:rPr>
      </w:pPr>
      <w:bookmarkStart w:id="68" w:name="_heading=h.9v4dky4xe8ot" w:colFirst="0" w:colLast="0"/>
      <w:bookmarkEnd w:id="68"/>
      <w:r>
        <w:rPr>
          <w:rFonts w:ascii="Times New Roman" w:eastAsia="Times New Roman" w:hAnsi="Times New Roman" w:cs="Times New Roman"/>
          <w:sz w:val="22"/>
          <w:szCs w:val="22"/>
        </w:rPr>
        <w:t>Řízení neshod a preventivních opatření / příležitostí ke zlepšení</w:t>
      </w:r>
    </w:p>
    <w:p w14:paraId="00000127" w14:textId="77777777" w:rsidR="00184C3E" w:rsidRDefault="007D1EB4">
      <w:pPr>
        <w:numPr>
          <w:ilvl w:val="1"/>
          <w:numId w:val="6"/>
        </w:numPr>
        <w:rPr>
          <w:rFonts w:ascii="Times New Roman" w:eastAsia="Times New Roman" w:hAnsi="Times New Roman" w:cs="Times New Roman"/>
          <w:sz w:val="22"/>
          <w:szCs w:val="22"/>
        </w:rPr>
      </w:pPr>
      <w:bookmarkStart w:id="69" w:name="_heading=h.v10ew6w3roaa" w:colFirst="0" w:colLast="0"/>
      <w:bookmarkEnd w:id="69"/>
      <w:r>
        <w:rPr>
          <w:rFonts w:ascii="Times New Roman" w:eastAsia="Times New Roman" w:hAnsi="Times New Roman" w:cs="Times New Roman"/>
          <w:sz w:val="22"/>
          <w:szCs w:val="22"/>
        </w:rPr>
        <w:t>Management rizik včetně analýzy FMEA</w:t>
      </w:r>
    </w:p>
    <w:p w14:paraId="00000128" w14:textId="77777777" w:rsidR="00184C3E" w:rsidRDefault="007D1EB4">
      <w:pPr>
        <w:numPr>
          <w:ilvl w:val="1"/>
          <w:numId w:val="6"/>
        </w:numPr>
        <w:rPr>
          <w:rFonts w:ascii="Times New Roman" w:eastAsia="Times New Roman" w:hAnsi="Times New Roman" w:cs="Times New Roman"/>
          <w:sz w:val="22"/>
          <w:szCs w:val="22"/>
        </w:rPr>
      </w:pPr>
      <w:bookmarkStart w:id="70" w:name="_heading=h.l54qsbf7m6kh" w:colFirst="0" w:colLast="0"/>
      <w:bookmarkEnd w:id="70"/>
      <w:r>
        <w:rPr>
          <w:rFonts w:ascii="Times New Roman" w:eastAsia="Times New Roman" w:hAnsi="Times New Roman" w:cs="Times New Roman"/>
          <w:sz w:val="22"/>
          <w:szCs w:val="22"/>
        </w:rPr>
        <w:t>Správa zavedených opatření</w:t>
      </w:r>
    </w:p>
    <w:p w14:paraId="00000129" w14:textId="77777777" w:rsidR="00184C3E" w:rsidRDefault="007D1EB4">
      <w:pPr>
        <w:numPr>
          <w:ilvl w:val="1"/>
          <w:numId w:val="6"/>
        </w:numPr>
        <w:rPr>
          <w:rFonts w:ascii="Times New Roman" w:eastAsia="Times New Roman" w:hAnsi="Times New Roman" w:cs="Times New Roman"/>
          <w:sz w:val="22"/>
          <w:szCs w:val="22"/>
        </w:rPr>
      </w:pPr>
      <w:bookmarkStart w:id="71" w:name="_heading=h.2kk9a9nejmpj" w:colFirst="0" w:colLast="0"/>
      <w:bookmarkEnd w:id="71"/>
      <w:r>
        <w:rPr>
          <w:rFonts w:ascii="Times New Roman" w:eastAsia="Times New Roman" w:hAnsi="Times New Roman" w:cs="Times New Roman"/>
          <w:sz w:val="22"/>
          <w:szCs w:val="22"/>
        </w:rPr>
        <w:t>Řízení EHK, včetně plánů a záznamů z výsledků</w:t>
      </w:r>
    </w:p>
    <w:p w14:paraId="0000012A" w14:textId="77777777" w:rsidR="00184C3E" w:rsidRDefault="007D1EB4">
      <w:pPr>
        <w:numPr>
          <w:ilvl w:val="1"/>
          <w:numId w:val="6"/>
        </w:numPr>
        <w:rPr>
          <w:rFonts w:ascii="Times New Roman" w:eastAsia="Times New Roman" w:hAnsi="Times New Roman" w:cs="Times New Roman"/>
          <w:sz w:val="22"/>
          <w:szCs w:val="22"/>
        </w:rPr>
      </w:pPr>
      <w:bookmarkStart w:id="72" w:name="_heading=h.i7ukuqmznnfo" w:colFirst="0" w:colLast="0"/>
      <w:bookmarkEnd w:id="72"/>
      <w:r>
        <w:rPr>
          <w:rFonts w:ascii="Times New Roman" w:eastAsia="Times New Roman" w:hAnsi="Times New Roman" w:cs="Times New Roman"/>
          <w:sz w:val="22"/>
          <w:szCs w:val="22"/>
        </w:rPr>
        <w:t>Správa smluvních laboratoří</w:t>
      </w:r>
    </w:p>
    <w:p w14:paraId="0000012B" w14:textId="77777777" w:rsidR="00184C3E" w:rsidRDefault="007D1EB4">
      <w:pPr>
        <w:numPr>
          <w:ilvl w:val="1"/>
          <w:numId w:val="6"/>
        </w:numPr>
        <w:rPr>
          <w:rFonts w:ascii="Times New Roman" w:eastAsia="Times New Roman" w:hAnsi="Times New Roman" w:cs="Times New Roman"/>
          <w:sz w:val="22"/>
          <w:szCs w:val="22"/>
        </w:rPr>
      </w:pPr>
      <w:bookmarkStart w:id="73" w:name="_heading=h.kveqaj9cemxn" w:colFirst="0" w:colLast="0"/>
      <w:bookmarkEnd w:id="73"/>
      <w:r>
        <w:rPr>
          <w:rFonts w:ascii="Times New Roman" w:eastAsia="Times New Roman" w:hAnsi="Times New Roman" w:cs="Times New Roman"/>
          <w:sz w:val="22"/>
          <w:szCs w:val="22"/>
        </w:rPr>
        <w:t xml:space="preserve">Správa spolupracujících firem </w:t>
      </w:r>
    </w:p>
    <w:p w14:paraId="0000012C" w14:textId="77777777" w:rsidR="00184C3E" w:rsidRDefault="007D1EB4">
      <w:pPr>
        <w:numPr>
          <w:ilvl w:val="0"/>
          <w:numId w:val="6"/>
        </w:numPr>
        <w:rPr>
          <w:rFonts w:ascii="Times New Roman" w:eastAsia="Times New Roman" w:hAnsi="Times New Roman" w:cs="Times New Roman"/>
          <w:sz w:val="22"/>
          <w:szCs w:val="22"/>
        </w:rPr>
      </w:pPr>
      <w:bookmarkStart w:id="74" w:name="_heading=h.dwzmba6w11o" w:colFirst="0" w:colLast="0"/>
      <w:bookmarkEnd w:id="74"/>
      <w:r>
        <w:rPr>
          <w:rFonts w:ascii="Times New Roman" w:eastAsia="Times New Roman" w:hAnsi="Times New Roman" w:cs="Times New Roman"/>
          <w:sz w:val="22"/>
          <w:szCs w:val="22"/>
        </w:rPr>
        <w:t>Upozorňování na požadavky daného pracovníka</w:t>
      </w:r>
    </w:p>
    <w:p w14:paraId="0000012D" w14:textId="77777777" w:rsidR="00184C3E" w:rsidRDefault="007D1EB4">
      <w:pPr>
        <w:numPr>
          <w:ilvl w:val="1"/>
          <w:numId w:val="6"/>
        </w:numPr>
        <w:rPr>
          <w:rFonts w:ascii="Times New Roman" w:eastAsia="Times New Roman" w:hAnsi="Times New Roman" w:cs="Times New Roman"/>
          <w:sz w:val="22"/>
          <w:szCs w:val="22"/>
        </w:rPr>
      </w:pPr>
      <w:bookmarkStart w:id="75" w:name="_heading=h.9v3ykawvl1l" w:colFirst="0" w:colLast="0"/>
      <w:bookmarkEnd w:id="75"/>
      <w:r>
        <w:rPr>
          <w:rFonts w:ascii="Times New Roman" w:eastAsia="Times New Roman" w:hAnsi="Times New Roman" w:cs="Times New Roman"/>
          <w:sz w:val="22"/>
          <w:szCs w:val="22"/>
        </w:rPr>
        <w:t>Možnost zasílání upozornění emailem</w:t>
      </w:r>
    </w:p>
    <w:p w14:paraId="0000012E" w14:textId="77777777" w:rsidR="00184C3E" w:rsidRDefault="007D1EB4">
      <w:pPr>
        <w:numPr>
          <w:ilvl w:val="1"/>
          <w:numId w:val="6"/>
        </w:numPr>
        <w:rPr>
          <w:rFonts w:ascii="Times New Roman" w:eastAsia="Times New Roman" w:hAnsi="Times New Roman" w:cs="Times New Roman"/>
          <w:sz w:val="22"/>
          <w:szCs w:val="22"/>
        </w:rPr>
      </w:pPr>
      <w:bookmarkStart w:id="76" w:name="_heading=h.un9t7ogqbsj8" w:colFirst="0" w:colLast="0"/>
      <w:bookmarkEnd w:id="76"/>
      <w:r>
        <w:rPr>
          <w:rFonts w:ascii="Times New Roman" w:eastAsia="Times New Roman" w:hAnsi="Times New Roman" w:cs="Times New Roman"/>
          <w:sz w:val="22"/>
          <w:szCs w:val="22"/>
        </w:rPr>
        <w:lastRenderedPageBreak/>
        <w:t>Upozorňování na akce nad dokumenty (seznamování, kontrola, schválení, dokument byl schválen, revize apod.)</w:t>
      </w:r>
    </w:p>
    <w:p w14:paraId="0000012F" w14:textId="77777777" w:rsidR="00184C3E" w:rsidRDefault="007D1EB4">
      <w:pPr>
        <w:numPr>
          <w:ilvl w:val="1"/>
          <w:numId w:val="6"/>
        </w:numPr>
        <w:rPr>
          <w:rFonts w:ascii="Times New Roman" w:eastAsia="Times New Roman" w:hAnsi="Times New Roman" w:cs="Times New Roman"/>
          <w:sz w:val="22"/>
          <w:szCs w:val="22"/>
        </w:rPr>
      </w:pPr>
      <w:bookmarkStart w:id="77" w:name="_heading=h.el4adz3miymz" w:colFirst="0" w:colLast="0"/>
      <w:bookmarkEnd w:id="77"/>
      <w:r>
        <w:rPr>
          <w:rFonts w:ascii="Times New Roman" w:eastAsia="Times New Roman" w:hAnsi="Times New Roman" w:cs="Times New Roman"/>
          <w:sz w:val="22"/>
          <w:szCs w:val="22"/>
        </w:rPr>
        <w:t>Upozorňování na akce nad agendami</w:t>
      </w:r>
    </w:p>
    <w:p w14:paraId="00000130" w14:textId="77777777" w:rsidR="00184C3E" w:rsidRDefault="007D1EB4">
      <w:pPr>
        <w:numPr>
          <w:ilvl w:val="2"/>
          <w:numId w:val="6"/>
        </w:numPr>
        <w:rPr>
          <w:rFonts w:ascii="Times New Roman" w:eastAsia="Times New Roman" w:hAnsi="Times New Roman" w:cs="Times New Roman"/>
          <w:sz w:val="22"/>
          <w:szCs w:val="22"/>
        </w:rPr>
      </w:pPr>
      <w:bookmarkStart w:id="78" w:name="_heading=h.843kpie7uq2" w:colFirst="0" w:colLast="0"/>
      <w:bookmarkEnd w:id="78"/>
      <w:r>
        <w:rPr>
          <w:rFonts w:ascii="Times New Roman" w:eastAsia="Times New Roman" w:hAnsi="Times New Roman" w:cs="Times New Roman"/>
          <w:sz w:val="22"/>
          <w:szCs w:val="22"/>
        </w:rPr>
        <w:t>Hodnocení pracovníků, spolupracujících firem</w:t>
      </w:r>
    </w:p>
    <w:p w14:paraId="00000131" w14:textId="77777777" w:rsidR="00184C3E" w:rsidRDefault="007D1EB4">
      <w:pPr>
        <w:numPr>
          <w:ilvl w:val="2"/>
          <w:numId w:val="6"/>
        </w:numPr>
        <w:rPr>
          <w:rFonts w:ascii="Times New Roman" w:eastAsia="Times New Roman" w:hAnsi="Times New Roman" w:cs="Times New Roman"/>
          <w:sz w:val="22"/>
          <w:szCs w:val="22"/>
        </w:rPr>
      </w:pPr>
      <w:bookmarkStart w:id="79" w:name="_heading=h.nmgdbzgzbetb" w:colFirst="0" w:colLast="0"/>
      <w:bookmarkEnd w:id="79"/>
      <w:r>
        <w:rPr>
          <w:rFonts w:ascii="Times New Roman" w:eastAsia="Times New Roman" w:hAnsi="Times New Roman" w:cs="Times New Roman"/>
          <w:sz w:val="22"/>
          <w:szCs w:val="22"/>
        </w:rPr>
        <w:t>Pravidelné akce u přístrojů</w:t>
      </w:r>
    </w:p>
    <w:p w14:paraId="00000132" w14:textId="77777777" w:rsidR="00184C3E" w:rsidRDefault="007D1EB4">
      <w:pPr>
        <w:numPr>
          <w:ilvl w:val="2"/>
          <w:numId w:val="6"/>
        </w:numPr>
        <w:rPr>
          <w:rFonts w:ascii="Times New Roman" w:eastAsia="Times New Roman" w:hAnsi="Times New Roman" w:cs="Times New Roman"/>
          <w:sz w:val="22"/>
          <w:szCs w:val="22"/>
        </w:rPr>
      </w:pPr>
      <w:bookmarkStart w:id="80" w:name="_heading=h.nncwgdc6cgum" w:colFirst="0" w:colLast="0"/>
      <w:bookmarkEnd w:id="80"/>
      <w:r>
        <w:rPr>
          <w:rFonts w:ascii="Times New Roman" w:eastAsia="Times New Roman" w:hAnsi="Times New Roman" w:cs="Times New Roman"/>
          <w:sz w:val="22"/>
          <w:szCs w:val="22"/>
        </w:rPr>
        <w:t>Seznámení se se záznamem dané agendy</w:t>
      </w:r>
    </w:p>
    <w:p w14:paraId="00000133" w14:textId="77777777" w:rsidR="00184C3E" w:rsidRDefault="007D1EB4">
      <w:pPr>
        <w:numPr>
          <w:ilvl w:val="2"/>
          <w:numId w:val="6"/>
        </w:numPr>
        <w:rPr>
          <w:rFonts w:ascii="Times New Roman" w:eastAsia="Times New Roman" w:hAnsi="Times New Roman" w:cs="Times New Roman"/>
          <w:sz w:val="22"/>
          <w:szCs w:val="22"/>
        </w:rPr>
      </w:pPr>
      <w:bookmarkStart w:id="81" w:name="_heading=h.5kxxrh2ay0hk" w:colFirst="0" w:colLast="0"/>
      <w:bookmarkEnd w:id="81"/>
      <w:r>
        <w:rPr>
          <w:rFonts w:ascii="Times New Roman" w:eastAsia="Times New Roman" w:hAnsi="Times New Roman" w:cs="Times New Roman"/>
          <w:sz w:val="22"/>
          <w:szCs w:val="22"/>
        </w:rPr>
        <w:t>Předání agendy k řešení jinému pracovníkovi</w:t>
      </w:r>
    </w:p>
    <w:p w14:paraId="00000134" w14:textId="77777777" w:rsidR="00184C3E" w:rsidRDefault="007D1EB4">
      <w:pPr>
        <w:numPr>
          <w:ilvl w:val="2"/>
          <w:numId w:val="6"/>
        </w:numPr>
        <w:rPr>
          <w:rFonts w:ascii="Times New Roman" w:eastAsia="Times New Roman" w:hAnsi="Times New Roman" w:cs="Times New Roman"/>
          <w:sz w:val="22"/>
          <w:szCs w:val="22"/>
        </w:rPr>
      </w:pPr>
      <w:bookmarkStart w:id="82" w:name="_heading=h.wl1gw9p9dvle" w:colFirst="0" w:colLast="0"/>
      <w:bookmarkEnd w:id="82"/>
      <w:r>
        <w:rPr>
          <w:rFonts w:ascii="Times New Roman" w:eastAsia="Times New Roman" w:hAnsi="Times New Roman" w:cs="Times New Roman"/>
          <w:sz w:val="22"/>
          <w:szCs w:val="22"/>
        </w:rPr>
        <w:t>Pravidelné akce u pracovníka</w:t>
      </w:r>
    </w:p>
    <w:p w14:paraId="00000135" w14:textId="77777777" w:rsidR="00184C3E" w:rsidRDefault="007D1EB4">
      <w:pPr>
        <w:numPr>
          <w:ilvl w:val="0"/>
          <w:numId w:val="6"/>
        </w:numPr>
        <w:rPr>
          <w:rFonts w:ascii="Times New Roman" w:eastAsia="Times New Roman" w:hAnsi="Times New Roman" w:cs="Times New Roman"/>
          <w:sz w:val="22"/>
          <w:szCs w:val="22"/>
        </w:rPr>
      </w:pPr>
      <w:bookmarkStart w:id="83" w:name="_heading=h.8w0b7mq3o9iq" w:colFirst="0" w:colLast="0"/>
      <w:bookmarkEnd w:id="83"/>
      <w:r>
        <w:rPr>
          <w:rFonts w:ascii="Times New Roman" w:eastAsia="Times New Roman" w:hAnsi="Times New Roman" w:cs="Times New Roman"/>
          <w:sz w:val="22"/>
          <w:szCs w:val="22"/>
        </w:rPr>
        <w:t>Migrace dat (volitelné)</w:t>
      </w:r>
    </w:p>
    <w:p w14:paraId="00000136" w14:textId="77777777" w:rsidR="00184C3E" w:rsidRDefault="007D1EB4">
      <w:pPr>
        <w:numPr>
          <w:ilvl w:val="1"/>
          <w:numId w:val="6"/>
        </w:numPr>
        <w:rPr>
          <w:rFonts w:ascii="Times New Roman" w:eastAsia="Times New Roman" w:hAnsi="Times New Roman" w:cs="Times New Roman"/>
          <w:sz w:val="22"/>
          <w:szCs w:val="22"/>
        </w:rPr>
      </w:pPr>
      <w:bookmarkStart w:id="84" w:name="_heading=h.yc391uynk57f" w:colFirst="0" w:colLast="0"/>
      <w:bookmarkEnd w:id="84"/>
      <w:r>
        <w:rPr>
          <w:rFonts w:ascii="Times New Roman" w:eastAsia="Times New Roman" w:hAnsi="Times New Roman" w:cs="Times New Roman"/>
          <w:sz w:val="22"/>
          <w:szCs w:val="22"/>
        </w:rPr>
        <w:t>Převedení všech platných dokumentů řízené dokumentace do nového nástroje včetně veškerého prolinkování mezi dokumenty</w:t>
      </w:r>
    </w:p>
    <w:p w14:paraId="00000137" w14:textId="77777777" w:rsidR="00184C3E" w:rsidRDefault="007D1EB4">
      <w:pPr>
        <w:numPr>
          <w:ilvl w:val="1"/>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Převedení dat z agend uvedených v bodě 6 do nového nástroje</w:t>
      </w:r>
    </w:p>
    <w:sectPr w:rsidR="00184C3E">
      <w:footerReference w:type="default" r:id="rId11"/>
      <w:footerReference w:type="first" r:id="rId12"/>
      <w:pgSz w:w="11906" w:h="16838"/>
      <w:pgMar w:top="1134" w:right="1134" w:bottom="851" w:left="1530"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3E531" w14:textId="77777777" w:rsidR="00B81BE1" w:rsidRDefault="00B81BE1">
      <w:r>
        <w:separator/>
      </w:r>
    </w:p>
  </w:endnote>
  <w:endnote w:type="continuationSeparator" w:id="0">
    <w:p w14:paraId="366C3A2B" w14:textId="77777777" w:rsidR="00B81BE1" w:rsidRDefault="00B8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E97E3C0-5D64-4297-A4BD-36485E0FF4B8}"/>
    <w:embedBold r:id="rId2" w:fontKey="{E8F25827-6429-4C56-B2AF-A04F3E45451D}"/>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CF2B8868-4BB6-461A-9E29-2DA4EFACEEF7}"/>
  </w:font>
  <w:font w:name="Georgia">
    <w:panose1 w:val="02040502050405020303"/>
    <w:charset w:val="EE"/>
    <w:family w:val="roman"/>
    <w:pitch w:val="variable"/>
    <w:sig w:usb0="00000287" w:usb1="00000000" w:usb2="00000000" w:usb3="00000000" w:csb0="0000009F" w:csb1="00000000"/>
    <w:embedRegular r:id="rId4" w:fontKey="{B31EF99F-9E1B-4E88-A9D5-C37B50823404}"/>
    <w:embedItalic r:id="rId5" w:fontKey="{E9F30861-8881-42D4-9C48-FB7078EBF041}"/>
  </w:font>
  <w:font w:name="Segoe UI">
    <w:panose1 w:val="020B0502040204020203"/>
    <w:charset w:val="EE"/>
    <w:family w:val="swiss"/>
    <w:pitch w:val="variable"/>
    <w:sig w:usb0="E4002EFF" w:usb1="C000E47F" w:usb2="00000009" w:usb3="00000000" w:csb0="000001FF" w:csb1="00000000"/>
    <w:embedRegular r:id="rId6" w:fontKey="{50599E68-A43F-4256-A80D-80E24EB6E419}"/>
  </w:font>
  <w:font w:name="Arial">
    <w:panose1 w:val="020B0604020202020204"/>
    <w:charset w:val="EE"/>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embedRegular r:id="rId7" w:fontKey="{A6C914BB-1017-466B-8B15-3EA8F720EC9A}"/>
    <w:embedBold r:id="rId8" w:fontKey="{16B64BEF-D1B3-498C-B357-08CF5EC86E03}"/>
    <w:embedItalic r:id="rId9" w:fontKey="{9632B592-B6C7-4C07-97E5-923F7918C139}"/>
    <w:embedBoldItalic r:id="rId10" w:fontKey="{AB003A0D-D856-4BF3-99F3-E13670A32F88}"/>
  </w:font>
  <w:font w:name="Cambria">
    <w:panose1 w:val="02040503050406030204"/>
    <w:charset w:val="EE"/>
    <w:family w:val="roman"/>
    <w:pitch w:val="variable"/>
    <w:sig w:usb0="E00006FF" w:usb1="420024FF" w:usb2="02000000" w:usb3="00000000" w:csb0="0000019F" w:csb1="00000000"/>
    <w:embedRegular r:id="rId11" w:fontKey="{7EC57D96-625D-4539-BE16-20BA8770DB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38" w14:textId="6B43399A" w:rsidR="00B81BE1" w:rsidRDefault="00B81BE1">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F6249">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00000139" w14:textId="77777777" w:rsidR="00B81BE1" w:rsidRDefault="00B81BE1">
    <w:pPr>
      <w:pBdr>
        <w:top w:val="nil"/>
        <w:left w:val="nil"/>
        <w:bottom w:val="nil"/>
        <w:right w:val="nil"/>
        <w:between w:val="nil"/>
      </w:pBdr>
      <w:tabs>
        <w:tab w:val="center" w:pos="4536"/>
        <w:tab w:val="right" w:pos="9072"/>
        <w:tab w:val="center" w:pos="5103"/>
      </w:tabs>
      <w:rPr>
        <w:rFonts w:ascii="Times New Roman" w:eastAsia="Times New Roman" w:hAnsi="Times New Roman" w:cs="Times New Roman"/>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3A" w14:textId="3D06176A" w:rsidR="00B81BE1" w:rsidRDefault="00B81BE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F6249">
      <w:rPr>
        <w:noProof/>
        <w:color w:val="000000"/>
      </w:rPr>
      <w:t>1</w:t>
    </w:r>
    <w:r>
      <w:rPr>
        <w:color w:val="000000"/>
      </w:rPr>
      <w:fldChar w:fldCharType="end"/>
    </w:r>
  </w:p>
  <w:p w14:paraId="0000013B" w14:textId="77777777" w:rsidR="00B81BE1" w:rsidRDefault="00B81BE1">
    <w:pPr>
      <w:tabs>
        <w:tab w:val="center" w:pos="4962"/>
        <w:tab w:val="right" w:pos="9072"/>
      </w:tabs>
      <w:spacing w:before="120" w:after="120"/>
      <w:ind w:left="284" w:hanging="284"/>
      <w:jc w:val="center"/>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D50F9" w14:textId="77777777" w:rsidR="00B81BE1" w:rsidRDefault="00B81BE1">
      <w:r>
        <w:separator/>
      </w:r>
    </w:p>
  </w:footnote>
  <w:footnote w:type="continuationSeparator" w:id="0">
    <w:p w14:paraId="345A9930" w14:textId="77777777" w:rsidR="00B81BE1" w:rsidRDefault="00B81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5BE7"/>
    <w:multiLevelType w:val="multilevel"/>
    <w:tmpl w:val="0DC8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5274F"/>
    <w:multiLevelType w:val="multilevel"/>
    <w:tmpl w:val="8CF29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54A04"/>
    <w:multiLevelType w:val="multilevel"/>
    <w:tmpl w:val="B47ED3DE"/>
    <w:lvl w:ilvl="0">
      <w:start w:val="1"/>
      <w:numFmt w:val="bullet"/>
      <w:lvlText w:val="-"/>
      <w:lvlJc w:val="left"/>
      <w:pPr>
        <w:ind w:left="720" w:hanging="360"/>
      </w:pPr>
      <w:rPr>
        <w:u w:val="none"/>
      </w:rPr>
    </w:lvl>
    <w:lvl w:ilvl="1">
      <w:start w:val="1"/>
      <w:numFmt w:val="bullet"/>
      <w:lvlText w:val="-"/>
      <w:lvlJc w:val="left"/>
      <w:pPr>
        <w:ind w:left="1440" w:hanging="99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E0F95"/>
    <w:multiLevelType w:val="multilevel"/>
    <w:tmpl w:val="D73E2368"/>
    <w:lvl w:ilvl="0">
      <w:start w:val="1"/>
      <w:numFmt w:val="decimal"/>
      <w:lvlText w:val="%1."/>
      <w:lvlJc w:val="left"/>
      <w:pPr>
        <w:ind w:left="425" w:hanging="425"/>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425" w:hanging="425"/>
      </w:pPr>
      <w:rPr>
        <w:rFonts w:ascii="Times New Roman" w:eastAsia="Times New Roman" w:hAnsi="Times New Roman" w:cs="Times New Roman"/>
        <w:b w:val="0"/>
        <w:i w:val="0"/>
        <w:smallCaps w:val="0"/>
        <w:strike w:val="0"/>
        <w:color w:val="000000"/>
        <w:sz w:val="22"/>
        <w:szCs w:val="22"/>
        <w:u w:val="none"/>
        <w:vertAlign w:val="baseline"/>
      </w:rPr>
    </w:lvl>
    <w:lvl w:ilvl="2">
      <w:start w:val="1"/>
      <w:numFmt w:val="lowerRoman"/>
      <w:lvlText w:val="(%3)"/>
      <w:lvlJc w:val="left"/>
      <w:pPr>
        <w:ind w:left="567" w:hanging="567"/>
      </w:pPr>
      <w:rPr>
        <w:rFonts w:ascii="Times New Roman" w:eastAsia="Times New Roman" w:hAnsi="Times New Roman" w:cs="Times New Roman"/>
        <w:b w:val="0"/>
        <w:i w:val="0"/>
        <w:smallCaps w:val="0"/>
        <w:strike w:val="0"/>
        <w:color w:val="000000"/>
        <w:sz w:val="22"/>
        <w:szCs w:val="22"/>
        <w:u w:val="none"/>
        <w:vertAlign w:val="baseline"/>
      </w:rPr>
    </w:lvl>
    <w:lvl w:ilvl="3">
      <w:start w:val="1"/>
      <w:numFmt w:val="lowerLetter"/>
      <w:lvlText w:val="(%4)"/>
      <w:lvlJc w:val="left"/>
      <w:pPr>
        <w:ind w:left="425" w:hanging="425"/>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lowerRoman"/>
      <w:lvlText w:val="(%5)"/>
      <w:lvlJc w:val="left"/>
      <w:pPr>
        <w:ind w:left="851" w:hanging="426"/>
      </w:pPr>
      <w:rPr>
        <w:rFonts w:ascii="Times New Roman" w:eastAsia="Times New Roman" w:hAnsi="Times New Roman" w:cs="Times New Roman"/>
        <w:b w:val="0"/>
        <w:i w:val="0"/>
        <w:smallCaps w:val="0"/>
        <w:strike w:val="0"/>
        <w:color w:val="000000"/>
        <w:sz w:val="24"/>
        <w:szCs w:val="24"/>
        <w:u w:val="none"/>
        <w:vertAlign w:val="baseline"/>
      </w:rPr>
    </w:lvl>
    <w:lvl w:ilvl="5">
      <w:start w:val="1"/>
      <w:numFmt w:val="decimal"/>
      <w:lvlText w:val=""/>
      <w:lvlJc w:val="center"/>
      <w:pPr>
        <w:ind w:left="0" w:firstLine="0"/>
      </w:pPr>
      <w:rPr>
        <w:rFonts w:ascii="Times New Roman" w:eastAsia="Times New Roman" w:hAnsi="Times New Roman" w:cs="Times New Roman"/>
        <w:b w:val="0"/>
        <w:i w:val="0"/>
        <w:smallCaps w:val="0"/>
        <w:strike w:val="0"/>
        <w:color w:val="000000"/>
        <w:u w:val="none"/>
        <w:vertAlign w:val="baseline"/>
      </w:rPr>
    </w:lvl>
    <w:lvl w:ilvl="6">
      <w:start w:val="1"/>
      <w:numFmt w:val="decimal"/>
      <w:lvlText w:val=""/>
      <w:lvlJc w:val="left"/>
      <w:pPr>
        <w:ind w:left="4320" w:firstLine="0"/>
      </w:pPr>
      <w:rPr>
        <w:color w:val="0000FF"/>
        <w:u w:val="single"/>
      </w:rPr>
    </w:lvl>
    <w:lvl w:ilvl="7">
      <w:start w:val="1"/>
      <w:numFmt w:val="decimal"/>
      <w:lvlText w:val=""/>
      <w:lvlJc w:val="left"/>
      <w:pPr>
        <w:ind w:left="5040" w:firstLine="0"/>
      </w:pPr>
      <w:rPr>
        <w:color w:val="0000FF"/>
        <w:u w:val="single"/>
      </w:rPr>
    </w:lvl>
    <w:lvl w:ilvl="8">
      <w:start w:val="1"/>
      <w:numFmt w:val="decimal"/>
      <w:lvlText w:val=""/>
      <w:lvlJc w:val="left"/>
      <w:pPr>
        <w:ind w:left="5760" w:firstLine="0"/>
      </w:pPr>
      <w:rPr>
        <w:color w:val="0000FF"/>
        <w:u w:val="single"/>
      </w:rPr>
    </w:lvl>
  </w:abstractNum>
  <w:abstractNum w:abstractNumId="4" w15:restartNumberingAfterBreak="0">
    <w:nsid w:val="291130AD"/>
    <w:multiLevelType w:val="multilevel"/>
    <w:tmpl w:val="3ECA4A40"/>
    <w:lvl w:ilvl="0">
      <w:start w:val="1"/>
      <w:numFmt w:val="upperRoman"/>
      <w:lvlText w:val="%1."/>
      <w:lvlJc w:val="right"/>
      <w:pPr>
        <w:ind w:left="1287" w:hanging="360"/>
      </w:pPr>
      <w:rPr>
        <w:rFonts w:ascii="Times New Roman" w:eastAsia="Times New Roman" w:hAnsi="Times New Roman" w:cs="Times New Roman"/>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3BBD13DD"/>
    <w:multiLevelType w:val="multilevel"/>
    <w:tmpl w:val="6BBA168A"/>
    <w:lvl w:ilvl="0">
      <w:start w:val="1"/>
      <w:numFmt w:val="decimal"/>
      <w:lvlText w:val="(%1)"/>
      <w:lvlJc w:val="left"/>
      <w:pPr>
        <w:ind w:left="928" w:hanging="360"/>
      </w:pPr>
      <w:rPr>
        <w:rFonts w:ascii="Times New Roman" w:eastAsia="Times New Roman" w:hAnsi="Times New Roman" w:cs="Times New Roman"/>
        <w:b w:val="0"/>
        <w:i w:val="0"/>
        <w:color w:val="000000"/>
        <w:sz w:val="22"/>
        <w:szCs w:val="22"/>
      </w:rPr>
    </w:lvl>
    <w:lvl w:ilvl="1">
      <w:start w:val="2"/>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9E222A"/>
    <w:multiLevelType w:val="multilevel"/>
    <w:tmpl w:val="9B6AAD40"/>
    <w:lvl w:ilvl="0">
      <w:start w:val="407"/>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69EF54AF"/>
    <w:multiLevelType w:val="multilevel"/>
    <w:tmpl w:val="0E0C1FF4"/>
    <w:lvl w:ilvl="0">
      <w:start w:val="1"/>
      <w:numFmt w:val="decimal"/>
      <w:lvlText w:val="%1."/>
      <w:lvlJc w:val="left"/>
      <w:pPr>
        <w:ind w:left="425" w:hanging="425"/>
      </w:pPr>
      <w:rPr>
        <w:rFonts w:ascii="Times New Roman" w:eastAsia="Times New Roman" w:hAnsi="Times New Roman" w:cs="Times New Roman"/>
        <w:sz w:val="22"/>
        <w:szCs w:val="22"/>
        <w:u w:val="none"/>
      </w:rPr>
    </w:lvl>
    <w:lvl w:ilvl="1">
      <w:start w:val="1"/>
      <w:numFmt w:val="lowerLetter"/>
      <w:lvlText w:val="%2."/>
      <w:lvlJc w:val="left"/>
      <w:pPr>
        <w:ind w:left="1440" w:hanging="360"/>
      </w:pPr>
      <w:rPr>
        <w:rFonts w:ascii="Times New Roman" w:eastAsia="Times New Roman" w:hAnsi="Times New Roman" w:cs="Times New Roman"/>
        <w:b w:val="0"/>
        <w:sz w:val="22"/>
        <w:szCs w:val="22"/>
        <w:u w:val="none"/>
      </w:rPr>
    </w:lvl>
    <w:lvl w:ilvl="2">
      <w:start w:val="1"/>
      <w:numFmt w:val="lowerRoman"/>
      <w:lvlText w:val="%3."/>
      <w:lvlJc w:val="right"/>
      <w:pPr>
        <w:ind w:left="2160" w:hanging="360"/>
      </w:pPr>
      <w:rPr>
        <w:rFonts w:ascii="Times New Roman" w:eastAsia="Times New Roman" w:hAnsi="Times New Roman" w:cs="Times New Roman"/>
        <w:b w:val="0"/>
        <w:sz w:val="22"/>
        <w:szCs w:val="22"/>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70711D6"/>
    <w:multiLevelType w:val="multilevel"/>
    <w:tmpl w:val="F64C5B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0"/>
  </w:num>
  <w:num w:numId="3">
    <w:abstractNumId w:val="3"/>
  </w:num>
  <w:num w:numId="4">
    <w:abstractNumId w:val="5"/>
  </w:num>
  <w:num w:numId="5">
    <w:abstractNumId w:val="6"/>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C3E"/>
    <w:rsid w:val="00071E2B"/>
    <w:rsid w:val="00184C3E"/>
    <w:rsid w:val="001B2228"/>
    <w:rsid w:val="001B794D"/>
    <w:rsid w:val="001E68A8"/>
    <w:rsid w:val="001F1562"/>
    <w:rsid w:val="00212BFD"/>
    <w:rsid w:val="002610A9"/>
    <w:rsid w:val="00330001"/>
    <w:rsid w:val="004803C7"/>
    <w:rsid w:val="004F6249"/>
    <w:rsid w:val="0057101E"/>
    <w:rsid w:val="005B0413"/>
    <w:rsid w:val="006349A2"/>
    <w:rsid w:val="00671C02"/>
    <w:rsid w:val="00692C10"/>
    <w:rsid w:val="00695EEC"/>
    <w:rsid w:val="006C4C0E"/>
    <w:rsid w:val="006F221D"/>
    <w:rsid w:val="007D1EB4"/>
    <w:rsid w:val="008F3ABA"/>
    <w:rsid w:val="009529FC"/>
    <w:rsid w:val="00960674"/>
    <w:rsid w:val="00A965C0"/>
    <w:rsid w:val="00AC6327"/>
    <w:rsid w:val="00B627A5"/>
    <w:rsid w:val="00B81BE1"/>
    <w:rsid w:val="00CC318E"/>
    <w:rsid w:val="00CD1D82"/>
    <w:rsid w:val="00D757AF"/>
    <w:rsid w:val="00DF47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CB14"/>
  <w15:docId w15:val="{A58A9A07-1129-441D-9637-40AE54C75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cs" w:eastAsia="cs-CZ"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spacing w:before="240"/>
      <w:ind w:left="927" w:hanging="360"/>
      <w:jc w:val="left"/>
      <w:outlineLvl w:val="0"/>
    </w:pPr>
    <w:rPr>
      <w:rFonts w:ascii="Times New Roman" w:eastAsia="Times New Roman" w:hAnsi="Times New Roman" w:cs="Times New Roman"/>
      <w:b/>
      <w:smallCaps/>
      <w:sz w:val="22"/>
      <w:szCs w:val="22"/>
    </w:rPr>
  </w:style>
  <w:style w:type="paragraph" w:styleId="Nadpis2">
    <w:name w:val="heading 2"/>
    <w:basedOn w:val="Normln"/>
    <w:next w:val="Normln"/>
    <w:uiPriority w:val="9"/>
    <w:unhideWhenUsed/>
    <w:qFormat/>
    <w:pPr>
      <w:widowControl w:val="0"/>
      <w:outlineLvl w:val="1"/>
    </w:pPr>
    <w:rPr>
      <w:rFonts w:ascii="Times New Roman" w:eastAsia="Times New Roman" w:hAnsi="Times New Roman" w:cs="Times New Roman"/>
      <w:color w:val="000000"/>
      <w:sz w:val="22"/>
      <w:szCs w:val="22"/>
    </w:rPr>
  </w:style>
  <w:style w:type="paragraph" w:styleId="Nadpis3">
    <w:name w:val="heading 3"/>
    <w:basedOn w:val="Normln"/>
    <w:next w:val="Normln"/>
    <w:uiPriority w:val="9"/>
    <w:semiHidden/>
    <w:unhideWhenUsed/>
    <w:qFormat/>
    <w:pPr>
      <w:ind w:left="2367" w:hanging="360"/>
      <w:outlineLvl w:val="2"/>
    </w:pPr>
  </w:style>
  <w:style w:type="paragraph" w:styleId="Nadpis4">
    <w:name w:val="heading 4"/>
    <w:basedOn w:val="Normln"/>
    <w:next w:val="Normln"/>
    <w:uiPriority w:val="9"/>
    <w:semiHidden/>
    <w:unhideWhenUsed/>
    <w:qFormat/>
    <w:pPr>
      <w:widowControl w:val="0"/>
      <w:ind w:left="3087" w:hanging="360"/>
      <w:outlineLvl w:val="3"/>
    </w:pPr>
  </w:style>
  <w:style w:type="paragraph" w:styleId="Nadpis5">
    <w:name w:val="heading 5"/>
    <w:basedOn w:val="Normln"/>
    <w:next w:val="Normln"/>
    <w:uiPriority w:val="9"/>
    <w:semiHidden/>
    <w:unhideWhenUsed/>
    <w:qFormat/>
    <w:pPr>
      <w:widowControl w:val="0"/>
      <w:spacing w:after="240"/>
      <w:ind w:left="3807" w:hanging="360"/>
      <w:outlineLvl w:val="4"/>
    </w:pPr>
  </w:style>
  <w:style w:type="paragraph" w:styleId="Nadpis6">
    <w:name w:val="heading 6"/>
    <w:basedOn w:val="Normln"/>
    <w:next w:val="Normln"/>
    <w:uiPriority w:val="9"/>
    <w:semiHidden/>
    <w:unhideWhenUsed/>
    <w:qFormat/>
    <w:pPr>
      <w:spacing w:after="240"/>
      <w:ind w:left="4527" w:hanging="360"/>
      <w:jc w:val="center"/>
      <w:outlineLvl w:val="5"/>
    </w:pPr>
    <w:rPr>
      <w:b/>
      <w:small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jc w:val="left"/>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a">
    <w:basedOn w:val="Normlntabulka"/>
    <w:tblPr>
      <w:tblStyleRowBandSize w:val="1"/>
      <w:tblStyleColBandSize w:val="1"/>
      <w:tblCellMar>
        <w:left w:w="115" w:type="dxa"/>
        <w:right w:w="115" w:type="dxa"/>
      </w:tblCellMar>
    </w:tblPr>
    <w:tcPr>
      <w:shd w:val="clear" w:color="auto" w:fill="DEEBF6"/>
    </w:tcPr>
  </w:style>
  <w:style w:type="table" w:customStyle="1" w:styleId="a0">
    <w:basedOn w:val="Normlntabulka"/>
    <w:tblPr>
      <w:tblStyleRowBandSize w:val="1"/>
      <w:tblStyleColBandSize w:val="1"/>
      <w:tblCellMar>
        <w:left w:w="115" w:type="dxa"/>
        <w:right w:w="115" w:type="dxa"/>
      </w:tblCellMar>
    </w:tblPr>
    <w:tcPr>
      <w:shd w:val="clear" w:color="auto" w:fill="DEEBF6"/>
    </w:tcPr>
  </w:style>
  <w:style w:type="table" w:customStyle="1" w:styleId="a1">
    <w:basedOn w:val="Normlntabulka"/>
    <w:tblPr>
      <w:tblStyleRowBandSize w:val="1"/>
      <w:tblStyleColBandSize w:val="1"/>
      <w:tblCellMar>
        <w:left w:w="115" w:type="dxa"/>
        <w:right w:w="115" w:type="dxa"/>
      </w:tblCellMar>
    </w:tblPr>
    <w:tcPr>
      <w:shd w:val="clear" w:color="auto" w:fill="DEEBF6"/>
    </w:tcPr>
  </w:style>
  <w:style w:type="table" w:customStyle="1" w:styleId="a2">
    <w:basedOn w:val="Normlntabulka"/>
    <w:tblPr>
      <w:tblStyleRowBandSize w:val="1"/>
      <w:tblStyleColBandSize w:val="1"/>
      <w:tblCellMar>
        <w:left w:w="115" w:type="dxa"/>
        <w:right w:w="115" w:type="dxa"/>
      </w:tblCellMar>
    </w:tblPr>
    <w:tcPr>
      <w:shd w:val="clear" w:color="auto" w:fill="DEEBF6"/>
    </w:tcPr>
  </w:style>
  <w:style w:type="table" w:customStyle="1" w:styleId="a3">
    <w:basedOn w:val="Normlntabulka"/>
    <w:tblPr>
      <w:tblStyleRowBandSize w:val="1"/>
      <w:tblStyleColBandSize w:val="1"/>
      <w:tblCellMar>
        <w:left w:w="115" w:type="dxa"/>
        <w:right w:w="115" w:type="dxa"/>
      </w:tblCellMar>
    </w:tblPr>
    <w:tcPr>
      <w:shd w:val="clear" w:color="auto" w:fill="DEEBF6"/>
    </w:tcPr>
  </w:style>
  <w:style w:type="paragraph" w:styleId="Normlnweb">
    <w:name w:val="Normal (Web)"/>
    <w:uiPriority w:val="99"/>
    <w:semiHidden/>
    <w:unhideWhenUsed/>
    <w:rsid w:val="009401AF"/>
    <w:pPr>
      <w:spacing w:before="100" w:beforeAutospacing="1" w:after="100" w:afterAutospacing="1"/>
      <w:jc w:val="left"/>
    </w:pPr>
    <w:rPr>
      <w:rFonts w:ascii="Times New Roman" w:eastAsia="Times New Roman" w:hAnsi="Times New Roman" w:cs="Times New Roman"/>
    </w:rPr>
  </w:style>
  <w:style w:type="table" w:customStyle="1" w:styleId="a4">
    <w:basedOn w:val="Normlntabulka"/>
    <w:tblPr>
      <w:tblStyleRowBandSize w:val="1"/>
      <w:tblStyleColBandSize w:val="1"/>
      <w:tblCellMar>
        <w:top w:w="15" w:type="dxa"/>
        <w:left w:w="15" w:type="dxa"/>
        <w:bottom w:w="15" w:type="dxa"/>
        <w:right w:w="15" w:type="dxa"/>
      </w:tblCellMar>
    </w:tblPr>
  </w:style>
  <w:style w:type="table" w:customStyle="1" w:styleId="a5">
    <w:basedOn w:val="Normlntabulka"/>
    <w:tblPr>
      <w:tblStyleRowBandSize w:val="1"/>
      <w:tblStyleColBandSize w:val="1"/>
      <w:tblCellMar>
        <w:top w:w="15" w:type="dxa"/>
        <w:left w:w="15" w:type="dxa"/>
        <w:bottom w:w="15" w:type="dxa"/>
        <w:right w:w="15" w:type="dxa"/>
      </w:tblCellMar>
    </w:tblPr>
  </w:style>
  <w:style w:type="table" w:customStyle="1" w:styleId="a6">
    <w:basedOn w:val="Normlntabulka"/>
    <w:tblPr>
      <w:tblStyleRowBandSize w:val="1"/>
      <w:tblStyleColBandSize w:val="1"/>
      <w:tblCellMar>
        <w:top w:w="15" w:type="dxa"/>
        <w:left w:w="15" w:type="dxa"/>
        <w:bottom w:w="15" w:type="dxa"/>
        <w:right w:w="15" w:type="dxa"/>
      </w:tblCellMar>
    </w:tblPr>
  </w:style>
  <w:style w:type="character" w:styleId="Odkaznakoment">
    <w:name w:val="annotation reference"/>
    <w:basedOn w:val="Standardnpsmoodstavce"/>
    <w:uiPriority w:val="99"/>
    <w:semiHidden/>
    <w:unhideWhenUsed/>
    <w:rsid w:val="00B934F5"/>
    <w:rPr>
      <w:sz w:val="16"/>
      <w:szCs w:val="16"/>
    </w:rPr>
  </w:style>
  <w:style w:type="paragraph" w:styleId="Textkomente">
    <w:name w:val="annotation text"/>
    <w:link w:val="TextkomenteChar"/>
    <w:uiPriority w:val="99"/>
    <w:unhideWhenUsed/>
    <w:rsid w:val="00B934F5"/>
    <w:rPr>
      <w:sz w:val="20"/>
      <w:szCs w:val="20"/>
    </w:rPr>
  </w:style>
  <w:style w:type="character" w:customStyle="1" w:styleId="TextkomenteChar">
    <w:name w:val="Text komentáře Char"/>
    <w:basedOn w:val="Standardnpsmoodstavce"/>
    <w:link w:val="Textkomente"/>
    <w:uiPriority w:val="99"/>
    <w:rsid w:val="00B934F5"/>
    <w:rPr>
      <w:sz w:val="20"/>
      <w:szCs w:val="20"/>
    </w:rPr>
  </w:style>
  <w:style w:type="paragraph" w:styleId="Pedmtkomente">
    <w:name w:val="annotation subject"/>
    <w:basedOn w:val="Textkomente"/>
    <w:next w:val="Textkomente"/>
    <w:link w:val="PedmtkomenteChar"/>
    <w:uiPriority w:val="99"/>
    <w:semiHidden/>
    <w:unhideWhenUsed/>
    <w:rsid w:val="00B934F5"/>
    <w:rPr>
      <w:b/>
      <w:bCs/>
    </w:rPr>
  </w:style>
  <w:style w:type="character" w:customStyle="1" w:styleId="PedmtkomenteChar">
    <w:name w:val="Předmět komentáře Char"/>
    <w:basedOn w:val="TextkomenteChar"/>
    <w:link w:val="Pedmtkomente"/>
    <w:uiPriority w:val="99"/>
    <w:semiHidden/>
    <w:rsid w:val="00B934F5"/>
    <w:rPr>
      <w:b/>
      <w:bCs/>
      <w:sz w:val="20"/>
      <w:szCs w:val="20"/>
    </w:rPr>
  </w:style>
  <w:style w:type="paragraph" w:styleId="Revize">
    <w:name w:val="Revision"/>
    <w:hidden/>
    <w:uiPriority w:val="99"/>
    <w:semiHidden/>
    <w:rsid w:val="00812A36"/>
    <w:pPr>
      <w:jc w:val="left"/>
    </w:pPr>
  </w:style>
  <w:style w:type="character" w:styleId="Hypertextovodkaz">
    <w:name w:val="Hyperlink"/>
    <w:basedOn w:val="Standardnpsmoodstavce"/>
    <w:uiPriority w:val="99"/>
    <w:unhideWhenUsed/>
    <w:rsid w:val="00812A36"/>
    <w:rPr>
      <w:color w:val="0000FF" w:themeColor="hyperlink"/>
      <w:u w:val="single"/>
    </w:rPr>
  </w:style>
  <w:style w:type="character" w:customStyle="1" w:styleId="UnresolvedMention">
    <w:name w:val="Unresolved Mention"/>
    <w:basedOn w:val="Standardnpsmoodstavce"/>
    <w:uiPriority w:val="99"/>
    <w:semiHidden/>
    <w:unhideWhenUsed/>
    <w:rsid w:val="00812A36"/>
    <w:rPr>
      <w:color w:val="605E5C"/>
      <w:shd w:val="clear" w:color="auto" w:fill="E1DFDD"/>
    </w:rPr>
  </w:style>
  <w:style w:type="paragraph" w:styleId="Odstavecseseznamem">
    <w:name w:val="List Paragraph"/>
    <w:uiPriority w:val="34"/>
    <w:qFormat/>
    <w:rsid w:val="00D4206B"/>
    <w:pPr>
      <w:ind w:left="720"/>
      <w:contextualSpacing/>
    </w:p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9">
    <w:basedOn w:val="Normlntabulka"/>
    <w:tblPr>
      <w:tblStyleRowBandSize w:val="1"/>
      <w:tblStyleColBandSize w:val="1"/>
      <w:tblCellMar>
        <w:top w:w="15" w:type="dxa"/>
        <w:left w:w="15" w:type="dxa"/>
        <w:bottom w:w="15" w:type="dxa"/>
        <w:right w:w="15" w:type="dxa"/>
      </w:tblCellMar>
    </w:tblPr>
  </w:style>
  <w:style w:type="paragraph" w:styleId="Textbubliny">
    <w:name w:val="Balloon Text"/>
    <w:basedOn w:val="Normln"/>
    <w:link w:val="TextbublinyChar"/>
    <w:uiPriority w:val="99"/>
    <w:semiHidden/>
    <w:unhideWhenUsed/>
    <w:rsid w:val="00B81BE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1B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lp.bl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aws.amazon.com/compliance/gdpr-center/." TargetMode="External"/><Relationship Id="rId4" Type="http://schemas.openxmlformats.org/officeDocument/2006/relationships/settings" Target="settings.xml"/><Relationship Id="rId9" Type="http://schemas.openxmlformats.org/officeDocument/2006/relationships/hyperlink" Target="https://mildblue.slp.blue/verejna-prirucka/stranka/zpracovani-osobnich-udaju-v-slp-blu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AQbYGEz7SRZBdvO405aDE8PC+A==">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4132</Words>
  <Characters>24383</Characters>
  <Application>Microsoft Office Word</Application>
  <DocSecurity>0</DocSecurity>
  <Lines>203</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 Koudelková</dc:creator>
  <cp:lastModifiedBy>Radmila Labíková</cp:lastModifiedBy>
  <cp:revision>2</cp:revision>
  <dcterms:created xsi:type="dcterms:W3CDTF">2025-08-15T09:33:00Z</dcterms:created>
  <dcterms:modified xsi:type="dcterms:W3CDTF">2025-08-15T09:33:00Z</dcterms:modified>
</cp:coreProperties>
</file>