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BA71" w14:textId="169BF941" w:rsidR="007B7478" w:rsidRPr="007B7478" w:rsidRDefault="007B7478" w:rsidP="007B7478">
      <w:pPr>
        <w:jc w:val="center"/>
        <w:rPr>
          <w:sz w:val="32"/>
          <w:szCs w:val="32"/>
        </w:rPr>
      </w:pPr>
      <w:r w:rsidRPr="007B7478">
        <w:rPr>
          <w:b/>
          <w:bCs/>
          <w:sz w:val="32"/>
          <w:szCs w:val="32"/>
        </w:rPr>
        <w:t xml:space="preserve">RÁMCOVÁ SMLOUVA O SPOLUPRÁCI </w:t>
      </w:r>
      <w:r w:rsidR="000A5EB9" w:rsidRPr="007B7478">
        <w:rPr>
          <w:b/>
          <w:bCs/>
          <w:sz w:val="32"/>
          <w:szCs w:val="32"/>
        </w:rPr>
        <w:t>V</w:t>
      </w:r>
      <w:r w:rsidR="000A5EB9">
        <w:rPr>
          <w:b/>
          <w:bCs/>
          <w:sz w:val="32"/>
          <w:szCs w:val="32"/>
        </w:rPr>
        <w:t xml:space="preserve"> OBLASTI</w:t>
      </w:r>
      <w:r w:rsidR="000A5EB9" w:rsidRPr="007B7478">
        <w:rPr>
          <w:b/>
          <w:bCs/>
          <w:sz w:val="32"/>
          <w:szCs w:val="32"/>
        </w:rPr>
        <w:t xml:space="preserve"> </w:t>
      </w:r>
      <w:r w:rsidRPr="007B7478">
        <w:rPr>
          <w:b/>
          <w:bCs/>
          <w:sz w:val="32"/>
          <w:szCs w:val="32"/>
        </w:rPr>
        <w:t xml:space="preserve">VÝZKUMU A </w:t>
      </w:r>
      <w:r w:rsidR="000A5EB9" w:rsidRPr="007B7478">
        <w:rPr>
          <w:b/>
          <w:bCs/>
          <w:sz w:val="32"/>
          <w:szCs w:val="32"/>
        </w:rPr>
        <w:t>VÝVOJ</w:t>
      </w:r>
      <w:r w:rsidR="000A5EB9">
        <w:rPr>
          <w:b/>
          <w:bCs/>
          <w:sz w:val="32"/>
          <w:szCs w:val="32"/>
        </w:rPr>
        <w:t>E</w:t>
      </w:r>
    </w:p>
    <w:p w14:paraId="2A0C2817" w14:textId="77777777" w:rsidR="007B7478" w:rsidRPr="00C775A0" w:rsidRDefault="007B7478" w:rsidP="007B7478"/>
    <w:p w14:paraId="59994C90" w14:textId="4C3FDD81" w:rsidR="00933F00" w:rsidRDefault="00933F00" w:rsidP="00933F00">
      <w:pPr>
        <w:jc w:val="center"/>
      </w:pPr>
      <w:r w:rsidRPr="00933F00">
        <w:t xml:space="preserve">(dále jen </w:t>
      </w:r>
      <w:r w:rsidRPr="00933F00">
        <w:rPr>
          <w:b/>
          <w:bCs/>
        </w:rPr>
        <w:t>„</w:t>
      </w:r>
      <w:r w:rsidR="00BD51F9">
        <w:rPr>
          <w:b/>
          <w:bCs/>
        </w:rPr>
        <w:t>s</w:t>
      </w:r>
      <w:r w:rsidRPr="00933F00">
        <w:rPr>
          <w:b/>
          <w:bCs/>
        </w:rPr>
        <w:t>mlouva“</w:t>
      </w:r>
      <w:r w:rsidRPr="00933F00">
        <w:t>)</w:t>
      </w:r>
    </w:p>
    <w:p w14:paraId="168EB75A" w14:textId="77777777" w:rsidR="009C4F43" w:rsidRPr="00933F00" w:rsidRDefault="009C4F43" w:rsidP="00933F00">
      <w:pPr>
        <w:jc w:val="center"/>
      </w:pPr>
    </w:p>
    <w:p w14:paraId="691B269F" w14:textId="77777777" w:rsidR="00933F00" w:rsidRPr="00933F00" w:rsidRDefault="00933F00" w:rsidP="00933F00">
      <w:pPr>
        <w:jc w:val="center"/>
      </w:pPr>
      <w:r w:rsidRPr="00933F00">
        <w:t xml:space="preserve">uzavřená dle § 1746 odst. 2 zákona č. 89/2012 Sb., občanský zákoník, ve znění pozdějších předpisů (dále jen </w:t>
      </w:r>
      <w:r w:rsidRPr="00933F00">
        <w:rPr>
          <w:b/>
          <w:bCs/>
        </w:rPr>
        <w:t>„Občanský zákoník“</w:t>
      </w:r>
      <w:r w:rsidRPr="00933F00">
        <w:t>)</w:t>
      </w:r>
    </w:p>
    <w:p w14:paraId="2E41CC05" w14:textId="77777777" w:rsidR="007B7478" w:rsidRPr="00C775A0" w:rsidRDefault="007B7478" w:rsidP="007B7478">
      <w:pPr>
        <w:rPr>
          <w:b/>
          <w:bCs/>
        </w:rPr>
      </w:pPr>
    </w:p>
    <w:p w14:paraId="2D3CB894" w14:textId="77777777" w:rsidR="007B7478" w:rsidRPr="00B905A7" w:rsidRDefault="007B7478" w:rsidP="007B7478">
      <w:pPr>
        <w:rPr>
          <w:rFonts w:ascii="Calibri" w:hAnsi="Calibri" w:cs="Calibri"/>
        </w:rPr>
      </w:pPr>
      <w:r w:rsidRPr="00B905A7">
        <w:rPr>
          <w:rFonts w:ascii="Calibri" w:hAnsi="Calibri" w:cs="Calibri"/>
          <w:b/>
          <w:bCs/>
        </w:rPr>
        <w:t>Smluvní strany:</w:t>
      </w:r>
    </w:p>
    <w:p w14:paraId="0D81DAAA" w14:textId="77777777" w:rsidR="006C349A" w:rsidRPr="00B905A7" w:rsidRDefault="006C349A" w:rsidP="007B7478">
      <w:pPr>
        <w:rPr>
          <w:rFonts w:ascii="Calibri" w:hAnsi="Calibri" w:cs="Calibri"/>
          <w:b/>
          <w:bCs/>
        </w:rPr>
      </w:pPr>
    </w:p>
    <w:p w14:paraId="49AE5784" w14:textId="0714C9E8" w:rsidR="007B7478" w:rsidRPr="00B905A7" w:rsidRDefault="007B7478" w:rsidP="007B7478">
      <w:pPr>
        <w:rPr>
          <w:rFonts w:ascii="Calibri" w:hAnsi="Calibri" w:cs="Calibri"/>
        </w:rPr>
      </w:pPr>
      <w:r w:rsidRPr="00B905A7">
        <w:rPr>
          <w:rFonts w:ascii="Calibri" w:hAnsi="Calibri" w:cs="Calibri"/>
          <w:b/>
          <w:bCs/>
        </w:rPr>
        <w:t>Zhotovitel:</w:t>
      </w:r>
      <w:r w:rsidRPr="00B905A7">
        <w:rPr>
          <w:rFonts w:ascii="Calibri" w:hAnsi="Calibri" w:cs="Calibri"/>
        </w:rPr>
        <w:br/>
      </w:r>
      <w:r w:rsidRPr="00B905A7">
        <w:rPr>
          <w:rFonts w:ascii="Calibri" w:hAnsi="Calibri" w:cs="Calibri"/>
          <w:b/>
          <w:bCs/>
        </w:rPr>
        <w:t>Česká zemědělská univerzita v Praze</w:t>
      </w:r>
      <w:r w:rsidRPr="00B905A7">
        <w:rPr>
          <w:rFonts w:ascii="Calibri" w:hAnsi="Calibri" w:cs="Calibri"/>
          <w:b/>
          <w:bCs/>
        </w:rPr>
        <w:br/>
      </w:r>
      <w:r w:rsidRPr="00B905A7">
        <w:rPr>
          <w:rFonts w:ascii="Calibri" w:hAnsi="Calibri" w:cs="Calibri"/>
        </w:rPr>
        <w:t xml:space="preserve">Kamýcká 129, 165 00 Praha </w:t>
      </w:r>
      <w:r w:rsidR="000B0479" w:rsidRPr="00B905A7">
        <w:rPr>
          <w:rFonts w:ascii="Calibri" w:hAnsi="Calibri" w:cs="Calibri"/>
        </w:rPr>
        <w:t>- Suchdol</w:t>
      </w:r>
    </w:p>
    <w:p w14:paraId="2E51E47D" w14:textId="1CDA0C56" w:rsidR="00302663" w:rsidRPr="00B905A7" w:rsidRDefault="007B7478" w:rsidP="007B7478">
      <w:pPr>
        <w:rPr>
          <w:rFonts w:ascii="Calibri" w:hAnsi="Calibri" w:cs="Calibri"/>
        </w:rPr>
      </w:pPr>
      <w:r w:rsidRPr="00B905A7">
        <w:rPr>
          <w:rFonts w:ascii="Calibri" w:hAnsi="Calibri" w:cs="Calibri"/>
        </w:rPr>
        <w:t>IČ</w:t>
      </w:r>
      <w:r w:rsidR="00EE0703" w:rsidRPr="00B905A7">
        <w:rPr>
          <w:rFonts w:ascii="Calibri" w:hAnsi="Calibri" w:cs="Calibri"/>
        </w:rPr>
        <w:t>O</w:t>
      </w:r>
      <w:r w:rsidRPr="00B905A7">
        <w:rPr>
          <w:rFonts w:ascii="Calibri" w:hAnsi="Calibri" w:cs="Calibri"/>
        </w:rPr>
        <w:t>: 60460709</w:t>
      </w:r>
      <w:r w:rsidRPr="00B905A7">
        <w:rPr>
          <w:rFonts w:ascii="Calibri" w:hAnsi="Calibri" w:cs="Calibri"/>
        </w:rPr>
        <w:br/>
        <w:t>DIČ: CZ60460709</w:t>
      </w:r>
    </w:p>
    <w:p w14:paraId="2377671A" w14:textId="1A92B17D" w:rsidR="00EE0703" w:rsidRPr="00B905A7" w:rsidRDefault="00302663" w:rsidP="00EE0703">
      <w:pPr>
        <w:pStyle w:val="Identifikacesmluvnstrany"/>
        <w:ind w:right="142"/>
        <w:rPr>
          <w:rFonts w:ascii="Calibri" w:hAnsi="Calibri" w:cs="Calibri"/>
          <w:b/>
          <w:shd w:val="clear" w:color="auto" w:fill="FFFF00"/>
        </w:rPr>
      </w:pPr>
      <w:r w:rsidRPr="00B905A7">
        <w:rPr>
          <w:rFonts w:ascii="Calibri" w:hAnsi="Calibri" w:cs="Calibri"/>
          <w:lang w:val="cs-CZ"/>
        </w:rPr>
        <w:t xml:space="preserve">Bankovní spojení: </w:t>
      </w:r>
      <w:r w:rsidR="00987735">
        <w:rPr>
          <w:rFonts w:ascii="Calibri" w:hAnsi="Calibri" w:cs="Calibri"/>
          <w:lang w:val="cs-CZ"/>
        </w:rPr>
        <w:t>xxxxx</w:t>
      </w:r>
    </w:p>
    <w:p w14:paraId="23A447C9" w14:textId="1A51481E" w:rsidR="00B63DD9" w:rsidRPr="00B905A7" w:rsidRDefault="00302663" w:rsidP="00B63DD9">
      <w:pPr>
        <w:tabs>
          <w:tab w:val="left" w:pos="3960"/>
        </w:tabs>
        <w:spacing w:after="120"/>
        <w:ind w:right="142"/>
        <w:rPr>
          <w:rFonts w:ascii="Calibri" w:hAnsi="Calibri" w:cs="Calibri"/>
        </w:rPr>
      </w:pPr>
      <w:r w:rsidRPr="00B905A7">
        <w:rPr>
          <w:rFonts w:ascii="Calibri" w:hAnsi="Calibri" w:cs="Calibri"/>
        </w:rPr>
        <w:t>Zastoupený:</w:t>
      </w:r>
      <w:r w:rsidR="00B63DD9" w:rsidRPr="00B905A7">
        <w:rPr>
          <w:rFonts w:ascii="Calibri" w:hAnsi="Calibri" w:cs="Calibri"/>
        </w:rPr>
        <w:t xml:space="preserve"> Ing. Jakub</w:t>
      </w:r>
      <w:r w:rsidR="000A5EB9">
        <w:rPr>
          <w:rFonts w:ascii="Calibri" w:hAnsi="Calibri" w:cs="Calibri"/>
        </w:rPr>
        <w:t>em</w:t>
      </w:r>
      <w:r w:rsidR="00B63DD9" w:rsidRPr="00B905A7">
        <w:rPr>
          <w:rFonts w:ascii="Calibri" w:hAnsi="Calibri" w:cs="Calibri"/>
        </w:rPr>
        <w:t xml:space="preserve"> Kleindienst</w:t>
      </w:r>
      <w:r w:rsidR="000A5EB9">
        <w:rPr>
          <w:rFonts w:ascii="Calibri" w:hAnsi="Calibri" w:cs="Calibri"/>
        </w:rPr>
        <w:t>em</w:t>
      </w:r>
      <w:r w:rsidR="00B63DD9" w:rsidRPr="00B905A7">
        <w:rPr>
          <w:rFonts w:ascii="Calibri" w:hAnsi="Calibri" w:cs="Calibri"/>
        </w:rPr>
        <w:t>, kvestor</w:t>
      </w:r>
      <w:r w:rsidR="000A5EB9">
        <w:rPr>
          <w:rFonts w:ascii="Calibri" w:hAnsi="Calibri" w:cs="Calibri"/>
        </w:rPr>
        <w:t>em</w:t>
      </w:r>
    </w:p>
    <w:p w14:paraId="3EB11831" w14:textId="3B60AB28" w:rsidR="00CB47D9" w:rsidRPr="00B905A7" w:rsidRDefault="00CB47D9" w:rsidP="00B905A7">
      <w:r w:rsidRPr="00B905A7">
        <w:t>(dále jen „</w:t>
      </w:r>
      <w:r w:rsidR="007B245A">
        <w:rPr>
          <w:b/>
          <w:bCs/>
        </w:rPr>
        <w:t>z</w:t>
      </w:r>
      <w:r w:rsidRPr="00B905A7">
        <w:rPr>
          <w:b/>
          <w:bCs/>
        </w:rPr>
        <w:t>hotovitel</w:t>
      </w:r>
      <w:r w:rsidRPr="00B905A7">
        <w:t xml:space="preserve">“) </w:t>
      </w:r>
    </w:p>
    <w:p w14:paraId="62F47028" w14:textId="77777777" w:rsidR="00CB47D9" w:rsidRPr="00B905A7" w:rsidRDefault="00CB47D9" w:rsidP="00B63DD9">
      <w:pPr>
        <w:tabs>
          <w:tab w:val="left" w:pos="3960"/>
        </w:tabs>
        <w:spacing w:after="120"/>
        <w:ind w:right="142"/>
        <w:rPr>
          <w:rFonts w:ascii="Calibri" w:hAnsi="Calibri" w:cs="Calibri"/>
          <w:b/>
          <w:shd w:val="clear" w:color="auto" w:fill="FFFF00"/>
        </w:rPr>
      </w:pPr>
    </w:p>
    <w:p w14:paraId="40603FCA" w14:textId="22166074" w:rsidR="007B7478" w:rsidRPr="00B905A7" w:rsidRDefault="007B245A" w:rsidP="007B7478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B7478" w:rsidRPr="00B905A7">
        <w:rPr>
          <w:rFonts w:ascii="Calibri" w:hAnsi="Calibri" w:cs="Calibri"/>
        </w:rPr>
        <w:br/>
      </w:r>
    </w:p>
    <w:p w14:paraId="7BBBB2E2" w14:textId="77777777" w:rsidR="007B7478" w:rsidRPr="00B905A7" w:rsidRDefault="007B7478" w:rsidP="007B7478">
      <w:pPr>
        <w:rPr>
          <w:rFonts w:ascii="Calibri" w:hAnsi="Calibri" w:cs="Calibri"/>
        </w:rPr>
      </w:pPr>
      <w:r w:rsidRPr="00B905A7">
        <w:rPr>
          <w:rFonts w:ascii="Calibri" w:hAnsi="Calibri" w:cs="Calibri"/>
          <w:b/>
          <w:bCs/>
        </w:rPr>
        <w:t>Objednatel:</w:t>
      </w:r>
      <w:r w:rsidRPr="00B905A7">
        <w:rPr>
          <w:rFonts w:ascii="Calibri" w:hAnsi="Calibri" w:cs="Calibri"/>
        </w:rPr>
        <w:br/>
      </w:r>
      <w:r w:rsidRPr="00B905A7">
        <w:rPr>
          <w:rFonts w:ascii="Calibri" w:hAnsi="Calibri" w:cs="Calibri"/>
          <w:b/>
          <w:bCs/>
        </w:rPr>
        <w:t>HARDWARIO a.s.</w:t>
      </w:r>
      <w:r w:rsidRPr="00B905A7">
        <w:rPr>
          <w:rFonts w:ascii="Calibri" w:hAnsi="Calibri" w:cs="Calibri"/>
        </w:rPr>
        <w:br/>
        <w:t>U Jezu 525/4, Liberec IV-Perštýn, 460 01 Liberec</w:t>
      </w:r>
    </w:p>
    <w:p w14:paraId="6ACA8BAC" w14:textId="7E84E7B3" w:rsidR="007B7478" w:rsidRPr="00B905A7" w:rsidRDefault="007B7478" w:rsidP="007B7478">
      <w:pPr>
        <w:rPr>
          <w:rFonts w:ascii="Calibri" w:hAnsi="Calibri" w:cs="Calibri"/>
        </w:rPr>
      </w:pPr>
      <w:r w:rsidRPr="00B905A7">
        <w:rPr>
          <w:rFonts w:ascii="Calibri" w:hAnsi="Calibri" w:cs="Calibri"/>
        </w:rPr>
        <w:t>IČ</w:t>
      </w:r>
      <w:r w:rsidR="00EE0703" w:rsidRPr="00B905A7">
        <w:rPr>
          <w:rFonts w:ascii="Calibri" w:hAnsi="Calibri" w:cs="Calibri"/>
        </w:rPr>
        <w:t>O</w:t>
      </w:r>
      <w:r w:rsidRPr="00B905A7">
        <w:rPr>
          <w:rFonts w:ascii="Calibri" w:hAnsi="Calibri" w:cs="Calibri"/>
        </w:rPr>
        <w:t>: 04998511</w:t>
      </w:r>
      <w:r w:rsidRPr="00B905A7">
        <w:rPr>
          <w:rFonts w:ascii="Calibri" w:hAnsi="Calibri" w:cs="Calibri"/>
        </w:rPr>
        <w:br/>
        <w:t xml:space="preserve">DIČ: </w:t>
      </w:r>
      <w:r w:rsidR="00BC4CB1" w:rsidRPr="00B905A7">
        <w:rPr>
          <w:rFonts w:ascii="Calibri" w:hAnsi="Calibri" w:cs="Calibri"/>
        </w:rPr>
        <w:t>CZ</w:t>
      </w:r>
      <w:r w:rsidRPr="00B905A7">
        <w:rPr>
          <w:rFonts w:ascii="Calibri" w:hAnsi="Calibri" w:cs="Calibri"/>
        </w:rPr>
        <w:t>04998511</w:t>
      </w:r>
      <w:r w:rsidRPr="00B905A7">
        <w:rPr>
          <w:rFonts w:ascii="Calibri" w:hAnsi="Calibri" w:cs="Calibri"/>
        </w:rPr>
        <w:br/>
        <w:t xml:space="preserve">Bankovní spojení: </w:t>
      </w:r>
      <w:r w:rsidR="00987735">
        <w:rPr>
          <w:rFonts w:ascii="Calibri" w:hAnsi="Calibri" w:cs="Calibri"/>
        </w:rPr>
        <w:t>xxxxx</w:t>
      </w:r>
      <w:r w:rsidRPr="00B905A7">
        <w:rPr>
          <w:rFonts w:ascii="Calibri" w:hAnsi="Calibri" w:cs="Calibri"/>
        </w:rPr>
        <w:br/>
        <w:t>Zastoupený:</w:t>
      </w:r>
      <w:r w:rsidR="00960709" w:rsidRPr="00B905A7">
        <w:rPr>
          <w:rFonts w:ascii="Calibri" w:hAnsi="Calibri" w:cs="Calibri"/>
        </w:rPr>
        <w:t xml:space="preserve"> Pavel Hübner, předseda správní rady</w:t>
      </w:r>
    </w:p>
    <w:p w14:paraId="301674F4" w14:textId="05279B76" w:rsidR="00712E1E" w:rsidRPr="00B905A7" w:rsidRDefault="00712E1E" w:rsidP="00712E1E">
      <w:pPr>
        <w:jc w:val="both"/>
        <w:rPr>
          <w:rFonts w:ascii="Calibri" w:hAnsi="Calibri" w:cs="Calibri"/>
        </w:rPr>
      </w:pPr>
      <w:r w:rsidRPr="00B905A7">
        <w:rPr>
          <w:rFonts w:ascii="Calibri" w:hAnsi="Calibri" w:cs="Calibri"/>
        </w:rPr>
        <w:t xml:space="preserve">(dále jen </w:t>
      </w:r>
      <w:r w:rsidRPr="00B905A7">
        <w:rPr>
          <w:rFonts w:ascii="Calibri" w:hAnsi="Calibri" w:cs="Calibri"/>
          <w:b/>
          <w:bCs/>
        </w:rPr>
        <w:t>„</w:t>
      </w:r>
      <w:r w:rsidR="007B245A" w:rsidRPr="00BD51F9">
        <w:rPr>
          <w:rFonts w:ascii="Calibri" w:hAnsi="Calibri" w:cs="Calibri"/>
          <w:b/>
          <w:bCs/>
        </w:rPr>
        <w:t>o</w:t>
      </w:r>
      <w:r w:rsidRPr="00B905A7">
        <w:rPr>
          <w:rFonts w:ascii="Calibri" w:hAnsi="Calibri" w:cs="Calibri"/>
          <w:b/>
          <w:bCs/>
        </w:rPr>
        <w:t>bjednatel</w:t>
      </w:r>
      <w:r w:rsidRPr="00B905A7">
        <w:rPr>
          <w:rFonts w:ascii="Calibri" w:hAnsi="Calibri" w:cs="Calibri"/>
        </w:rPr>
        <w:t xml:space="preserve">“) </w:t>
      </w:r>
    </w:p>
    <w:p w14:paraId="500DC545" w14:textId="77777777" w:rsidR="00351151" w:rsidRPr="00B905A7" w:rsidRDefault="00351151" w:rsidP="00302663">
      <w:pPr>
        <w:jc w:val="both"/>
      </w:pPr>
    </w:p>
    <w:p w14:paraId="773DF17B" w14:textId="66C8CA4B" w:rsidR="007B245A" w:rsidRPr="00B905A7" w:rsidRDefault="007B245A" w:rsidP="007B245A">
      <w:pPr>
        <w:tabs>
          <w:tab w:val="left" w:pos="3960"/>
        </w:tabs>
        <w:spacing w:after="120"/>
        <w:ind w:right="142"/>
        <w:rPr>
          <w:rFonts w:ascii="Calibri" w:hAnsi="Calibri" w:cs="Calibri"/>
          <w:shd w:val="clear" w:color="auto" w:fill="FFFF00"/>
        </w:rPr>
      </w:pPr>
      <w:r w:rsidRPr="00B905A7">
        <w:t>(společně dále také jako „</w:t>
      </w:r>
      <w:r w:rsidRPr="00BD51F9">
        <w:rPr>
          <w:b/>
          <w:bCs/>
        </w:rPr>
        <w:t>s</w:t>
      </w:r>
      <w:r w:rsidRPr="00B905A7">
        <w:rPr>
          <w:b/>
          <w:bCs/>
        </w:rPr>
        <w:t>mluvní strany</w:t>
      </w:r>
      <w:r w:rsidRPr="00B905A7">
        <w:t>“)</w:t>
      </w:r>
    </w:p>
    <w:p w14:paraId="152D89D4" w14:textId="77777777" w:rsidR="007B245A" w:rsidRDefault="007B245A" w:rsidP="00302663">
      <w:pPr>
        <w:jc w:val="both"/>
        <w:rPr>
          <w:b/>
          <w:bCs/>
        </w:rPr>
      </w:pPr>
    </w:p>
    <w:p w14:paraId="3B55CE32" w14:textId="77777777" w:rsidR="007B7478" w:rsidRPr="007B7478" w:rsidRDefault="007B7478" w:rsidP="00960709">
      <w:pPr>
        <w:jc w:val="center"/>
      </w:pPr>
      <w:r w:rsidRPr="007B7478">
        <w:rPr>
          <w:b/>
          <w:bCs/>
        </w:rPr>
        <w:t>I. Předmět smlouvy:</w:t>
      </w:r>
    </w:p>
    <w:p w14:paraId="65D41DBE" w14:textId="77777777" w:rsidR="006C349A" w:rsidRPr="00C775A0" w:rsidRDefault="006C349A" w:rsidP="00302663">
      <w:pPr>
        <w:jc w:val="both"/>
      </w:pPr>
    </w:p>
    <w:p w14:paraId="4096CFFA" w14:textId="0451DFFD" w:rsidR="00302663" w:rsidRDefault="00DC077C" w:rsidP="00DC077C">
      <w:pPr>
        <w:ind w:left="720" w:hanging="720"/>
        <w:jc w:val="both"/>
      </w:pPr>
      <w:r>
        <w:t>1.1</w:t>
      </w:r>
      <w:r>
        <w:tab/>
      </w:r>
      <w:r w:rsidR="00302663" w:rsidRPr="00F3501F">
        <w:t xml:space="preserve">Objednatel vyvíjí systémové řešení v oblasti precizního zemědělství, </w:t>
      </w:r>
      <w:r w:rsidR="00302663">
        <w:t xml:space="preserve">konkrétně v oblasti kvalitativního upgradu </w:t>
      </w:r>
      <w:r w:rsidR="00302663" w:rsidRPr="00F3501F">
        <w:t>pěstebních světel v</w:t>
      </w:r>
      <w:r w:rsidR="00302663">
        <w:t> skleníkových (</w:t>
      </w:r>
      <w:r w:rsidR="00302663" w:rsidRPr="00F3501F">
        <w:t>krytých</w:t>
      </w:r>
      <w:r w:rsidR="00302663">
        <w:t>)</w:t>
      </w:r>
      <w:r w:rsidR="00302663" w:rsidRPr="00F3501F">
        <w:t xml:space="preserve"> plochách</w:t>
      </w:r>
      <w:r w:rsidR="00302663">
        <w:t xml:space="preserve"> tzv. 1. generace</w:t>
      </w:r>
      <w:r w:rsidR="00302663" w:rsidRPr="00F3501F">
        <w:t>,</w:t>
      </w:r>
      <w:r w:rsidR="00302663">
        <w:t xml:space="preserve"> na úroveň standartu pěstebních světel tzv. 2. generace. A tedy zajištění jejich bezdrátového síťového propojení do inteligentní, řídicí sítě. Další schopností upgradu spočívají v zajištění dimmingu (stmívání světel), společně s jejich diagnostikou. Zároveň světla budou vybavená rádiovou IoT mesh sítí, která umožní začleňovat do systému další externí aplikace a řešení pro vytváření inteligentních a automatizovaných skleníkových (krytých) pěstebních ploch. </w:t>
      </w:r>
      <w:r w:rsidR="00302663" w:rsidRPr="00F3501F">
        <w:t>Hlavním účelem těchto aplikací bude snížení energetické náročnosti svícení v pěstebním provozu, zefektivnění výroby zvýšení</w:t>
      </w:r>
      <w:r w:rsidR="00302663">
        <w:t>m</w:t>
      </w:r>
      <w:r w:rsidR="00302663" w:rsidRPr="00F3501F">
        <w:t xml:space="preserve"> výnosů plodin, snížení rozsahu jejich poškození z důvodu nedostatku světla či naopak nadměrné závlahy a prodloužení životního cyklu rostlin.</w:t>
      </w:r>
    </w:p>
    <w:p w14:paraId="6D7DE9AD" w14:textId="77777777" w:rsidR="00634578" w:rsidRDefault="00634578" w:rsidP="00DC077C">
      <w:pPr>
        <w:ind w:left="720" w:hanging="720"/>
        <w:jc w:val="both"/>
      </w:pPr>
    </w:p>
    <w:p w14:paraId="06E271AC" w14:textId="09AA0CFC" w:rsidR="00960709" w:rsidRDefault="00DC077C" w:rsidP="00DC077C">
      <w:pPr>
        <w:ind w:left="720" w:hanging="720"/>
        <w:jc w:val="both"/>
      </w:pPr>
      <w:r>
        <w:lastRenderedPageBreak/>
        <w:t>1.2</w:t>
      </w:r>
      <w:r>
        <w:tab/>
      </w:r>
      <w:r w:rsidR="007B7478" w:rsidRPr="00960709">
        <w:t xml:space="preserve">Předmětem této smlouvy je rámcové nastavení spolupráce mezi zhotovitelem a objednatelem v oblasti výzkumu a vývoje technologií pro precizní zemědělství, se zvláštním důrazem na </w:t>
      </w:r>
      <w:r w:rsidR="00960709">
        <w:t xml:space="preserve">pěstební světla, </w:t>
      </w:r>
      <w:r w:rsidR="007B7478" w:rsidRPr="00960709">
        <w:t>systémy internetu věcí (IoT) a jejich aplikaci ve skleníkovém hospodaření.</w:t>
      </w:r>
    </w:p>
    <w:p w14:paraId="382F8E4E" w14:textId="77777777" w:rsidR="00960709" w:rsidRPr="00960709" w:rsidRDefault="00960709" w:rsidP="00DC077C">
      <w:pPr>
        <w:ind w:left="720" w:hanging="720"/>
        <w:jc w:val="both"/>
      </w:pPr>
    </w:p>
    <w:p w14:paraId="35FCD1AE" w14:textId="1E18DA48" w:rsidR="00960709" w:rsidRDefault="00DC077C" w:rsidP="00DC077C">
      <w:pPr>
        <w:ind w:left="720" w:hanging="720"/>
        <w:jc w:val="both"/>
      </w:pPr>
      <w:r>
        <w:t>1.3</w:t>
      </w:r>
      <w:r>
        <w:tab/>
      </w:r>
      <w:r w:rsidR="007B7478" w:rsidRPr="00960709">
        <w:t>Na základě této rámcové smlouvy mohou být uzavírány jednotlivé objednávky</w:t>
      </w:r>
      <w:r w:rsidR="00510BD8">
        <w:t xml:space="preserve"> ve formě písemn</w:t>
      </w:r>
      <w:r w:rsidR="006C14A1">
        <w:t>é</w:t>
      </w:r>
      <w:r w:rsidR="00510BD8">
        <w:t xml:space="preserve"> akceptace </w:t>
      </w:r>
      <w:r w:rsidR="006C14A1">
        <w:t xml:space="preserve">objednávky </w:t>
      </w:r>
      <w:r w:rsidR="00AB134A">
        <w:t xml:space="preserve">ze strany </w:t>
      </w:r>
      <w:r w:rsidR="00510BD8">
        <w:t xml:space="preserve">zhotovitele </w:t>
      </w:r>
      <w:r w:rsidR="007B7478" w:rsidRPr="00960709">
        <w:t xml:space="preserve">nebo </w:t>
      </w:r>
      <w:r w:rsidR="00AD08BC">
        <w:t xml:space="preserve">samostatné </w:t>
      </w:r>
      <w:r w:rsidR="007B7478" w:rsidRPr="00960709">
        <w:t>smlouvy o dílo, jejichž obsahem budou specifické výzkumně-vývojové úkoly</w:t>
      </w:r>
      <w:r w:rsidR="00F72559">
        <w:t xml:space="preserve">, termíny plnění a </w:t>
      </w:r>
      <w:r w:rsidR="008F0B12">
        <w:t>cena prací</w:t>
      </w:r>
      <w:r w:rsidR="009717A5">
        <w:t xml:space="preserve"> zhot</w:t>
      </w:r>
      <w:r w:rsidR="000A6F6D">
        <w:t>o</w:t>
      </w:r>
      <w:r w:rsidR="009717A5">
        <w:t>vitele</w:t>
      </w:r>
      <w:r w:rsidR="007B7478" w:rsidRPr="00960709">
        <w:t>.</w:t>
      </w:r>
    </w:p>
    <w:p w14:paraId="3F04E045" w14:textId="77777777" w:rsidR="00960709" w:rsidRPr="00960709" w:rsidRDefault="00960709" w:rsidP="00960709">
      <w:pPr>
        <w:pStyle w:val="Odstavecseseznamem"/>
        <w:rPr>
          <w:highlight w:val="yellow"/>
        </w:rPr>
      </w:pPr>
    </w:p>
    <w:p w14:paraId="1B92913C" w14:textId="50ED13D9" w:rsidR="00351151" w:rsidRPr="00960709" w:rsidRDefault="00DC077C" w:rsidP="00DC077C">
      <w:pPr>
        <w:ind w:left="720" w:hanging="720"/>
        <w:jc w:val="both"/>
      </w:pPr>
      <w:r>
        <w:t>1.4</w:t>
      </w:r>
      <w:r>
        <w:tab/>
      </w:r>
      <w:r w:rsidR="00351151" w:rsidRPr="00960709">
        <w:t xml:space="preserve">První objednávkou bude zadání studie proveditelnosti, jejímž cílem bude posouzení vlivu regulace intenzity osvětlení (dimmingu) LED růstových světel na fotosyntézu pěstovaných plodin. Předpokládaná hodnota </w:t>
      </w:r>
      <w:r w:rsidR="008F0B12">
        <w:t>plnění</w:t>
      </w:r>
      <w:r w:rsidR="00351151" w:rsidRPr="00960709">
        <w:t xml:space="preserve"> je 250 000 Kč bez DPH.</w:t>
      </w:r>
    </w:p>
    <w:p w14:paraId="37C0AE2D" w14:textId="77777777" w:rsidR="00351151" w:rsidRPr="00C775A0" w:rsidRDefault="00351151" w:rsidP="00302663">
      <w:pPr>
        <w:jc w:val="both"/>
        <w:rPr>
          <w:b/>
          <w:bCs/>
        </w:rPr>
      </w:pPr>
    </w:p>
    <w:p w14:paraId="75E6C0EC" w14:textId="26552652" w:rsidR="007B7478" w:rsidRPr="00C775A0" w:rsidRDefault="007B7478" w:rsidP="00960709">
      <w:pPr>
        <w:jc w:val="center"/>
        <w:rPr>
          <w:b/>
          <w:bCs/>
        </w:rPr>
      </w:pPr>
      <w:r w:rsidRPr="007B7478">
        <w:rPr>
          <w:b/>
          <w:bCs/>
        </w:rPr>
        <w:t xml:space="preserve">II. Doba </w:t>
      </w:r>
      <w:r w:rsidR="00626C15">
        <w:rPr>
          <w:b/>
          <w:bCs/>
        </w:rPr>
        <w:t xml:space="preserve">trvání smlouvy a </w:t>
      </w:r>
      <w:r w:rsidRPr="007B7478">
        <w:rPr>
          <w:b/>
          <w:bCs/>
        </w:rPr>
        <w:t>plnění:</w:t>
      </w:r>
    </w:p>
    <w:p w14:paraId="30841000" w14:textId="77777777" w:rsidR="006C349A" w:rsidRPr="007B7478" w:rsidRDefault="006C349A" w:rsidP="00302663">
      <w:pPr>
        <w:jc w:val="both"/>
      </w:pPr>
    </w:p>
    <w:p w14:paraId="5566A9FD" w14:textId="14F5CAC5" w:rsidR="007B7478" w:rsidRDefault="007B7478" w:rsidP="00DC077C">
      <w:pPr>
        <w:ind w:left="720" w:hanging="720"/>
        <w:jc w:val="both"/>
      </w:pPr>
      <w:r w:rsidRPr="007B7478">
        <w:t>2.1</w:t>
      </w:r>
      <w:r w:rsidR="00277C75">
        <w:tab/>
      </w:r>
      <w:r w:rsidRPr="007B7478">
        <w:t xml:space="preserve">Tato smlouva se uzavírá na dobu </w:t>
      </w:r>
      <w:r w:rsidR="006C349A" w:rsidRPr="00C775A0">
        <w:t>ne</w:t>
      </w:r>
      <w:r w:rsidRPr="007B7478">
        <w:t>určitou</w:t>
      </w:r>
      <w:r w:rsidR="003455DF">
        <w:t xml:space="preserve"> a může být </w:t>
      </w:r>
      <w:r w:rsidR="008F0B12">
        <w:t xml:space="preserve">kdykoliv </w:t>
      </w:r>
      <w:r w:rsidR="003455DF">
        <w:t xml:space="preserve">ukončena </w:t>
      </w:r>
      <w:r w:rsidR="00277C75">
        <w:t xml:space="preserve">postupem </w:t>
      </w:r>
      <w:r w:rsidRPr="007B7478">
        <w:t>dle čl. V</w:t>
      </w:r>
      <w:r w:rsidR="00277C75">
        <w:t xml:space="preserve"> smlouvy</w:t>
      </w:r>
      <w:r w:rsidRPr="007B7478">
        <w:t>.</w:t>
      </w:r>
    </w:p>
    <w:p w14:paraId="4434FA07" w14:textId="77777777" w:rsidR="00277C75" w:rsidRDefault="00277C75" w:rsidP="00302663">
      <w:pPr>
        <w:jc w:val="both"/>
      </w:pPr>
    </w:p>
    <w:p w14:paraId="5118190B" w14:textId="112BCA74" w:rsidR="00277C75" w:rsidRPr="007B7478" w:rsidRDefault="00277C75" w:rsidP="00DC077C">
      <w:pPr>
        <w:ind w:left="720" w:hanging="720"/>
        <w:jc w:val="both"/>
      </w:pPr>
      <w:r>
        <w:t>2.2</w:t>
      </w:r>
      <w:r>
        <w:tab/>
        <w:t xml:space="preserve">Jednotlivé termíny plnění budou </w:t>
      </w:r>
      <w:r w:rsidR="001A2DFA">
        <w:t>sjednány v</w:t>
      </w:r>
      <w:r w:rsidR="000A6F6D">
        <w:t xml:space="preserve"> rámci </w:t>
      </w:r>
      <w:r w:rsidR="000F5F58">
        <w:t xml:space="preserve">každé </w:t>
      </w:r>
      <w:r w:rsidR="000A6F6D">
        <w:t xml:space="preserve">akceptované objednávky zhotovitelem nebo v rámci </w:t>
      </w:r>
      <w:r w:rsidR="00476C68">
        <w:t xml:space="preserve">každé samostatně </w:t>
      </w:r>
      <w:r w:rsidR="000F5F58">
        <w:t>uzavírané smlouvy o dílo.</w:t>
      </w:r>
    </w:p>
    <w:p w14:paraId="75C97576" w14:textId="77777777" w:rsidR="00351151" w:rsidRDefault="00351151" w:rsidP="00302663">
      <w:pPr>
        <w:jc w:val="both"/>
        <w:rPr>
          <w:b/>
          <w:bCs/>
        </w:rPr>
      </w:pPr>
    </w:p>
    <w:p w14:paraId="6A155A99" w14:textId="77777777" w:rsidR="007B7478" w:rsidRPr="00C775A0" w:rsidRDefault="007B7478" w:rsidP="00960709">
      <w:pPr>
        <w:jc w:val="center"/>
        <w:rPr>
          <w:b/>
          <w:bCs/>
        </w:rPr>
      </w:pPr>
      <w:r w:rsidRPr="007B7478">
        <w:rPr>
          <w:b/>
          <w:bCs/>
        </w:rPr>
        <w:t>III. Odměna a platební podmínky:</w:t>
      </w:r>
    </w:p>
    <w:p w14:paraId="5041A255" w14:textId="77777777" w:rsidR="006C349A" w:rsidRPr="007B7478" w:rsidRDefault="006C349A" w:rsidP="00302663">
      <w:pPr>
        <w:jc w:val="both"/>
      </w:pPr>
    </w:p>
    <w:p w14:paraId="00FD864D" w14:textId="0A491836" w:rsidR="007B7478" w:rsidRPr="00C775A0" w:rsidRDefault="007B7478" w:rsidP="00DC077C">
      <w:pPr>
        <w:ind w:left="720" w:hanging="720"/>
        <w:jc w:val="both"/>
      </w:pPr>
      <w:r w:rsidRPr="007B7478">
        <w:t>3.1</w:t>
      </w:r>
      <w:r w:rsidR="00DC077C">
        <w:tab/>
      </w:r>
      <w:r w:rsidRPr="007B7478">
        <w:t>Za jednotliv</w:t>
      </w:r>
      <w:r w:rsidR="008C3C9A">
        <w:t>é</w:t>
      </w:r>
      <w:r w:rsidRPr="007B7478">
        <w:t xml:space="preserve"> </w:t>
      </w:r>
      <w:r w:rsidR="00A67528" w:rsidRPr="00960709">
        <w:t xml:space="preserve">výzkumně-vývojové </w:t>
      </w:r>
      <w:r w:rsidRPr="007B7478">
        <w:t xml:space="preserve">úkony </w:t>
      </w:r>
      <w:r w:rsidR="00DA4E9E">
        <w:t xml:space="preserve">zhotovitele </w:t>
      </w:r>
      <w:r w:rsidRPr="007B7478">
        <w:t xml:space="preserve">bude cena sjednávána samostatně v příslušné objednávce </w:t>
      </w:r>
      <w:r w:rsidR="00DA4E9E">
        <w:t xml:space="preserve">akceptované zhotovitelem </w:t>
      </w:r>
      <w:r w:rsidRPr="007B7478">
        <w:t xml:space="preserve">nebo </w:t>
      </w:r>
      <w:r w:rsidR="00DA4E9E">
        <w:t xml:space="preserve">ve </w:t>
      </w:r>
      <w:r w:rsidRPr="007B7478">
        <w:t>smlouvě.</w:t>
      </w:r>
    </w:p>
    <w:p w14:paraId="1915EF46" w14:textId="77777777" w:rsidR="006C349A" w:rsidRPr="007B7478" w:rsidRDefault="006C349A" w:rsidP="00302663">
      <w:pPr>
        <w:jc w:val="both"/>
      </w:pPr>
    </w:p>
    <w:p w14:paraId="798905DA" w14:textId="11D7EADF" w:rsidR="007B7478" w:rsidRPr="00C775A0" w:rsidRDefault="007B7478" w:rsidP="00DC077C">
      <w:pPr>
        <w:ind w:left="720" w:hanging="720"/>
        <w:jc w:val="both"/>
      </w:pPr>
      <w:r w:rsidRPr="007B7478">
        <w:t>3.2</w:t>
      </w:r>
      <w:r w:rsidR="00DC077C">
        <w:tab/>
      </w:r>
      <w:r w:rsidRPr="007B7478">
        <w:t>Platba bude realizována na základě daňového dokladu (faktury) vystavené zhotovitelem, se splatností 14 dní od doručení objednateli.</w:t>
      </w:r>
    </w:p>
    <w:p w14:paraId="1142E360" w14:textId="77777777" w:rsidR="006C349A" w:rsidRPr="007B7478" w:rsidRDefault="006C349A" w:rsidP="00302663">
      <w:pPr>
        <w:jc w:val="both"/>
      </w:pPr>
    </w:p>
    <w:p w14:paraId="4E19A28E" w14:textId="77777777" w:rsidR="007B7478" w:rsidRPr="00C775A0" w:rsidRDefault="007B7478" w:rsidP="00960709">
      <w:pPr>
        <w:jc w:val="center"/>
        <w:rPr>
          <w:b/>
          <w:bCs/>
        </w:rPr>
      </w:pPr>
      <w:r w:rsidRPr="007B7478">
        <w:rPr>
          <w:b/>
          <w:bCs/>
        </w:rPr>
        <w:t>IV. Práva a povinnosti smluvních stran:</w:t>
      </w:r>
    </w:p>
    <w:p w14:paraId="487E02C5" w14:textId="77777777" w:rsidR="006C349A" w:rsidRPr="007B7478" w:rsidRDefault="006C349A" w:rsidP="00302663">
      <w:pPr>
        <w:jc w:val="both"/>
      </w:pPr>
    </w:p>
    <w:p w14:paraId="253D0999" w14:textId="235A2FB3" w:rsidR="007B7478" w:rsidRPr="007B7478" w:rsidRDefault="007B7478" w:rsidP="00302663">
      <w:pPr>
        <w:jc w:val="both"/>
      </w:pPr>
      <w:r w:rsidRPr="007B7478">
        <w:t>4.1</w:t>
      </w:r>
      <w:r w:rsidR="00DC077C">
        <w:tab/>
      </w:r>
      <w:r w:rsidRPr="007B7478">
        <w:t>Zhotovitel se zavazuje:</w:t>
      </w:r>
    </w:p>
    <w:p w14:paraId="31A5F7BE" w14:textId="77777777" w:rsidR="007B7478" w:rsidRPr="007B7478" w:rsidRDefault="007B7478" w:rsidP="00302663">
      <w:pPr>
        <w:numPr>
          <w:ilvl w:val="0"/>
          <w:numId w:val="2"/>
        </w:numPr>
        <w:jc w:val="both"/>
      </w:pPr>
      <w:r w:rsidRPr="007B7478">
        <w:t>zajistit provedení sjednaných výzkumných prací na odborné úrovni a v souladu s platnými předpisy,</w:t>
      </w:r>
    </w:p>
    <w:p w14:paraId="471E009A" w14:textId="77777777" w:rsidR="007B7478" w:rsidRPr="007B7478" w:rsidRDefault="007B7478" w:rsidP="00302663">
      <w:pPr>
        <w:numPr>
          <w:ilvl w:val="0"/>
          <w:numId w:val="2"/>
        </w:numPr>
        <w:jc w:val="both"/>
      </w:pPr>
      <w:r w:rsidRPr="007B7478">
        <w:t xml:space="preserve">předkládat objednateli výsledky </w:t>
      </w:r>
      <w:r w:rsidR="00C775A0" w:rsidRPr="007B7478">
        <w:t>pr</w:t>
      </w:r>
      <w:r w:rsidR="00C775A0" w:rsidRPr="00C775A0">
        <w:t>ů</w:t>
      </w:r>
      <w:r w:rsidR="00C775A0" w:rsidRPr="007B7478">
        <w:t>běžně</w:t>
      </w:r>
      <w:r w:rsidRPr="007B7478">
        <w:t xml:space="preserve"> dle dohodnutého harmonogramu,</w:t>
      </w:r>
    </w:p>
    <w:p w14:paraId="6509DFD9" w14:textId="77777777" w:rsidR="007B7478" w:rsidRPr="00C775A0" w:rsidRDefault="007B7478" w:rsidP="00302663">
      <w:pPr>
        <w:numPr>
          <w:ilvl w:val="0"/>
          <w:numId w:val="2"/>
        </w:numPr>
        <w:jc w:val="both"/>
      </w:pPr>
      <w:r w:rsidRPr="007B7478">
        <w:t>zachovávat mlčenlivost o neveřejných informacích a datech získaných během spolupráce.</w:t>
      </w:r>
    </w:p>
    <w:p w14:paraId="46DD61BF" w14:textId="77777777" w:rsidR="006C349A" w:rsidRPr="007B7478" w:rsidRDefault="006C349A" w:rsidP="00302663">
      <w:pPr>
        <w:ind w:left="720"/>
        <w:jc w:val="both"/>
      </w:pPr>
    </w:p>
    <w:p w14:paraId="35FBB507" w14:textId="55E4B2D4" w:rsidR="007B7478" w:rsidRPr="007B7478" w:rsidRDefault="007B7478" w:rsidP="00302663">
      <w:pPr>
        <w:jc w:val="both"/>
      </w:pPr>
      <w:r w:rsidRPr="007B7478">
        <w:t>4.2</w:t>
      </w:r>
      <w:r w:rsidR="00DC077C">
        <w:tab/>
      </w:r>
      <w:r w:rsidRPr="007B7478">
        <w:t>Objednatel se zavazuje:</w:t>
      </w:r>
    </w:p>
    <w:p w14:paraId="145CA2D0" w14:textId="77777777" w:rsidR="007B7478" w:rsidRPr="007B7478" w:rsidRDefault="007B7478" w:rsidP="00302663">
      <w:pPr>
        <w:numPr>
          <w:ilvl w:val="0"/>
          <w:numId w:val="3"/>
        </w:numPr>
        <w:jc w:val="both"/>
      </w:pPr>
      <w:r w:rsidRPr="007B7478">
        <w:t>poskytovat součinnost nezbytnou pro řádné plnění smlouvy,</w:t>
      </w:r>
    </w:p>
    <w:p w14:paraId="40DED42A" w14:textId="05BCC74F" w:rsidR="007B7478" w:rsidRPr="007B7478" w:rsidRDefault="007B7478" w:rsidP="00302663">
      <w:pPr>
        <w:numPr>
          <w:ilvl w:val="0"/>
          <w:numId w:val="3"/>
        </w:numPr>
        <w:jc w:val="both"/>
      </w:pPr>
      <w:r w:rsidRPr="007B7478">
        <w:t>řádně a včas hradit sjednanou odměnu dle čl. III.</w:t>
      </w:r>
      <w:r w:rsidR="00642397">
        <w:t xml:space="preserve"> smlouvy.</w:t>
      </w:r>
    </w:p>
    <w:p w14:paraId="6357F425" w14:textId="66E431B1" w:rsidR="00DC077C" w:rsidRDefault="00DC077C">
      <w:pPr>
        <w:rPr>
          <w:b/>
          <w:bCs/>
        </w:rPr>
      </w:pPr>
      <w:r>
        <w:rPr>
          <w:b/>
          <w:bCs/>
        </w:rPr>
        <w:br w:type="page"/>
      </w:r>
    </w:p>
    <w:p w14:paraId="5B535334" w14:textId="77777777" w:rsidR="00351151" w:rsidRPr="00C775A0" w:rsidRDefault="00351151" w:rsidP="00302663">
      <w:pPr>
        <w:jc w:val="both"/>
        <w:rPr>
          <w:b/>
          <w:bCs/>
        </w:rPr>
      </w:pPr>
    </w:p>
    <w:p w14:paraId="403E1232" w14:textId="77777777" w:rsidR="007B7478" w:rsidRPr="007B7478" w:rsidRDefault="007B7478" w:rsidP="00960709">
      <w:pPr>
        <w:jc w:val="center"/>
      </w:pPr>
      <w:r w:rsidRPr="007B7478">
        <w:rPr>
          <w:b/>
          <w:bCs/>
        </w:rPr>
        <w:t>V. Závěrečná ustanovení:</w:t>
      </w:r>
    </w:p>
    <w:p w14:paraId="284CF171" w14:textId="77777777" w:rsidR="006C349A" w:rsidRPr="00C775A0" w:rsidRDefault="006C349A" w:rsidP="00302663">
      <w:pPr>
        <w:jc w:val="both"/>
      </w:pPr>
    </w:p>
    <w:p w14:paraId="2AD73765" w14:textId="41AD4FD3" w:rsidR="007B7478" w:rsidRPr="00FC509B" w:rsidRDefault="007B7478" w:rsidP="00642397">
      <w:pPr>
        <w:ind w:left="720" w:hanging="720"/>
        <w:jc w:val="both"/>
      </w:pPr>
      <w:r w:rsidRPr="00FC509B">
        <w:t>5.1</w:t>
      </w:r>
      <w:r w:rsidR="00DC077C" w:rsidRPr="00FC509B">
        <w:tab/>
      </w:r>
      <w:r w:rsidRPr="00FC509B">
        <w:t xml:space="preserve">Smlouvu lze ukončit písemnou výpovědí </w:t>
      </w:r>
      <w:r w:rsidR="00352EA4" w:rsidRPr="00FC509B">
        <w:t xml:space="preserve">bez </w:t>
      </w:r>
      <w:r w:rsidR="001862A3" w:rsidRPr="00FC509B">
        <w:t xml:space="preserve">udání důvodu </w:t>
      </w:r>
      <w:r w:rsidRPr="00FC509B">
        <w:t xml:space="preserve">kterékoliv ze stran s </w:t>
      </w:r>
      <w:r w:rsidR="00C775A0" w:rsidRPr="00FC509B">
        <w:t>dvouměsíční</w:t>
      </w:r>
      <w:r w:rsidRPr="00FC509B">
        <w:t xml:space="preserve"> výpovědní lhůtou.</w:t>
      </w:r>
    </w:p>
    <w:p w14:paraId="1D74F223" w14:textId="77777777" w:rsidR="006C349A" w:rsidRPr="00FC509B" w:rsidRDefault="006C349A" w:rsidP="00302663">
      <w:pPr>
        <w:jc w:val="both"/>
      </w:pPr>
    </w:p>
    <w:p w14:paraId="3D8DCA40" w14:textId="30DC1F34" w:rsidR="00FC509B" w:rsidRPr="00FC509B" w:rsidRDefault="007B7478" w:rsidP="00FC509B">
      <w:pPr>
        <w:ind w:left="720" w:hanging="720"/>
        <w:jc w:val="both"/>
      </w:pPr>
      <w:r w:rsidRPr="00FC509B">
        <w:t>5.2</w:t>
      </w:r>
      <w:r w:rsidR="00642397" w:rsidRPr="00FC509B">
        <w:tab/>
      </w:r>
      <w:r w:rsidR="005042AD" w:rsidRPr="005042AD">
        <w:t xml:space="preserve">Smlouva nabývá platnosti a účinnosti dnem podpisu </w:t>
      </w:r>
      <w:r w:rsidR="005042AD" w:rsidRPr="00FC509B">
        <w:t>s</w:t>
      </w:r>
      <w:r w:rsidR="005042AD" w:rsidRPr="005042AD">
        <w:t xml:space="preserve">mlouvy oprávněnými zástupci obou </w:t>
      </w:r>
      <w:r w:rsidR="005042AD" w:rsidRPr="00FC509B">
        <w:t>s</w:t>
      </w:r>
      <w:r w:rsidR="005042AD" w:rsidRPr="005042AD">
        <w:t xml:space="preserve">mluvních stran. V případě, že </w:t>
      </w:r>
      <w:r w:rsidR="005042AD" w:rsidRPr="00FC509B">
        <w:t>s</w:t>
      </w:r>
      <w:r w:rsidR="005042AD" w:rsidRPr="005042AD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</w:p>
    <w:p w14:paraId="7F368DBD" w14:textId="77777777" w:rsidR="00FC509B" w:rsidRPr="00FC509B" w:rsidRDefault="00FC509B" w:rsidP="00FC509B">
      <w:pPr>
        <w:ind w:left="720" w:hanging="720"/>
        <w:jc w:val="both"/>
      </w:pPr>
    </w:p>
    <w:p w14:paraId="4566DC16" w14:textId="7B933845" w:rsidR="00FC509B" w:rsidRPr="00FC509B" w:rsidRDefault="00FC509B" w:rsidP="00FC509B">
      <w:pPr>
        <w:ind w:left="720" w:hanging="720"/>
        <w:jc w:val="both"/>
      </w:pPr>
      <w:r w:rsidRPr="00FC509B">
        <w:rPr>
          <w:rFonts w:ascii="Calibri" w:hAnsi="Calibri" w:cs="Arial"/>
        </w:rPr>
        <w:t>5.3</w:t>
      </w:r>
      <w:r w:rsidRPr="00FC509B">
        <w:rPr>
          <w:rFonts w:ascii="Calibri" w:hAnsi="Calibri" w:cs="Arial"/>
        </w:rPr>
        <w:tab/>
      </w:r>
      <w:r w:rsidR="00642397" w:rsidRPr="00FC509B">
        <w:rPr>
          <w:rFonts w:ascii="Calibri" w:hAnsi="Calibri" w:cs="Arial"/>
        </w:rPr>
        <w:t>Z</w:t>
      </w:r>
      <w:r w:rsidR="00D32495" w:rsidRPr="00FC509B">
        <w:rPr>
          <w:rFonts w:ascii="Calibri" w:hAnsi="Calibri" w:cs="Arial"/>
        </w:rPr>
        <w:t xml:space="preserve">hotovitel </w:t>
      </w:r>
      <w:r w:rsidR="00B905A7" w:rsidRPr="00FC509B">
        <w:rPr>
          <w:rFonts w:ascii="Calibri" w:hAnsi="Calibri" w:cs="Arial"/>
        </w:rPr>
        <w:t xml:space="preserve">souhlasí se zveřejněním plného znění </w:t>
      </w:r>
      <w:r w:rsidR="00D32495" w:rsidRPr="00FC509B">
        <w:rPr>
          <w:rFonts w:ascii="Calibri" w:hAnsi="Calibri" w:cs="Arial"/>
        </w:rPr>
        <w:t>s</w:t>
      </w:r>
      <w:r w:rsidR="00B905A7" w:rsidRPr="00FC509B">
        <w:rPr>
          <w:rFonts w:ascii="Calibri" w:hAnsi="Calibri" w:cs="Arial"/>
        </w:rPr>
        <w:t xml:space="preserve">mlouvy tak, aby </w:t>
      </w:r>
      <w:r w:rsidR="00D32495" w:rsidRPr="00FC509B">
        <w:rPr>
          <w:rFonts w:ascii="Calibri" w:hAnsi="Calibri" w:cs="Arial"/>
        </w:rPr>
        <w:t>s</w:t>
      </w:r>
      <w:r w:rsidR="00B905A7" w:rsidRPr="00FC509B">
        <w:rPr>
          <w:rFonts w:ascii="Calibri" w:hAnsi="Calibri" w:cs="Arial"/>
        </w:rPr>
        <w:t xml:space="preserve">mlouva mohla být předmětem poskytnuté informace ve smyslu zákona č. 106/1999 Sb., o svobodném přístupu k informacím, ve znění pozdějších předpisů. </w:t>
      </w:r>
      <w:r w:rsidR="00D32495" w:rsidRPr="00FC509B">
        <w:rPr>
          <w:rFonts w:ascii="Calibri" w:hAnsi="Calibri" w:cs="Arial"/>
        </w:rPr>
        <w:t xml:space="preserve">Zhotovitel </w:t>
      </w:r>
      <w:r w:rsidR="00B905A7" w:rsidRPr="00FC509B">
        <w:rPr>
          <w:rFonts w:ascii="Calibri" w:hAnsi="Calibri" w:cs="Arial"/>
        </w:rPr>
        <w:t>rovněž souhlasí se zveřejněním plného znění smlouvy zákona č. 340/2015 Sb., o zvláštních podmínkách účinnosti některých smluv, uveřejňování těchto smluv a o registru smluv (zákon o registru smluv).</w:t>
      </w:r>
    </w:p>
    <w:p w14:paraId="6552A598" w14:textId="77777777" w:rsidR="00FC509B" w:rsidRPr="00FC509B" w:rsidRDefault="00FC509B" w:rsidP="00FC509B">
      <w:pPr>
        <w:ind w:left="720" w:hanging="720"/>
        <w:jc w:val="both"/>
      </w:pPr>
    </w:p>
    <w:p w14:paraId="32AB2932" w14:textId="364FE2F0" w:rsidR="00DD2ED0" w:rsidRPr="005042AD" w:rsidRDefault="00FC509B" w:rsidP="00FC509B">
      <w:pPr>
        <w:ind w:left="720" w:hanging="720"/>
        <w:jc w:val="both"/>
      </w:pPr>
      <w:r w:rsidRPr="00FC509B">
        <w:t>5.4</w:t>
      </w:r>
      <w:r w:rsidRPr="00FC509B">
        <w:tab/>
      </w:r>
      <w:r w:rsidR="00DD2ED0" w:rsidRPr="00FC509B">
        <w:t xml:space="preserve">Smlouvu lze po dohodě obou </w:t>
      </w:r>
      <w:r w:rsidR="00D32495" w:rsidRPr="00FC509B">
        <w:t>s</w:t>
      </w:r>
      <w:r w:rsidR="00DD2ED0" w:rsidRPr="00FC509B">
        <w:t xml:space="preserve">mluvních stran měnit nebo doplňovat pouze písemnými dodatky označovanými a číslovanými vzestupnou řadou a podepsanými oprávněnými zástupci Smluvních stran uvedenými v záhlaví </w:t>
      </w:r>
      <w:r w:rsidR="00D32495" w:rsidRPr="00FC509B">
        <w:t>s</w:t>
      </w:r>
      <w:r w:rsidR="00DD2ED0" w:rsidRPr="00FC509B">
        <w:t>mlouvy. Jiná ujednání jsou neplatná</w:t>
      </w:r>
      <w:r w:rsidRPr="00FC509B">
        <w:t>.</w:t>
      </w:r>
    </w:p>
    <w:p w14:paraId="24148688" w14:textId="77777777" w:rsidR="006C349A" w:rsidRPr="00FC509B" w:rsidRDefault="006C349A" w:rsidP="00302663">
      <w:pPr>
        <w:jc w:val="both"/>
      </w:pPr>
    </w:p>
    <w:p w14:paraId="505F295A" w14:textId="3CD6A33E" w:rsidR="00642397" w:rsidRDefault="007B7478" w:rsidP="00FC509B">
      <w:pPr>
        <w:ind w:left="720" w:hanging="720"/>
        <w:jc w:val="both"/>
      </w:pPr>
      <w:r w:rsidRPr="00FC509B">
        <w:t>5.</w:t>
      </w:r>
      <w:r w:rsidR="00FC509B" w:rsidRPr="00FC509B">
        <w:t>5</w:t>
      </w:r>
      <w:r w:rsidR="00FC509B" w:rsidRPr="00FC509B">
        <w:tab/>
      </w:r>
      <w:r w:rsidR="00E0423D" w:rsidRPr="00D40F94">
        <w:t xml:space="preserve">Smlouva se vyhotovuje a podepisuje v elektronické podobě. Pokud bude smlouva vyhotovena a podepsána v listinné podobě, bude sepsána ve </w:t>
      </w:r>
      <w:r w:rsidR="00E0423D" w:rsidRPr="00FC509B">
        <w:t>třech</w:t>
      </w:r>
      <w:r w:rsidR="00E0423D" w:rsidRPr="00D40F94">
        <w:t xml:space="preserve"> vyhotoveních s platností originálu, z nichž </w:t>
      </w:r>
      <w:r w:rsidR="00E0423D" w:rsidRPr="00FC509B">
        <w:t>zhotovitel obdrží</w:t>
      </w:r>
      <w:r w:rsidR="00E0423D" w:rsidRPr="00D40F94">
        <w:t xml:space="preserve"> po </w:t>
      </w:r>
      <w:r w:rsidR="00E0423D" w:rsidRPr="00FC509B">
        <w:t xml:space="preserve">dvou </w:t>
      </w:r>
      <w:r w:rsidR="00E0423D" w:rsidRPr="00D40F94">
        <w:t>vyhotoveních</w:t>
      </w:r>
      <w:r w:rsidR="00E0423D" w:rsidRPr="00FC509B">
        <w:t xml:space="preserve"> a objednatel po jednom vyhotovení</w:t>
      </w:r>
      <w:r w:rsidR="00642397" w:rsidRPr="00FC509B">
        <w:t>.</w:t>
      </w:r>
    </w:p>
    <w:p w14:paraId="59077728" w14:textId="77777777" w:rsidR="00FC509B" w:rsidRDefault="00FC509B" w:rsidP="00FC509B">
      <w:pPr>
        <w:ind w:left="720" w:hanging="720"/>
        <w:jc w:val="both"/>
      </w:pPr>
    </w:p>
    <w:p w14:paraId="69B1EABE" w14:textId="12194907" w:rsidR="00327DF6" w:rsidRPr="00327DF6" w:rsidRDefault="00FC509B" w:rsidP="003B5B7E">
      <w:pPr>
        <w:ind w:left="720" w:hanging="720"/>
        <w:jc w:val="both"/>
      </w:pPr>
      <w:r>
        <w:t>5.6</w:t>
      </w:r>
      <w:r w:rsidR="003B5B7E">
        <w:tab/>
      </w:r>
      <w:r w:rsidR="00327DF6" w:rsidRPr="00327DF6">
        <w:t xml:space="preserve">Smluvní strany prohlašují, že </w:t>
      </w:r>
      <w:r w:rsidR="00642397" w:rsidRPr="00FC509B">
        <w:t>s</w:t>
      </w:r>
      <w:r w:rsidR="00327DF6" w:rsidRPr="00327DF6">
        <w:t xml:space="preserve">mlouva je projevem jejich pravé a svobodné vůle a na důkaz dohody o všech článcích </w:t>
      </w:r>
      <w:r w:rsidR="00642397" w:rsidRPr="00FC509B">
        <w:t>s</w:t>
      </w:r>
      <w:r w:rsidR="00327DF6" w:rsidRPr="00327DF6">
        <w:t xml:space="preserve">mlouvy připojují oprávnění zástupci </w:t>
      </w:r>
      <w:r w:rsidR="00642397" w:rsidRPr="00FC509B">
        <w:t>s</w:t>
      </w:r>
      <w:r w:rsidR="00327DF6" w:rsidRPr="00327DF6">
        <w:t>mluvních stran své podpisy.</w:t>
      </w:r>
    </w:p>
    <w:p w14:paraId="28B6FCCE" w14:textId="77777777" w:rsidR="00D40F94" w:rsidRDefault="00D40F94" w:rsidP="006C349A"/>
    <w:p w14:paraId="540EC2AC" w14:textId="77777777" w:rsidR="003B5B7E" w:rsidRDefault="003B5B7E" w:rsidP="006C349A"/>
    <w:p w14:paraId="4C82D12C" w14:textId="6F135773" w:rsidR="006C349A" w:rsidRPr="00C775A0" w:rsidRDefault="007B7478" w:rsidP="006C349A">
      <w:r w:rsidRPr="007B7478">
        <w:t>V</w:t>
      </w:r>
      <w:r w:rsidR="00642397">
        <w:t> </w:t>
      </w:r>
      <w:r w:rsidRPr="007B7478">
        <w:t>Praze</w:t>
      </w:r>
      <w:r w:rsidR="00642397">
        <w:t>,</w:t>
      </w:r>
      <w:r w:rsidRPr="007B7478">
        <w:t xml:space="preserve"> dne: </w:t>
      </w:r>
    </w:p>
    <w:p w14:paraId="519F6F75" w14:textId="77777777" w:rsidR="006C349A" w:rsidRPr="00C775A0" w:rsidRDefault="006C349A" w:rsidP="006C349A"/>
    <w:p w14:paraId="2DF541C0" w14:textId="77777777" w:rsidR="00C775A0" w:rsidRDefault="00C775A0" w:rsidP="006C349A"/>
    <w:p w14:paraId="41CDC41D" w14:textId="321962A1" w:rsidR="00960709" w:rsidRPr="007B7478" w:rsidRDefault="007B7478" w:rsidP="00960709">
      <w:r w:rsidRPr="007B7478">
        <w:t xml:space="preserve">Za zhotovitele: </w:t>
      </w:r>
      <w:r w:rsidR="00960709">
        <w:tab/>
      </w:r>
      <w:r w:rsidR="00960709">
        <w:tab/>
      </w:r>
      <w:r w:rsidR="00960709">
        <w:tab/>
      </w:r>
      <w:r w:rsidR="00960709">
        <w:tab/>
      </w:r>
      <w:r w:rsidR="009D556C">
        <w:tab/>
      </w:r>
      <w:r w:rsidR="00960709" w:rsidRPr="007B7478">
        <w:t xml:space="preserve">Za objednatele: </w:t>
      </w:r>
    </w:p>
    <w:p w14:paraId="34E82177" w14:textId="0DE96B79" w:rsidR="006C349A" w:rsidRDefault="006C349A" w:rsidP="006C349A"/>
    <w:p w14:paraId="4B648A10" w14:textId="77777777" w:rsidR="009D556C" w:rsidRDefault="009D556C" w:rsidP="006C349A"/>
    <w:p w14:paraId="13386839" w14:textId="77777777" w:rsidR="009D556C" w:rsidRPr="00C775A0" w:rsidRDefault="009D556C" w:rsidP="006C349A"/>
    <w:p w14:paraId="4858AD58" w14:textId="70746550" w:rsidR="006C349A" w:rsidRDefault="003B5B7E" w:rsidP="006C349A">
      <w:r>
        <w:t>I</w:t>
      </w:r>
      <w:r w:rsidR="009D556C">
        <w:t>NG</w:t>
      </w:r>
      <w:r>
        <w:t xml:space="preserve">. </w:t>
      </w:r>
      <w:r w:rsidR="009D556C">
        <w:t>JAKUB KLEINDIENST</w:t>
      </w:r>
      <w:r w:rsidR="009D556C" w:rsidRPr="009D556C">
        <w:t xml:space="preserve"> </w:t>
      </w:r>
      <w:r w:rsidR="009D556C">
        <w:tab/>
      </w:r>
      <w:r w:rsidR="009D556C">
        <w:tab/>
      </w:r>
      <w:r w:rsidR="009D556C">
        <w:tab/>
      </w:r>
      <w:r w:rsidR="009D556C">
        <w:tab/>
      </w:r>
      <w:r w:rsidR="009D556C" w:rsidRPr="005E68F3">
        <w:t>PAVEL HÜBNER</w:t>
      </w:r>
    </w:p>
    <w:p w14:paraId="693DFB66" w14:textId="30D6E4D8" w:rsidR="002D2634" w:rsidRPr="00C775A0" w:rsidRDefault="009D556C" w:rsidP="009D556C">
      <w:r>
        <w:t>kvestor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8F3">
        <w:t>předseda správní rady</w:t>
      </w:r>
    </w:p>
    <w:sectPr w:rsidR="002D2634" w:rsidRPr="00C775A0" w:rsidSect="007332DD">
      <w:head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86CA" w14:textId="77777777" w:rsidR="003964B1" w:rsidRDefault="003964B1" w:rsidP="000B0479">
      <w:r>
        <w:separator/>
      </w:r>
    </w:p>
  </w:endnote>
  <w:endnote w:type="continuationSeparator" w:id="0">
    <w:p w14:paraId="00FECF1E" w14:textId="77777777" w:rsidR="003964B1" w:rsidRDefault="003964B1" w:rsidP="000B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EC2F" w14:textId="77777777" w:rsidR="003964B1" w:rsidRDefault="003964B1" w:rsidP="000B0479">
      <w:r>
        <w:separator/>
      </w:r>
    </w:p>
  </w:footnote>
  <w:footnote w:type="continuationSeparator" w:id="0">
    <w:p w14:paraId="093E8748" w14:textId="77777777" w:rsidR="003964B1" w:rsidRDefault="003964B1" w:rsidP="000B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B0A4" w14:textId="10DD90CE" w:rsidR="000B0479" w:rsidRDefault="000B0479" w:rsidP="00B905A7">
    <w:pPr>
      <w:pStyle w:val="Zhlav"/>
      <w:jc w:val="right"/>
    </w:pPr>
    <w:r>
      <w:t>PO 1745/2025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67B"/>
    <w:multiLevelType w:val="multilevel"/>
    <w:tmpl w:val="B12EE6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033A7"/>
    <w:multiLevelType w:val="multilevel"/>
    <w:tmpl w:val="AFBEA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1B3C18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45F6F3E"/>
    <w:multiLevelType w:val="multilevel"/>
    <w:tmpl w:val="17D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96824"/>
    <w:multiLevelType w:val="multilevel"/>
    <w:tmpl w:val="D7BCF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B268F"/>
    <w:multiLevelType w:val="hybridMultilevel"/>
    <w:tmpl w:val="29A4D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2730B"/>
    <w:multiLevelType w:val="multilevel"/>
    <w:tmpl w:val="7390D5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67238207">
    <w:abstractNumId w:val="3"/>
  </w:num>
  <w:num w:numId="2" w16cid:durableId="83646228">
    <w:abstractNumId w:val="6"/>
  </w:num>
  <w:num w:numId="3" w16cid:durableId="1623804164">
    <w:abstractNumId w:val="4"/>
  </w:num>
  <w:num w:numId="4" w16cid:durableId="674847841">
    <w:abstractNumId w:val="1"/>
  </w:num>
  <w:num w:numId="5" w16cid:durableId="105933964">
    <w:abstractNumId w:val="0"/>
  </w:num>
  <w:num w:numId="6" w16cid:durableId="2355573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909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78"/>
    <w:rsid w:val="0002213F"/>
    <w:rsid w:val="000258CB"/>
    <w:rsid w:val="00055E51"/>
    <w:rsid w:val="00097A63"/>
    <w:rsid w:val="000A5EB9"/>
    <w:rsid w:val="000A6F6D"/>
    <w:rsid w:val="000B0479"/>
    <w:rsid w:val="000F5F58"/>
    <w:rsid w:val="00113C67"/>
    <w:rsid w:val="00146F26"/>
    <w:rsid w:val="001862A3"/>
    <w:rsid w:val="001A2DFA"/>
    <w:rsid w:val="00277C75"/>
    <w:rsid w:val="002D2634"/>
    <w:rsid w:val="00302663"/>
    <w:rsid w:val="00327DF6"/>
    <w:rsid w:val="003455DF"/>
    <w:rsid w:val="00351151"/>
    <w:rsid w:val="00352EA4"/>
    <w:rsid w:val="0036249D"/>
    <w:rsid w:val="00377AF2"/>
    <w:rsid w:val="003964B1"/>
    <w:rsid w:val="003B5B7E"/>
    <w:rsid w:val="003B7568"/>
    <w:rsid w:val="00476C68"/>
    <w:rsid w:val="005042AD"/>
    <w:rsid w:val="00510BD8"/>
    <w:rsid w:val="005E68F3"/>
    <w:rsid w:val="00626C15"/>
    <w:rsid w:val="00634578"/>
    <w:rsid w:val="0063488D"/>
    <w:rsid w:val="00642397"/>
    <w:rsid w:val="00655952"/>
    <w:rsid w:val="006C14A1"/>
    <w:rsid w:val="006C349A"/>
    <w:rsid w:val="006F16A4"/>
    <w:rsid w:val="006F2C2A"/>
    <w:rsid w:val="00712E1E"/>
    <w:rsid w:val="007332DD"/>
    <w:rsid w:val="007B245A"/>
    <w:rsid w:val="007B7478"/>
    <w:rsid w:val="008C3C9A"/>
    <w:rsid w:val="008D40BD"/>
    <w:rsid w:val="008F0B12"/>
    <w:rsid w:val="00933F00"/>
    <w:rsid w:val="00960709"/>
    <w:rsid w:val="009717A5"/>
    <w:rsid w:val="00987735"/>
    <w:rsid w:val="009B591B"/>
    <w:rsid w:val="009C4F43"/>
    <w:rsid w:val="009D556C"/>
    <w:rsid w:val="00A0392D"/>
    <w:rsid w:val="00A67528"/>
    <w:rsid w:val="00AB134A"/>
    <w:rsid w:val="00AD08BC"/>
    <w:rsid w:val="00B63DD9"/>
    <w:rsid w:val="00B905A7"/>
    <w:rsid w:val="00BC4CB1"/>
    <w:rsid w:val="00BD51F9"/>
    <w:rsid w:val="00C775A0"/>
    <w:rsid w:val="00CB47D9"/>
    <w:rsid w:val="00D103D9"/>
    <w:rsid w:val="00D32495"/>
    <w:rsid w:val="00D40F94"/>
    <w:rsid w:val="00D463BD"/>
    <w:rsid w:val="00DA4E9E"/>
    <w:rsid w:val="00DC077C"/>
    <w:rsid w:val="00DD0E94"/>
    <w:rsid w:val="00DD2ED0"/>
    <w:rsid w:val="00E0423D"/>
    <w:rsid w:val="00E87364"/>
    <w:rsid w:val="00EB5A4A"/>
    <w:rsid w:val="00EE0703"/>
    <w:rsid w:val="00EF0EB0"/>
    <w:rsid w:val="00F72559"/>
    <w:rsid w:val="00FC4FF5"/>
    <w:rsid w:val="00FC509B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38A1"/>
  <w15:chartTrackingRefBased/>
  <w15:docId w15:val="{C90CB256-A45B-6D4E-AC1A-08440680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7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7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74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74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4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4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7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7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7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74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74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74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74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74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74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74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74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74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74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74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74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7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74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7478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63488D"/>
  </w:style>
  <w:style w:type="paragraph" w:styleId="Zhlav">
    <w:name w:val="header"/>
    <w:basedOn w:val="Normln"/>
    <w:link w:val="ZhlavChar"/>
    <w:uiPriority w:val="99"/>
    <w:unhideWhenUsed/>
    <w:rsid w:val="000B04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0479"/>
  </w:style>
  <w:style w:type="paragraph" w:styleId="Zpat">
    <w:name w:val="footer"/>
    <w:basedOn w:val="Normln"/>
    <w:link w:val="ZpatChar"/>
    <w:uiPriority w:val="99"/>
    <w:unhideWhenUsed/>
    <w:rsid w:val="000B0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0479"/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EE0703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EE0703"/>
    <w:pPr>
      <w:tabs>
        <w:tab w:val="left" w:pos="2835"/>
      </w:tabs>
      <w:jc w:val="both"/>
      <w:outlineLvl w:val="1"/>
    </w:pPr>
    <w:rPr>
      <w:rFonts w:ascii="Arial" w:hAnsi="Arial" w:cs="Arial"/>
      <w:lang w:val="x-none"/>
    </w:rPr>
  </w:style>
  <w:style w:type="paragraph" w:styleId="Textkomente">
    <w:name w:val="annotation text"/>
    <w:basedOn w:val="Normln"/>
    <w:link w:val="TextkomenteChar"/>
    <w:semiHidden/>
    <w:unhideWhenUsed/>
    <w:rsid w:val="00B905A7"/>
    <w:pPr>
      <w:spacing w:line="28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B905A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kancel">
    <w:name w:val="kancelář"/>
    <w:basedOn w:val="Normln"/>
    <w:rsid w:val="00B905A7"/>
    <w:pPr>
      <w:ind w:left="227" w:hanging="227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semiHidden/>
    <w:unhideWhenUsed/>
    <w:rsid w:val="00B905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39817-5E7F-45CA-9D55-E49B84C2BD73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E966B098-D486-4B20-89BE-B7499F311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6BBBE-AEEE-47AF-8898-277475DA9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Forman</dc:creator>
  <cp:keywords/>
  <dc:description/>
  <cp:lastModifiedBy>Starostová Petra</cp:lastModifiedBy>
  <cp:revision>4</cp:revision>
  <dcterms:created xsi:type="dcterms:W3CDTF">2025-08-15T08:14:00Z</dcterms:created>
  <dcterms:modified xsi:type="dcterms:W3CDTF">2025-08-21T13:18:00Z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