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300"/>
        <w:gridCol w:w="1380"/>
        <w:gridCol w:w="60"/>
        <w:gridCol w:w="20"/>
        <w:gridCol w:w="100"/>
        <w:gridCol w:w="20"/>
        <w:gridCol w:w="820"/>
        <w:gridCol w:w="1380"/>
        <w:gridCol w:w="520"/>
        <w:gridCol w:w="160"/>
        <w:gridCol w:w="240"/>
        <w:gridCol w:w="80"/>
        <w:gridCol w:w="20"/>
        <w:gridCol w:w="80"/>
        <w:gridCol w:w="240"/>
        <w:gridCol w:w="440"/>
        <w:gridCol w:w="180"/>
        <w:gridCol w:w="640"/>
        <w:gridCol w:w="20"/>
        <w:gridCol w:w="240"/>
        <w:gridCol w:w="140"/>
        <w:gridCol w:w="300"/>
        <w:gridCol w:w="60"/>
        <w:gridCol w:w="740"/>
        <w:gridCol w:w="140"/>
        <w:gridCol w:w="60"/>
        <w:gridCol w:w="1340"/>
        <w:gridCol w:w="160"/>
        <w:gridCol w:w="20"/>
        <w:gridCol w:w="20"/>
        <w:gridCol w:w="20"/>
        <w:gridCol w:w="4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430443985" name="Picture">
</wp:docPr>
                  <a:graphic>
                    <a:graphicData uri="http://schemas.openxmlformats.org/drawingml/2006/picture">
                      <pic:pic>
                        <pic:nvPicPr>
                          <pic:cNvPr id="430443985" name="Picture"/>
                          <pic:cNvPicPr/>
                        </pic:nvPicPr>
                        <pic:blipFill>
                          <a:blip r:embed="img_0_0_1.jpg"/>
                          <a:srcRect/>
                          <a:stretch>
                            <a:fillRect l="0" t="0" r="0" b="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pStyle w:val="default_10"/>
              <w:ind/>
              <w:jc w:val="right"/>
            </w:pPr>
            <w:r>
              <w:rPr>
                <w:rFonts w:ascii="Times New Roman" w:hAnsi="Times New Roman" w:eastAsia="Times New Roman" w:cs="Times New Roman"/>
                <w:sz w:val="18"/>
              </w:rPr>
              <w:t xml:space="preserve">Strana:  1 z </w:t>
            </w:r>
          </w:p>
        </w:tc>
        <w:tc>
          <w:tcPr>
            <w:gridSpan w:val="6"/>
            <w:shd w:val="clear" w:color="auto" w:fill="FFFFFF"/>
            <w:tcMar>
              <w:top w:w="0" w:type="dxa"/>
              <w:left w:w="0" w:type="dxa"/>
              <w:bottom w:w="0" w:type="dxa"/>
              <w:right w:w="0" w:type="dxa"/>
            </w:tcMar>
            <w:vAlign w:val="top"/>
          </w:tcPr>
          <w:p>
            <w:pPr>
              <w:pStyle w:val="default_10"/>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8"/>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pPr>
              <w:pStyle w:val="default_10"/>
              <w:ind w:right="80"/>
              <w:jc w:val="right"/>
            </w:pPr>
            <w:r>
              <w:rPr>
                <w:rFonts w:ascii="Times New Roman" w:hAnsi="Times New Roman" w:eastAsia="Times New Roman" w:cs="Times New Roman"/>
                <w:sz w:val="28"/>
                <w:b w:val="true"/>
                <w:i w:val="true"/>
              </w:rPr>
              <w:t xml:space="preserve">Objednávka č.: 0025030059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restart"/>
            <w:shd w:val="clear" w:color="auto" w:fill="F5F5F5"/>
            <w:tcMar>
              <w:top w:w="0" w:type="dxa"/>
              <w:left w:w="0" w:type="dxa"/>
              <w:bottom w:w="0" w:type="dxa"/>
              <w:right w:w="0" w:type="dxa"/>
            </w:tcMar>
            <w:vAlign w:val="top"/>
          </w:tcPr>
          <w:p>
            <w:pPr>
              <w:pStyle w:val="default_10"/>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6"/>
            <w:vMerge w:val="restart"/>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PID:</w:t>
            </w:r>
          </w:p>
        </w:tc>
        <w:tc>
          <w:tcPr>
            <w:gridSpan w:val="6"/>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pStyle w:val="default_10"/>
              <w:ind w:right="20"/>
              <w:jc w:val="right"/>
            </w:pPr>
            <w:r>
              <w:rPr>
                <w:rFonts w:ascii="Times New Roman" w:hAnsi="Times New Roman" w:eastAsia="Times New Roman" w:cs="Times New Roman"/>
                <w:sz w:val="16"/>
              </w:rPr>
              <w:t xml:space="preserve">25030059</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79500" cy="1219200"/>
                  <wp:effectExtent l="0" t="0" r="0" b="0"/>
                  <wp:wrapNone/>
                  <wp:docPr id="78934072" name="Picture">
</wp:docPr>
                  <a:graphic>
                    <a:graphicData uri="http://schemas.openxmlformats.org/drawingml/2006/picture">
                      <pic:pic>
                        <pic:nvPicPr>
                          <pic:cNvPr id="78934072" name="Picture"/>
                          <pic:cNvPicPr/>
                        </pic:nvPicPr>
                        <pic:blipFill>
                          <a:blip r:embed="img_0_0_32"/>
                          <a:srcRect/>
                          <a:stretch>
                            <a:fillRect l="2941" t="0" r="2941" b="0"/>
                          </a:stretch>
                        </pic:blipFill>
                        <pic:spPr>
                          <a:xfrm rot="0">
                            <a:off x="0" y="0"/>
                            <a:ext cx="1079500" cy="1219200"/>
                          </a:xfrm>
                          <a:prstGeom prst="rect"/>
                        </pic:spPr>
                      </pic:pic>
                    </a:graphicData>
                  </a:graphic>
                </wp:anchor>
              </w:drawing>
            </w: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Smlouva:</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Číslo účtu:</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Peněžní ústav:</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2"/>
            <w:vMerge w:val="restart"/>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default_10"/>
              <w:ind w:right="40"/>
              <w:jc w:val="center"/>
            </w:pPr>
            <w:r>
              <w:rPr>
                <w:rFonts w:ascii="Times New Roman" w:hAnsi="Times New Roman" w:eastAsia="Times New Roman" w:cs="Times New Roman"/>
              </w:rPr>
              <w:t xml:space="preserve">Dodavatel</w:t>
            </w:r>
          </w:p>
        </w:tc>
        <w:tc>
          <w:tcPr>
            <w:gridSpan w:val="14"/>
            <w:vMerge w:val="restart"/>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default_10"/>
              <w:ind w:left="40"/>
            </w:pPr>
            <w:r>
              <w:rPr>
                <w:rFonts w:ascii="Times New Roman" w:hAnsi="Times New Roman" w:eastAsia="Times New Roman" w:cs="Times New Roman"/>
                <w:b w:val="true"/>
              </w:rPr>
              <w:t xml:space="preserve">FEI Europe B.V.</w:t>
              <w:br/>
              <w:t xml:space="preserve">Achtseweg Noord 5</w:t>
              <w:br/>
              <w:t xml:space="preserve">5651 GG Eindhoven</w:t>
              <w:br/>
              <w:t xml:space="preserve">Nizozemsko</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DIČ:</w:t>
            </w:r>
          </w:p>
        </w:tc>
        <w:tc>
          <w:tcPr>
            <w:gridSpan w:val="4"/>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CZ68378297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default_10"/>
              <w:ind w:left="0"/>
              <w:jc w:val="center"/>
            </w:pPr>
            <w:r>
              <w:rPr>
                <w:rFonts w:ascii="Times New Roman" w:hAnsi="Times New Roman" w:eastAsia="Times New Roman" w:cs="Times New Roman"/>
              </w:rPr>
              <w:t xml:space="preserve">Konečný příjemce</w:t>
            </w:r>
          </w:p>
        </w:tc>
        <w:tc>
          <w:tcPr>
            <w:gridSpan w:val="9"/>
            <w:vMerge w:val="restart"/>
            <w:tcBorders>
              <w:top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171000 ÚTAM - účtovací</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top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restart"/>
            <w:shd w:val="clear" w:color="auto" w:fill="F5F5F5"/>
            <w:tcBorders>
              <w:right w:val="single" w:sz="16" w:space="0" w:color="000000"/>
            </w:tcBorders>
            <w:tcMar>
              <w:top w:w="0" w:type="dxa"/>
              <w:left w:w="0" w:type="dxa"/>
              <w:bottom w:w="0" w:type="dxa"/>
              <w:right w:w="0" w:type="dxa"/>
            </w:tcMar>
            <w:vAlign w:val="top"/>
          </w:tcPr>
          <w:p>
            <w:pPr>
              <w:pStyle w:val="default_10"/>
              <w:ind w:left="60" w:right="60"/>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Mgr. Ševčík Radek, Ph.D.</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IČ:</w:t>
            </w:r>
          </w:p>
        </w:tc>
        <w:tc>
          <w:tcPr>
            <w:gridSpan w:val="6"/>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 </w:t>
            </w:r>
          </w:p>
        </w:tc>
        <w:tc>
          <w:tcPr>
            <w:gridSpan w:val="2"/>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DIČ:</w:t>
            </w:r>
          </w:p>
        </w:tc>
        <w:tc>
          <w:tcPr>
            <w:gridSpan w:val="5"/>
            <w:vMerge w:val="restart"/>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NL805698656B01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bottom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Tel.: 567 225 322, Fax: </w:t>
              <w:br/>
              <w:t xml:space="preserve">E-mail: sevcik@itam.cas.cz</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6"/>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2"/>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5"/>
            <w:vMerge w:val="continue"/>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b w:val="true"/>
              </w:rPr>
              <w:t xml:space="preserve">Platnost do:</w:t>
            </w:r>
          </w:p>
        </w:tc>
        <w:tc>
          <w:tcPr>
            <w:gridSpan w:val="3"/>
            <w:vMerge w:val="restart"/>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31.12.2025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dodání:</w:t>
            </w:r>
          </w:p>
        </w:tc>
        <w:tc>
          <w:tcPr>
            <w:gridSpan w:val="3"/>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01.12.2025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Forma úhrady:</w:t>
            </w:r>
          </w:p>
        </w:tc>
        <w:tc>
          <w:tcPr>
            <w:gridSpan w:val="3"/>
            <w:vMerge w:val="restart"/>
            <w:tcMar>
              <w:top w:w="0" w:type="dxa"/>
              <w:left w:w="0" w:type="dxa"/>
              <w:bottom w:w="0" w:type="dxa"/>
              <w:right w:w="0" w:type="dxa"/>
            </w:tcMar>
            <w:vAlign w:val="top"/>
          </w:tcPr>
          <w:p>
            <w:pPr>
              <w:pStyle w:val="default_10"/>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Místo dodání:</w:t>
            </w:r>
          </w:p>
        </w:tc>
        <w:tc>
          <w:tcPr>
            <w:gridSpan w:val="16"/>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CET, Batelovská 485, 588 56 Telč</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úhrady:</w:t>
            </w:r>
          </w:p>
        </w:tc>
        <w:tc>
          <w:tcPr>
            <w:gridSpan w:val="3"/>
            <w:vMerge w:val="restart"/>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Způsob dopravy:</w:t>
            </w:r>
          </w:p>
        </w:tc>
        <w:tc>
          <w:tcPr>
            <w:gridSpan w:val="16"/>
            <w:vMerge w:val="restart"/>
            <w:tcMar>
              <w:top w:w="0" w:type="dxa"/>
              <w:left w:w="0" w:type="dxa"/>
              <w:bottom w:w="0" w:type="dxa"/>
              <w:right w:w="0" w:type="dxa"/>
            </w:tcMar>
            <w:vAlign w:val="center"/>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Dodací podmínky:</w:t>
            </w:r>
          </w:p>
        </w:tc>
        <w:tc>
          <w:tcPr>
            <w:gridSpan w:val="16"/>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shd w:val="clear" w:color="auto" w:fill="FFFFFF"/>
            <w:tcMar>
              <w:top w:w="0" w:type="dxa"/>
              <w:left w:w="0" w:type="dxa"/>
              <w:bottom w:w="0" w:type="dxa"/>
              <w:right w:w="0" w:type="dxa"/>
            </w:tcMar>
            <w:vAlign w:val="top"/>
          </w:tcPr>
          <w:p>
            <w:pPr>
              <w:pStyle w:val="default_10"/>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"faktury@itam.cas.cz".</w:t>
              <w:br/>
              <w:br/>
              <w:br/>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tcMar>
              <w:top w:w="0" w:type="dxa"/>
              <w:left w:w="0" w:type="dxa"/>
              <w:bottom w:w="0" w:type="dxa"/>
              <w:right w:w="0" w:type="dxa"/>
            </w:tcMar>
            <w:vAlign w:val="top"/>
          </w:tcPr>
          <w:p>
            <w:pPr>
              <w:pStyle w:val="default_10"/>
              <w:ind w:left="40"/>
              <w:jc w:val="left"/>
              <w:spacing w:lineRule="auto" w:line="240" w:after="0" w:before="0"/>
            </w:pPr>
            <w:r>
              <w:rPr>
                <w:rFonts w:ascii="Times New Roman" w:hAnsi="Times New Roman" w:eastAsia="Times New Roman" w:cs="Times New Roman"/>
              </w:rPr>
              <w:t xml:space="preserve">Nabídka č. 219aNB-10072025 / RE.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color w:val="000000"/>
                <w:sz w:val="18"/>
              </w:rPr>
              <w:t xml:space="preserve">Položka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MJ</w:t>
            </w:r>
          </w:p>
        </w:tc>
        <w:tc>
          <w:tcPr>
            <w:gridSpan w:val="7"/>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color w:val="000000"/>
                <w:sz w:val="18"/>
              </w:rPr>
              <w:t xml:space="preserve">Cena/MJ bez DPH</w:t>
            </w:r>
          </w:p>
        </w:tc>
        <w:tc>
          <w:tcPr>
            <w:gridSpan w:val="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color w:val="000000"/>
                <w:sz w:val="18"/>
              </w:rPr>
              <w:t xml:space="preserve">Celkem bez DPH</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color w:val="000000"/>
                <w:sz w:val="18"/>
              </w:rPr>
              <w:t xml:space="preserve">servis Quanta 450 FEG,výměna předzesilovače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1,00</w:t>
            </w: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ks</w:t>
            </w:r>
          </w:p>
        </w:tc>
        <w:tc>
          <w:tcPr>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207 414,00 Kč</w:t>
            </w:r>
          </w:p>
        </w:tc>
        <w:tc>
          <w:tcPr>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207 414,00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top w:val="single" w:sz="8" w:space="0" w:color="000000"/>
              <w:left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1"/>
            <w:tcBorders>
              <w:left w:val="single" w:sz="8" w:space="0" w:color="000000"/>
            </w:tcBorders>
            <w:tcMar>
              <w:top w:w="0" w:type="dxa"/>
              <w:left w:w="0" w:type="dxa"/>
              <w:bottom w:w="0" w:type="dxa"/>
              <w:right w:w="0" w:type="dxa"/>
            </w:tcMar>
            <w:vAlign w:val="center"/>
          </w:tcPr>
          <w:p>
            <w:pPr>
              <w:pStyle w:val="default_10"/>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gridSpan w:val="9"/>
            <w:tcBorders>
              <w:right w:val="single" w:sz="8"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24"/>
                <w:b w:val="true"/>
              </w:rPr>
              <w:t xml:space="preserve">207 414,00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left w:val="single" w:sz="8" w:space="0" w:color="000000"/>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11.08.2025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Fonts w:ascii="Consolas" w:hAnsi="Consolas" w:eastAsia="Consolas" w:cs="Consolas"/>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bottom"/>
          </w:tcPr>
          <w:p>
            <w:pPr>
              <w:pStyle w:val="default_10"/>
              <w:ind w:left="0"/>
            </w:pPr>
            <w:r>
              <w:rPr>
                <w:rFonts w:ascii="Times New Roman" w:hAnsi="Times New Roman" w:eastAsia="Times New Roman" w:cs="Times New Roman"/>
                <w:sz w:val="14"/>
                <w:b w:val="true"/>
              </w:rPr>
              <w:t xml:space="preserve">Interní údaje : 171000 \ 120 \ 251849 GAČR Sotiriadis \ 0301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pStyle w:val="default_10"/>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basedOn w:val="default_10"/>
    <w:pPr>
      <w:ind/>
    </w:pPr>
    <w:rPr>
      <w:rFonts w:ascii="Times New Roman" w:hAnsi="Times New Roman" w:eastAsia="Times New Roman" w:cs="Times New Roman"/>
      <w:sz w:val="1"/>
    </w:rPr>
  </w:style>
  <w:style w:type="paragraph" w:styleId="normal1">
    <w:name w:val="normal1"/>
    <w:qFormat/>
    <w:basedOn w:val="default_10"/>
    <w:pPr>
      <w:ind w:left="20" w:right="20"/>
    </w:pPr>
    <w:rPr>
      <w:rFonts w:ascii="Times New Roman" w:hAnsi="Times New Roman" w:eastAsia="Times New Roman" w:cs="Times New Roman"/>
      <w:sz w:val="16"/>
    </w:rPr>
  </w:style>
  <w:style w:type="paragraph" w:styleId="Consolas7">
    <w:name w:val="Consolas7"/>
    <w:qFormat/>
    <w:basedOn w:val="default_10"/>
    <w:pPr>
      <w:ind/>
    </w:pPr>
    <w:rPr>
      <w:rFonts w:ascii="Consolas" w:hAnsi="Consolas" w:eastAsia="Consolas" w:cs="Consolas"/>
      <w:sz w:val="16"/>
    </w:rPr>
  </w:style>
  <w:style w:type="paragraph" w:styleId="Consolas10">
    <w:name w:val="Consolas10"/>
    <w:qFormat/>
    <w:basedOn w:val="default_10"/>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color w:val="000000"/>
      <w:sz w:val="20"/>
    </w:rPr>
  </w:style>
  <w:style w:type="paragraph" w:styleId="pozadi_radku">
    <w:name w:val="pozadi_radku"/>
    <w:qFormat/>
    <w:pPr>
      <w:ind/>
    </w:pPr>
    <w:rPr>
      <w:rFonts w:ascii="SansSerif" w:hAnsi="SansSerif" w:eastAsia="SansSerif" w:cs="SansSerif"/>
      <w:color w:val="000000"/>
      <w:sz w:val="20"/>
    </w:rPr>
  </w:style>
  <w:style w:type="paragraph" w:styleId="normal">
    <w:name w:val="normal"/>
    <w:qFormat/>
    <w:pPr>
      <w:ind w:left="40" w:right="40"/>
    </w:pPr>
    <w:rPr>
      <w:rFonts w:ascii="Times New Roman" w:hAnsi="Times New Roman" w:eastAsia="Times New Roman" w:cs="Times New Roman"/>
      <w:color w:val="000000"/>
      <w:sz w:val="16"/>
    </w:rPr>
  </w:style>
  <w:style w:type="paragraph" w:styleId="sede_radky">
    <w:name w:val="sede_radky"/>
    <w:qFormat/>
    <w:pPr>
      <w:ind/>
    </w:pPr>
    <w:rPr>
      <w:rFonts w:ascii="SansSerif" w:hAnsi="SansSerif" w:eastAsia="SansSerif" w:cs="SansSerif"/>
      <w:color w:val="000000"/>
      <w:sz w:val="20"/>
    </w:rPr>
  </w:style>
  <w:style w:type="paragraph" w:styleId="sede">
    <w:name w:val="sede"/>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1.jpg" Type="http://schemas.openxmlformats.org/officeDocument/2006/relationships/image" Target="media/img_0_0_1.jpg"/>
 <Relationship Id="img_0_0_32" Type="http://schemas.openxmlformats.org/officeDocument/2006/relationships/image" Target="media/img_0_0_32"/>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hotfix-6.18.1-SNAPSHOT-2961835b2212865be359a43768fc5fa9b356148c</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