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C1DA" w14:textId="77777777" w:rsidR="00CD58F2" w:rsidRDefault="00CD58F2" w:rsidP="00CD58F2">
      <w:pPr>
        <w:jc w:val="center"/>
        <w:rPr>
          <w:b/>
          <w:bCs/>
        </w:rPr>
      </w:pPr>
    </w:p>
    <w:p w14:paraId="30B970CF" w14:textId="77777777" w:rsidR="00CD58F2" w:rsidRDefault="00CD58F2" w:rsidP="00CD58F2">
      <w:pPr>
        <w:jc w:val="center"/>
        <w:rPr>
          <w:b/>
          <w:bCs/>
        </w:rPr>
      </w:pPr>
      <w:r>
        <w:rPr>
          <w:rFonts w:ascii="Tahoma" w:hAnsi="Tahoma" w:cs="Tahoma"/>
          <w:b/>
          <w:bCs/>
          <w:caps/>
        </w:rPr>
        <w:t>Smlouva o dílo – obchodní podmínky</w:t>
      </w:r>
    </w:p>
    <w:p w14:paraId="552979E8" w14:textId="77777777" w:rsidR="00CD58F2" w:rsidRDefault="00CD58F2" w:rsidP="00CD58F2">
      <w:pPr>
        <w:jc w:val="center"/>
        <w:rPr>
          <w:b/>
          <w:bCs/>
        </w:rPr>
      </w:pPr>
      <w:r>
        <w:rPr>
          <w:rFonts w:ascii="Tahoma" w:hAnsi="Tahoma" w:cs="Tahoma"/>
          <w:b/>
          <w:bCs/>
        </w:rPr>
        <w:t>v souladu s § 1746 odst. 2 zák. č. 89/2012 Sb., občanský zákoník, ve znění pozdějších předpisů (dále jen „OZ“) s přihlédnutím k § 2586 a násl. OZ</w:t>
      </w:r>
    </w:p>
    <w:p w14:paraId="3336A8C7" w14:textId="77777777" w:rsidR="00CD58F2" w:rsidRDefault="00CD58F2" w:rsidP="00CD58F2">
      <w:pPr>
        <w:jc w:val="center"/>
        <w:rPr>
          <w:rFonts w:ascii="Tahoma" w:hAnsi="Tahoma" w:cs="Tahoma"/>
          <w:b/>
        </w:rPr>
      </w:pPr>
    </w:p>
    <w:p w14:paraId="52F5988F" w14:textId="77777777" w:rsidR="00CD58F2" w:rsidRDefault="00CD58F2" w:rsidP="00CD58F2">
      <w:pPr>
        <w:rPr>
          <w:rFonts w:ascii="Tahoma" w:hAnsi="Tahoma" w:cs="Tahoma"/>
          <w:b/>
        </w:rPr>
      </w:pPr>
    </w:p>
    <w:p w14:paraId="32EA7D9E" w14:textId="77777777" w:rsidR="00CD58F2" w:rsidRDefault="00CD58F2" w:rsidP="00CD58F2">
      <w:pPr>
        <w:pStyle w:val="Nadpis3"/>
        <w:jc w:val="center"/>
        <w:rPr>
          <w:rFonts w:ascii="Tahoma" w:hAnsi="Tahoma" w:cs="Tahoma"/>
          <w:sz w:val="20"/>
        </w:rPr>
      </w:pPr>
      <w:r>
        <w:rPr>
          <w:rFonts w:ascii="Tahoma" w:hAnsi="Tahoma" w:cs="Tahoma"/>
          <w:sz w:val="20"/>
        </w:rPr>
        <w:t>Smluvní strany</w:t>
      </w:r>
    </w:p>
    <w:p w14:paraId="68E1DDCE" w14:textId="77777777" w:rsidR="00CD58F2" w:rsidRDefault="00CD58F2" w:rsidP="00CD58F2">
      <w:pPr>
        <w:spacing w:line="276" w:lineRule="auto"/>
        <w:rPr>
          <w:rFonts w:ascii="Tahoma" w:hAnsi="Tahoma" w:cs="Tahoma"/>
        </w:rPr>
      </w:pPr>
      <w:r>
        <w:rPr>
          <w:rFonts w:ascii="Tahoma" w:hAnsi="Tahoma" w:cs="Tahoma"/>
          <w:b/>
        </w:rPr>
        <w:tab/>
      </w:r>
    </w:p>
    <w:p w14:paraId="3C0705A6" w14:textId="77777777" w:rsidR="00CD58F2" w:rsidRDefault="00CD58F2" w:rsidP="00CD58F2">
      <w:pPr>
        <w:numPr>
          <w:ilvl w:val="0"/>
          <w:numId w:val="10"/>
        </w:numPr>
        <w:tabs>
          <w:tab w:val="clear" w:pos="720"/>
          <w:tab w:val="left" w:pos="360"/>
        </w:tabs>
        <w:spacing w:after="60"/>
        <w:ind w:left="360"/>
        <w:jc w:val="both"/>
        <w:rPr>
          <w:rFonts w:ascii="Tahoma" w:hAnsi="Tahoma" w:cs="Tahoma"/>
          <w:b/>
        </w:rPr>
      </w:pPr>
      <w:r>
        <w:rPr>
          <w:rFonts w:ascii="Tahoma" w:hAnsi="Tahoma" w:cs="Tahoma"/>
          <w:b/>
        </w:rPr>
        <w:t>Muzeum umění Olomouc, státní příspěvková organizace</w:t>
      </w:r>
    </w:p>
    <w:p w14:paraId="747074AA" w14:textId="77777777" w:rsidR="00CD58F2" w:rsidRDefault="00CD58F2" w:rsidP="00CD58F2">
      <w:pPr>
        <w:tabs>
          <w:tab w:val="left" w:pos="360"/>
          <w:tab w:val="left" w:pos="2977"/>
        </w:tabs>
        <w:ind w:left="426" w:hanging="66"/>
        <w:jc w:val="both"/>
        <w:rPr>
          <w:rFonts w:ascii="Tahoma" w:hAnsi="Tahoma" w:cs="Tahoma"/>
        </w:rPr>
      </w:pPr>
      <w:r>
        <w:rPr>
          <w:rFonts w:ascii="Tahoma" w:hAnsi="Tahoma" w:cs="Tahoma"/>
        </w:rPr>
        <w:t xml:space="preserve">Se sídlem: </w:t>
      </w:r>
      <w:r>
        <w:rPr>
          <w:rFonts w:ascii="Tahoma" w:hAnsi="Tahoma" w:cs="Tahoma"/>
        </w:rPr>
        <w:tab/>
        <w:t>Denisova 824/47, 771 11 Olomouc</w:t>
      </w:r>
    </w:p>
    <w:p w14:paraId="193882EA" w14:textId="77777777" w:rsidR="00CD58F2" w:rsidRDefault="00CD58F2" w:rsidP="00CD58F2">
      <w:pPr>
        <w:tabs>
          <w:tab w:val="left" w:pos="360"/>
          <w:tab w:val="left" w:pos="2977"/>
        </w:tabs>
        <w:ind w:left="426" w:hanging="66"/>
        <w:jc w:val="both"/>
        <w:rPr>
          <w:rFonts w:ascii="Tahoma" w:hAnsi="Tahoma" w:cs="Tahoma"/>
        </w:rPr>
      </w:pPr>
      <w:r>
        <w:rPr>
          <w:rFonts w:ascii="Tahoma" w:hAnsi="Tahoma" w:cs="Tahoma"/>
        </w:rPr>
        <w:t>Zastoupen:</w:t>
      </w:r>
      <w:r>
        <w:rPr>
          <w:rFonts w:ascii="Tahoma" w:hAnsi="Tahoma" w:cs="Tahoma"/>
        </w:rPr>
        <w:tab/>
      </w:r>
      <w:r>
        <w:rPr>
          <w:rFonts w:ascii="Tahoma" w:eastAsia="Calibri" w:hAnsi="Tahoma"/>
          <w:kern w:val="2"/>
          <w:lang w:eastAsia="en-US"/>
        </w:rPr>
        <w:t xml:space="preserve">Mgr. Ondřej Zatloukal, ředitel </w:t>
      </w:r>
    </w:p>
    <w:p w14:paraId="280306E1" w14:textId="77777777" w:rsidR="00CD58F2" w:rsidRDefault="00CD58F2" w:rsidP="00CD58F2">
      <w:pPr>
        <w:tabs>
          <w:tab w:val="left" w:pos="360"/>
          <w:tab w:val="left" w:pos="2977"/>
        </w:tabs>
        <w:ind w:left="426" w:hanging="66"/>
        <w:jc w:val="both"/>
        <w:rPr>
          <w:rFonts w:ascii="Tahoma" w:hAnsi="Tahoma" w:cs="Tahoma"/>
        </w:rPr>
      </w:pPr>
      <w:r>
        <w:rPr>
          <w:rFonts w:ascii="Tahoma" w:hAnsi="Tahoma" w:cs="Tahoma"/>
        </w:rPr>
        <w:t>IČ:</w:t>
      </w:r>
      <w:r>
        <w:rPr>
          <w:rFonts w:ascii="Tahoma" w:hAnsi="Tahoma" w:cs="Tahoma"/>
        </w:rPr>
        <w:tab/>
        <w:t>75079950</w:t>
      </w:r>
    </w:p>
    <w:p w14:paraId="172B9E3D" w14:textId="77777777" w:rsidR="00CD58F2" w:rsidRDefault="00CD58F2" w:rsidP="00CD58F2">
      <w:pPr>
        <w:tabs>
          <w:tab w:val="left" w:pos="360"/>
          <w:tab w:val="left" w:pos="2977"/>
        </w:tabs>
        <w:ind w:left="426" w:hanging="66"/>
        <w:jc w:val="both"/>
        <w:rPr>
          <w:rFonts w:ascii="Tahoma" w:hAnsi="Tahoma" w:cs="Tahoma"/>
        </w:rPr>
      </w:pPr>
      <w:r>
        <w:rPr>
          <w:rFonts w:ascii="Tahoma" w:hAnsi="Tahoma" w:cs="Tahoma"/>
        </w:rPr>
        <w:t>DIČ:</w:t>
      </w:r>
      <w:r>
        <w:rPr>
          <w:rFonts w:ascii="Tahoma" w:hAnsi="Tahoma" w:cs="Tahoma"/>
        </w:rPr>
        <w:tab/>
        <w:t>CZ75079950</w:t>
      </w:r>
    </w:p>
    <w:p w14:paraId="7F623BFC" w14:textId="4C4BA535" w:rsidR="00CD58F2" w:rsidRPr="007044E2" w:rsidRDefault="00CD58F2" w:rsidP="00CD58F2">
      <w:pPr>
        <w:tabs>
          <w:tab w:val="left" w:pos="360"/>
          <w:tab w:val="left" w:pos="2977"/>
        </w:tabs>
        <w:ind w:left="426" w:hanging="66"/>
        <w:jc w:val="both"/>
        <w:rPr>
          <w:rFonts w:ascii="Tahoma" w:hAnsi="Tahoma" w:cs="Tahoma"/>
        </w:rPr>
      </w:pPr>
      <w:r>
        <w:rPr>
          <w:rFonts w:ascii="Tahoma" w:hAnsi="Tahoma" w:cs="Tahoma"/>
        </w:rPr>
        <w:t>Kontaktní osoba:</w:t>
      </w:r>
      <w:r>
        <w:rPr>
          <w:rFonts w:ascii="Tahoma" w:hAnsi="Tahoma" w:cs="Tahoma"/>
        </w:rPr>
        <w:tab/>
      </w:r>
      <w:r w:rsidR="00871F5B">
        <w:rPr>
          <w:rFonts w:ascii="Tahoma" w:hAnsi="Tahoma" w:cs="Tahoma"/>
        </w:rPr>
        <w:t>x</w:t>
      </w:r>
      <w:r>
        <w:rPr>
          <w:rFonts w:ascii="Tahoma" w:hAnsi="Tahoma" w:cs="Tahoma"/>
        </w:rPr>
        <w:t xml:space="preserve">  </w:t>
      </w:r>
    </w:p>
    <w:p w14:paraId="76A42ABB" w14:textId="65629A74" w:rsidR="00CD58F2" w:rsidRDefault="00CD58F2" w:rsidP="00CD58F2">
      <w:pPr>
        <w:tabs>
          <w:tab w:val="left" w:pos="360"/>
          <w:tab w:val="left" w:pos="2977"/>
        </w:tabs>
        <w:ind w:left="426" w:hanging="66"/>
        <w:jc w:val="both"/>
        <w:rPr>
          <w:rFonts w:ascii="Tahoma" w:hAnsi="Tahoma" w:cs="Tahoma"/>
        </w:rPr>
      </w:pPr>
      <w:r w:rsidRPr="007044E2">
        <w:rPr>
          <w:rFonts w:ascii="Tahoma" w:hAnsi="Tahoma" w:cs="Tahoma"/>
        </w:rPr>
        <w:t xml:space="preserve">Email: </w:t>
      </w:r>
      <w:r w:rsidRPr="007044E2">
        <w:rPr>
          <w:rFonts w:ascii="Tahoma" w:hAnsi="Tahoma" w:cs="Tahoma"/>
        </w:rPr>
        <w:tab/>
      </w:r>
      <w:r w:rsidR="00871F5B">
        <w:rPr>
          <w:rFonts w:ascii="Tahoma" w:hAnsi="Tahoma" w:cs="Tahoma"/>
        </w:rPr>
        <w:t>x</w:t>
      </w:r>
    </w:p>
    <w:p w14:paraId="13082F43" w14:textId="77777777" w:rsidR="00CD58F2" w:rsidRDefault="00CD58F2" w:rsidP="00CD58F2">
      <w:pPr>
        <w:tabs>
          <w:tab w:val="left" w:pos="360"/>
          <w:tab w:val="left" w:pos="2977"/>
        </w:tabs>
        <w:ind w:left="426" w:hanging="66"/>
        <w:jc w:val="both"/>
        <w:rPr>
          <w:rFonts w:ascii="Tahoma" w:hAnsi="Tahoma" w:cs="Tahoma"/>
        </w:rPr>
      </w:pPr>
      <w:r>
        <w:rPr>
          <w:rFonts w:ascii="Tahoma" w:hAnsi="Tahoma" w:cs="Tahoma"/>
        </w:rPr>
        <w:t>(dále jen „objednatel“)</w:t>
      </w:r>
    </w:p>
    <w:p w14:paraId="3C09E366" w14:textId="77777777" w:rsidR="00CD58F2" w:rsidRDefault="00CD58F2" w:rsidP="00CD58F2">
      <w:pPr>
        <w:tabs>
          <w:tab w:val="left" w:pos="2977"/>
        </w:tabs>
        <w:spacing w:before="120"/>
        <w:ind w:left="357"/>
        <w:jc w:val="both"/>
        <w:rPr>
          <w:rFonts w:ascii="Tahoma" w:hAnsi="Tahoma" w:cs="Tahoma"/>
          <w:i/>
        </w:rPr>
      </w:pPr>
    </w:p>
    <w:p w14:paraId="62659386" w14:textId="77777777" w:rsidR="00CD58F2" w:rsidRPr="001A0D5A" w:rsidRDefault="00CD58F2" w:rsidP="00CD58F2">
      <w:pPr>
        <w:pStyle w:val="Bezmezer"/>
        <w:numPr>
          <w:ilvl w:val="0"/>
          <w:numId w:val="12"/>
        </w:numPr>
        <w:rPr>
          <w:rFonts w:ascii="Tahoma" w:hAnsi="Tahoma" w:cs="Tahoma"/>
          <w:b/>
          <w:bCs/>
          <w:sz w:val="20"/>
          <w:szCs w:val="20"/>
        </w:rPr>
      </w:pPr>
      <w:r w:rsidRPr="001A0D5A">
        <w:rPr>
          <w:rFonts w:ascii="Tahoma" w:hAnsi="Tahoma" w:cs="Tahoma"/>
          <w:b/>
          <w:bCs/>
          <w:sz w:val="20"/>
          <w:szCs w:val="20"/>
        </w:rPr>
        <w:t xml:space="preserve">XEVOS Solutions s.r.o. </w:t>
      </w:r>
    </w:p>
    <w:p w14:paraId="6DD962DA" w14:textId="77777777" w:rsidR="00CD58F2" w:rsidRPr="00AC1D35" w:rsidRDefault="00CD58F2" w:rsidP="00CD58F2">
      <w:pPr>
        <w:tabs>
          <w:tab w:val="left" w:pos="360"/>
          <w:tab w:val="left" w:pos="2977"/>
        </w:tabs>
        <w:ind w:left="426" w:hanging="66"/>
        <w:jc w:val="both"/>
        <w:rPr>
          <w:rFonts w:ascii="Tahoma" w:hAnsi="Tahoma" w:cs="Tahoma"/>
        </w:rPr>
      </w:pPr>
      <w:r w:rsidRPr="00AC1D35">
        <w:rPr>
          <w:rFonts w:ascii="Tahoma" w:hAnsi="Tahoma" w:cs="Tahoma"/>
        </w:rPr>
        <w:t xml:space="preserve">Se sídlem: </w:t>
      </w:r>
      <w:r>
        <w:rPr>
          <w:rFonts w:ascii="Tahoma" w:hAnsi="Tahoma" w:cs="Tahoma"/>
        </w:rPr>
        <w:tab/>
      </w:r>
      <w:r w:rsidRPr="00AC1D35">
        <w:rPr>
          <w:rFonts w:ascii="Tahoma" w:hAnsi="Tahoma" w:cs="Tahoma"/>
        </w:rPr>
        <w:t>28. října 1584/281, 709 00 Ostrava – Hulváky</w:t>
      </w:r>
    </w:p>
    <w:p w14:paraId="47B249F8" w14:textId="77777777" w:rsidR="00CD58F2" w:rsidRPr="00AC1D35" w:rsidRDefault="00CD58F2" w:rsidP="00CD58F2">
      <w:pPr>
        <w:tabs>
          <w:tab w:val="left" w:pos="360"/>
          <w:tab w:val="left" w:pos="2977"/>
        </w:tabs>
        <w:ind w:left="426" w:hanging="66"/>
        <w:jc w:val="both"/>
        <w:rPr>
          <w:rFonts w:ascii="Tahoma" w:hAnsi="Tahoma" w:cs="Tahoma"/>
        </w:rPr>
      </w:pPr>
      <w:r w:rsidRPr="00AC1D35">
        <w:rPr>
          <w:rFonts w:ascii="Tahoma" w:hAnsi="Tahoma" w:cs="Tahoma"/>
        </w:rPr>
        <w:t xml:space="preserve">Zastoupena: </w:t>
      </w:r>
      <w:r>
        <w:rPr>
          <w:rFonts w:ascii="Tahoma" w:hAnsi="Tahoma" w:cs="Tahoma"/>
        </w:rPr>
        <w:tab/>
      </w:r>
      <w:r w:rsidRPr="00AC1D35">
        <w:rPr>
          <w:rFonts w:ascii="Tahoma" w:hAnsi="Tahoma" w:cs="Tahoma"/>
        </w:rPr>
        <w:t>Bc. Martinem Beňkem, Sales Managerem na základě plné moci</w:t>
      </w:r>
    </w:p>
    <w:p w14:paraId="1DCC83D7" w14:textId="77777777" w:rsidR="00CD58F2" w:rsidRPr="00AC1D35" w:rsidRDefault="00CD58F2" w:rsidP="00CD58F2">
      <w:pPr>
        <w:tabs>
          <w:tab w:val="left" w:pos="360"/>
          <w:tab w:val="left" w:pos="2977"/>
        </w:tabs>
        <w:ind w:left="426" w:hanging="66"/>
        <w:jc w:val="both"/>
        <w:rPr>
          <w:rFonts w:ascii="Tahoma" w:hAnsi="Tahoma" w:cs="Tahoma"/>
        </w:rPr>
      </w:pPr>
      <w:r w:rsidRPr="00AC1D35">
        <w:rPr>
          <w:rFonts w:ascii="Tahoma" w:hAnsi="Tahoma" w:cs="Tahoma"/>
        </w:rPr>
        <w:t xml:space="preserve">IČ: </w:t>
      </w:r>
      <w:r>
        <w:rPr>
          <w:rFonts w:ascii="Tahoma" w:hAnsi="Tahoma" w:cs="Tahoma"/>
        </w:rPr>
        <w:tab/>
      </w:r>
      <w:r w:rsidRPr="00AC1D35">
        <w:rPr>
          <w:rFonts w:ascii="Tahoma" w:hAnsi="Tahoma" w:cs="Tahoma"/>
        </w:rPr>
        <w:t>27831345</w:t>
      </w:r>
    </w:p>
    <w:p w14:paraId="49EA934A" w14:textId="77777777" w:rsidR="00CD58F2" w:rsidRPr="00AC1D35" w:rsidRDefault="00CD58F2" w:rsidP="00CD58F2">
      <w:pPr>
        <w:tabs>
          <w:tab w:val="left" w:pos="360"/>
          <w:tab w:val="left" w:pos="2977"/>
        </w:tabs>
        <w:ind w:left="426" w:hanging="66"/>
        <w:jc w:val="both"/>
        <w:rPr>
          <w:rFonts w:ascii="Tahoma" w:hAnsi="Tahoma" w:cs="Tahoma"/>
        </w:rPr>
      </w:pPr>
      <w:r w:rsidRPr="00AC1D35">
        <w:rPr>
          <w:rFonts w:ascii="Tahoma" w:hAnsi="Tahoma" w:cs="Tahoma"/>
        </w:rPr>
        <w:t xml:space="preserve">DIČ: </w:t>
      </w:r>
      <w:r>
        <w:rPr>
          <w:rFonts w:ascii="Tahoma" w:hAnsi="Tahoma" w:cs="Tahoma"/>
        </w:rPr>
        <w:tab/>
      </w:r>
      <w:r w:rsidRPr="00AC1D35">
        <w:rPr>
          <w:rFonts w:ascii="Tahoma" w:hAnsi="Tahoma" w:cs="Tahoma"/>
        </w:rPr>
        <w:t>CZ27831345</w:t>
      </w:r>
    </w:p>
    <w:p w14:paraId="472162F6" w14:textId="77777777" w:rsidR="00CD58F2" w:rsidRPr="00AC1D35" w:rsidRDefault="00CD58F2" w:rsidP="00CD58F2">
      <w:pPr>
        <w:tabs>
          <w:tab w:val="left" w:pos="360"/>
          <w:tab w:val="left" w:pos="2977"/>
        </w:tabs>
        <w:ind w:left="426" w:hanging="66"/>
        <w:jc w:val="both"/>
        <w:rPr>
          <w:rFonts w:ascii="Tahoma" w:hAnsi="Tahoma" w:cs="Tahoma"/>
        </w:rPr>
      </w:pPr>
      <w:r w:rsidRPr="00AC1D35">
        <w:rPr>
          <w:rFonts w:ascii="Tahoma" w:hAnsi="Tahoma" w:cs="Tahoma"/>
        </w:rPr>
        <w:t>Bankovní spojení:</w:t>
      </w:r>
      <w:r>
        <w:rPr>
          <w:rFonts w:ascii="Tahoma" w:hAnsi="Tahoma" w:cs="Tahoma"/>
        </w:rPr>
        <w:tab/>
      </w:r>
      <w:r w:rsidRPr="00AC1D35">
        <w:rPr>
          <w:rFonts w:ascii="Tahoma" w:hAnsi="Tahoma" w:cs="Tahoma"/>
        </w:rPr>
        <w:t>Česká spořitelna, a.s.</w:t>
      </w:r>
    </w:p>
    <w:p w14:paraId="66DE527A" w14:textId="77777777" w:rsidR="00CD58F2" w:rsidRPr="00AC1D35" w:rsidRDefault="00CD58F2" w:rsidP="00CD58F2">
      <w:pPr>
        <w:tabs>
          <w:tab w:val="left" w:pos="360"/>
          <w:tab w:val="left" w:pos="2977"/>
        </w:tabs>
        <w:ind w:left="426" w:hanging="66"/>
        <w:jc w:val="both"/>
        <w:rPr>
          <w:rFonts w:ascii="Tahoma" w:hAnsi="Tahoma" w:cs="Tahoma"/>
        </w:rPr>
      </w:pPr>
      <w:r w:rsidRPr="00AC1D35">
        <w:rPr>
          <w:rFonts w:ascii="Tahoma" w:hAnsi="Tahoma" w:cs="Tahoma"/>
        </w:rPr>
        <w:t xml:space="preserve">Číslo účtu: </w:t>
      </w:r>
      <w:r>
        <w:rPr>
          <w:rFonts w:ascii="Tahoma" w:hAnsi="Tahoma" w:cs="Tahoma"/>
        </w:rPr>
        <w:tab/>
      </w:r>
      <w:r w:rsidRPr="00AC1D35">
        <w:rPr>
          <w:rFonts w:ascii="Tahoma" w:hAnsi="Tahoma" w:cs="Tahoma"/>
        </w:rPr>
        <w:t>10109392/0800</w:t>
      </w:r>
    </w:p>
    <w:p w14:paraId="7A0F0DB9" w14:textId="77777777" w:rsidR="00CD58F2" w:rsidRPr="00AC1D35" w:rsidRDefault="00CD58F2" w:rsidP="00CD58F2">
      <w:pPr>
        <w:tabs>
          <w:tab w:val="left" w:pos="360"/>
          <w:tab w:val="left" w:pos="2977"/>
        </w:tabs>
        <w:ind w:left="426" w:hanging="66"/>
        <w:jc w:val="both"/>
        <w:rPr>
          <w:rFonts w:ascii="Tahoma" w:hAnsi="Tahoma" w:cs="Tahoma"/>
        </w:rPr>
      </w:pPr>
      <w:r w:rsidRPr="00AC1D35">
        <w:rPr>
          <w:rFonts w:ascii="Tahoma" w:hAnsi="Tahoma" w:cs="Tahoma"/>
        </w:rPr>
        <w:t>Zapsána v obchodním rejstříku vedeném Krajským soudem v Ostravě, oddíl C, vložka 37006</w:t>
      </w:r>
    </w:p>
    <w:p w14:paraId="2E8E78A1" w14:textId="23869353" w:rsidR="00CD58F2" w:rsidRDefault="00CD58F2" w:rsidP="00CD58F2">
      <w:pPr>
        <w:tabs>
          <w:tab w:val="left" w:pos="360"/>
          <w:tab w:val="left" w:pos="2977"/>
        </w:tabs>
        <w:ind w:left="426" w:hanging="66"/>
        <w:jc w:val="both"/>
        <w:rPr>
          <w:rFonts w:ascii="Tahoma" w:hAnsi="Tahoma" w:cs="Tahoma"/>
          <w:iCs/>
        </w:rPr>
      </w:pPr>
      <w:r w:rsidRPr="00AC1D35">
        <w:rPr>
          <w:rFonts w:ascii="Tahoma" w:hAnsi="Tahoma" w:cs="Tahoma"/>
        </w:rPr>
        <w:t xml:space="preserve">Osoba oprávněná jednat ve věcech technických a realizace díla: </w:t>
      </w:r>
      <w:r w:rsidR="002167CE">
        <w:rPr>
          <w:rFonts w:ascii="Tahoma" w:hAnsi="Tahoma" w:cs="Tahoma"/>
        </w:rPr>
        <w:t>x</w:t>
      </w:r>
      <w:r>
        <w:rPr>
          <w:rFonts w:ascii="Tahoma" w:hAnsi="Tahoma" w:cs="Tahoma"/>
        </w:rPr>
        <w:br/>
      </w:r>
      <w:r w:rsidRPr="007D34D9">
        <w:rPr>
          <w:rFonts w:ascii="Tahoma" w:hAnsi="Tahoma" w:cs="Tahoma"/>
          <w:iCs/>
        </w:rPr>
        <w:t>(dále jen „poskytovatel“)</w:t>
      </w:r>
    </w:p>
    <w:p w14:paraId="2AB68D3C" w14:textId="77777777" w:rsidR="00CD58F2" w:rsidRDefault="00CD58F2" w:rsidP="00CD58F2">
      <w:pPr>
        <w:spacing w:line="276" w:lineRule="auto"/>
        <w:ind w:firstLine="360"/>
        <w:jc w:val="center"/>
        <w:rPr>
          <w:rFonts w:ascii="Tahoma" w:hAnsi="Tahoma" w:cs="Tahoma"/>
          <w:b/>
        </w:rPr>
      </w:pPr>
    </w:p>
    <w:p w14:paraId="3854FAFB" w14:textId="77777777" w:rsidR="00CD58F2" w:rsidRDefault="00CD58F2" w:rsidP="00CD58F2">
      <w:pPr>
        <w:pStyle w:val="Nadpis1"/>
        <w:numPr>
          <w:ilvl w:val="0"/>
          <w:numId w:val="1"/>
        </w:numPr>
        <w:spacing w:line="276" w:lineRule="auto"/>
        <w:ind w:left="567" w:hanging="482"/>
        <w:rPr>
          <w:rFonts w:ascii="Tahoma" w:hAnsi="Tahoma" w:cs="Tahoma"/>
          <w:b/>
          <w:sz w:val="20"/>
        </w:rPr>
      </w:pPr>
      <w:bookmarkStart w:id="0" w:name="_Ref305657724"/>
      <w:bookmarkStart w:id="1" w:name="_Toc335318127"/>
      <w:bookmarkStart w:id="2" w:name="_Toc335318210"/>
      <w:r>
        <w:rPr>
          <w:rFonts w:ascii="Tahoma" w:hAnsi="Tahoma" w:cs="Tahoma"/>
          <w:b/>
          <w:sz w:val="20"/>
        </w:rPr>
        <w:t>ÚVODNÍ USTANOVENÍ</w:t>
      </w:r>
      <w:bookmarkEnd w:id="0"/>
      <w:bookmarkEnd w:id="1"/>
      <w:bookmarkEnd w:id="2"/>
    </w:p>
    <w:p w14:paraId="2F2D5443"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Smlouva mezi výše uvedenými smluvními stranami je uzavřena na základě zadávacího řízení veřejné zakázky pod názvem </w:t>
      </w:r>
      <w:r w:rsidRPr="00246D11">
        <w:rPr>
          <w:rFonts w:ascii="Tahoma" w:hAnsi="Tahoma" w:cs="Tahoma"/>
        </w:rPr>
        <w:t>„</w:t>
      </w:r>
      <w:bookmarkStart w:id="3" w:name="_Hlk201128744"/>
      <w:r w:rsidRPr="00246D11">
        <w:rPr>
          <w:rFonts w:ascii="Tahoma" w:hAnsi="Tahoma" w:cs="Tahoma"/>
        </w:rPr>
        <w:t xml:space="preserve">Zajištění finálního nezávislého auditu ověřujícího naplnění kybernetických požadavků“, (dále jen </w:t>
      </w:r>
      <w:r>
        <w:rPr>
          <w:rFonts w:ascii="Tahoma" w:hAnsi="Tahoma" w:cs="Tahoma"/>
        </w:rPr>
        <w:t>„A</w:t>
      </w:r>
      <w:r w:rsidRPr="00246D11">
        <w:rPr>
          <w:rFonts w:ascii="Tahoma" w:hAnsi="Tahoma" w:cs="Tahoma"/>
        </w:rPr>
        <w:t>udit kybernetické bezpečnosti</w:t>
      </w:r>
      <w:r>
        <w:rPr>
          <w:rFonts w:ascii="Tahoma" w:hAnsi="Tahoma" w:cs="Tahoma"/>
        </w:rPr>
        <w:t>“</w:t>
      </w:r>
      <w:r w:rsidRPr="00246D11">
        <w:rPr>
          <w:rFonts w:ascii="Tahoma" w:hAnsi="Tahoma" w:cs="Tahoma"/>
        </w:rPr>
        <w:t>)</w:t>
      </w:r>
      <w:r w:rsidRPr="00FA53FD">
        <w:rPr>
          <w:rFonts w:ascii="Tahoma" w:hAnsi="Tahoma" w:cs="Tahoma"/>
        </w:rPr>
        <w:t>,</w:t>
      </w:r>
      <w:r>
        <w:rPr>
          <w:rFonts w:ascii="Tahoma" w:hAnsi="Tahoma" w:cs="Tahoma"/>
        </w:rPr>
        <w:t xml:space="preserve"> </w:t>
      </w:r>
      <w:bookmarkEnd w:id="3"/>
      <w:r>
        <w:rPr>
          <w:rFonts w:ascii="Tahoma" w:hAnsi="Tahoma" w:cs="Tahoma"/>
        </w:rPr>
        <w:t>v němž byla nabídka poskytovatele vybrána jako nejvýhodnější.</w:t>
      </w:r>
    </w:p>
    <w:p w14:paraId="79066973"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Smluvní strany prohlašují, že osoby podepisující tuto smlouvu jsou k tomuto jednání oprávněny.</w:t>
      </w:r>
    </w:p>
    <w:p w14:paraId="06085C30"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Poskytovatel prohlašuje,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dle této smlouvy.</w:t>
      </w:r>
    </w:p>
    <w:p w14:paraId="09C55736"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Poskytovatel prohlašuje, že je odborně způsobilý k zajištění předmětu plnění podle této smlouvy Poskytovatel dále prohlašuje, že jím poskytované plnění odpovídá všem požadavkům vyplývajícím z platných právních předpisů, které se na plnění vztahují.</w:t>
      </w:r>
    </w:p>
    <w:p w14:paraId="72AF67D0"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Poskytovatel bere na vědomí, že předmět smlouvy je spolufinancován z externích zdrojů objednatele, a to Národního plánu obnovy. Porušením povinností poskytovatele hrozí objednateli vznik významné škody. Poskytovatel je povinen dodržet veškerá pravidla poskytovatele dotace, která jsou k dispozici na adrese https://www.planobnovycr.cz/vyhlasene-vyzvy a zde uvedené odkazy na konkrétní zprostředkovatele podpory. </w:t>
      </w:r>
    </w:p>
    <w:p w14:paraId="4E2E956A"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lastRenderedPageBreak/>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Poskytovatel bere na vědomí, že pokud je uvedené prohlášení nepravdivé, bude smlouva považována za neplatnou.</w:t>
      </w:r>
    </w:p>
    <w:p w14:paraId="6C26F146"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Poskytovatel je povinen v rámci realizace plnění vyloučit jakékoliv riziko střetu zájmů, a to jak u osoby dodavatele, poddodavatele, tak mezi dodavatelem, poddodavatelem a objednatelem dle čl. 61 Finančního nařízení. Poskytovatel bere na vědomí, že je povinen při výběru poddodavatele pro plnění zajistit soulad s § 4b zákona č. 159/2006 Sb., o střetu zájmů, ve znění pozdějších předpisů, a že dodavatel/poddodavatel nesmí být uveden ve vnitrostátním sankčním seznamu a v mezinárodních sankčních seznamech a nejsou na ně uvaleny ekonomické sankce v souvislosti s rusko-ukrajinským konfliktem. </w:t>
      </w:r>
    </w:p>
    <w:p w14:paraId="2D030E9B" w14:textId="77777777" w:rsidR="00CD58F2" w:rsidRDefault="00CD58F2" w:rsidP="00CD58F2">
      <w:pPr>
        <w:spacing w:line="276" w:lineRule="auto"/>
        <w:ind w:left="567"/>
        <w:jc w:val="both"/>
        <w:rPr>
          <w:rFonts w:ascii="Tahoma" w:hAnsi="Tahoma" w:cs="Tahoma"/>
        </w:rPr>
      </w:pPr>
    </w:p>
    <w:p w14:paraId="695413AB" w14:textId="77777777" w:rsidR="00CD58F2" w:rsidRDefault="00CD58F2" w:rsidP="00CD58F2">
      <w:pPr>
        <w:pStyle w:val="Nadpis1"/>
        <w:numPr>
          <w:ilvl w:val="0"/>
          <w:numId w:val="1"/>
        </w:numPr>
        <w:spacing w:line="276" w:lineRule="auto"/>
        <w:ind w:left="567" w:hanging="482"/>
        <w:rPr>
          <w:rFonts w:ascii="Tahoma" w:hAnsi="Tahoma" w:cs="Tahoma"/>
          <w:b/>
          <w:sz w:val="20"/>
        </w:rPr>
      </w:pPr>
      <w:bookmarkStart w:id="4" w:name="_Toc335318131"/>
      <w:bookmarkStart w:id="5" w:name="_Toc335318214"/>
      <w:r>
        <w:rPr>
          <w:rFonts w:ascii="Tahoma" w:hAnsi="Tahoma" w:cs="Tahoma"/>
          <w:b/>
          <w:sz w:val="20"/>
        </w:rPr>
        <w:t>ÚČEL SMLOUVY</w:t>
      </w:r>
      <w:bookmarkEnd w:id="4"/>
      <w:bookmarkEnd w:id="5"/>
    </w:p>
    <w:p w14:paraId="59836C46" w14:textId="77777777" w:rsidR="00CD58F2" w:rsidRPr="008A2D8B" w:rsidRDefault="00CD58F2" w:rsidP="00CD58F2">
      <w:pPr>
        <w:numPr>
          <w:ilvl w:val="1"/>
          <w:numId w:val="1"/>
        </w:numPr>
        <w:spacing w:after="200" w:line="276" w:lineRule="auto"/>
        <w:ind w:left="567" w:hanging="499"/>
        <w:jc w:val="both"/>
        <w:rPr>
          <w:rFonts w:ascii="Tahoma" w:hAnsi="Tahoma" w:cs="Tahoma"/>
        </w:rPr>
      </w:pPr>
      <w:r w:rsidRPr="008A2D8B">
        <w:rPr>
          <w:rFonts w:ascii="Tahoma" w:hAnsi="Tahoma" w:cs="Tahoma"/>
        </w:rPr>
        <w:t>Základním účelem, k jehož dosažení se smlouva uzavírá, je řádné poskytování plnění Poskytovatelem spočívající v</w:t>
      </w:r>
      <w:r w:rsidRPr="008A2D8B">
        <w:t xml:space="preserve"> </w:t>
      </w:r>
      <w:r w:rsidRPr="008A2D8B">
        <w:rPr>
          <w:rFonts w:ascii="Tahoma" w:hAnsi="Tahoma" w:cs="Tahoma"/>
        </w:rPr>
        <w:t xml:space="preserve">poskytnutí služby </w:t>
      </w:r>
      <w:r>
        <w:rPr>
          <w:rFonts w:ascii="Tahoma" w:hAnsi="Tahoma" w:cs="Tahoma"/>
        </w:rPr>
        <w:t>A</w:t>
      </w:r>
      <w:r w:rsidRPr="00246D11">
        <w:rPr>
          <w:rFonts w:ascii="Tahoma" w:hAnsi="Tahoma" w:cs="Tahoma"/>
        </w:rPr>
        <w:t>udit kybernetické bezpečnosti</w:t>
      </w:r>
      <w:r w:rsidRPr="008A2D8B">
        <w:rPr>
          <w:rFonts w:ascii="Tahoma" w:hAnsi="Tahoma" w:cs="Tahoma"/>
        </w:rPr>
        <w:t xml:space="preserve"> dle požadavků uvedených v zadávací dokumentaci pro</w:t>
      </w:r>
      <w:r>
        <w:rPr>
          <w:rFonts w:ascii="Tahoma" w:hAnsi="Tahoma" w:cs="Tahoma"/>
        </w:rPr>
        <w:t xml:space="preserve"> </w:t>
      </w:r>
      <w:r w:rsidRPr="008A2D8B">
        <w:rPr>
          <w:rFonts w:ascii="Tahoma" w:hAnsi="Tahoma" w:cs="Tahoma"/>
        </w:rPr>
        <w:t>veřejn</w:t>
      </w:r>
      <w:r>
        <w:rPr>
          <w:rFonts w:ascii="Tahoma" w:hAnsi="Tahoma" w:cs="Tahoma"/>
        </w:rPr>
        <w:t>ou</w:t>
      </w:r>
      <w:r w:rsidRPr="008A2D8B">
        <w:rPr>
          <w:rFonts w:ascii="Tahoma" w:hAnsi="Tahoma" w:cs="Tahoma"/>
        </w:rPr>
        <w:t xml:space="preserve"> zakázk</w:t>
      </w:r>
      <w:r>
        <w:rPr>
          <w:rFonts w:ascii="Tahoma" w:hAnsi="Tahoma" w:cs="Tahoma"/>
        </w:rPr>
        <w:t>u</w:t>
      </w:r>
      <w:bookmarkStart w:id="6" w:name="_Toc335318132"/>
      <w:bookmarkStart w:id="7" w:name="_Toc335318215"/>
      <w:r w:rsidRPr="00EA2E67">
        <w:rPr>
          <w:rFonts w:ascii="Tahoma" w:hAnsi="Tahoma" w:cs="Tahoma"/>
        </w:rPr>
        <w:t xml:space="preserve"> </w:t>
      </w:r>
      <w:r>
        <w:rPr>
          <w:rFonts w:ascii="Tahoma" w:hAnsi="Tahoma" w:cs="Tahoma"/>
        </w:rPr>
        <w:t>A</w:t>
      </w:r>
      <w:r w:rsidRPr="00246D11">
        <w:rPr>
          <w:rFonts w:ascii="Tahoma" w:hAnsi="Tahoma" w:cs="Tahoma"/>
        </w:rPr>
        <w:t>udit kybernetické bezpečnosti</w:t>
      </w:r>
      <w:r w:rsidRPr="008A2D8B">
        <w:rPr>
          <w:rFonts w:ascii="Tahoma" w:hAnsi="Tahoma" w:cs="Tahoma"/>
        </w:rPr>
        <w:t>. Rozsah služby je specifikován v příloze č.1 Specifikace služby této smlouvy.</w:t>
      </w:r>
    </w:p>
    <w:p w14:paraId="21DD9B83" w14:textId="77777777" w:rsidR="00CD58F2" w:rsidRDefault="00CD58F2" w:rsidP="00CD58F2">
      <w:pPr>
        <w:pStyle w:val="Nadpis1"/>
        <w:numPr>
          <w:ilvl w:val="0"/>
          <w:numId w:val="1"/>
        </w:numPr>
        <w:spacing w:line="276" w:lineRule="auto"/>
        <w:ind w:left="567" w:hanging="482"/>
        <w:rPr>
          <w:rFonts w:ascii="Tahoma" w:hAnsi="Tahoma" w:cs="Tahoma"/>
          <w:b/>
          <w:sz w:val="20"/>
        </w:rPr>
      </w:pPr>
      <w:bookmarkStart w:id="8" w:name="_Ref21272212"/>
      <w:r>
        <w:rPr>
          <w:rFonts w:ascii="Tahoma" w:hAnsi="Tahoma" w:cs="Tahoma"/>
          <w:b/>
          <w:sz w:val="20"/>
        </w:rPr>
        <w:t>PŘEDMĚT SMLOUVY</w:t>
      </w:r>
      <w:bookmarkEnd w:id="6"/>
      <w:bookmarkEnd w:id="7"/>
      <w:bookmarkEnd w:id="8"/>
    </w:p>
    <w:p w14:paraId="4DA3C183" w14:textId="77777777" w:rsidR="00CD58F2" w:rsidRDefault="00CD58F2" w:rsidP="00CD58F2">
      <w:pPr>
        <w:numPr>
          <w:ilvl w:val="1"/>
          <w:numId w:val="1"/>
        </w:numPr>
        <w:spacing w:line="276" w:lineRule="auto"/>
        <w:ind w:left="567" w:hanging="567"/>
        <w:jc w:val="both"/>
        <w:rPr>
          <w:rFonts w:ascii="Tahoma" w:hAnsi="Tahoma" w:cs="Tahoma"/>
        </w:rPr>
      </w:pPr>
      <w:r w:rsidRPr="0077037E">
        <w:rPr>
          <w:rFonts w:ascii="Tahoma" w:hAnsi="Tahoma" w:cs="Tahoma"/>
        </w:rPr>
        <w:t>Předmětem smlouvy je závazek poskytovatele za podmínek stanovených touto smlouvou poskytnout ob</w:t>
      </w:r>
      <w:r>
        <w:rPr>
          <w:rFonts w:ascii="Tahoma" w:hAnsi="Tahoma" w:cs="Tahoma"/>
        </w:rPr>
        <w:t>jednateli</w:t>
      </w:r>
      <w:r w:rsidRPr="0077037E">
        <w:rPr>
          <w:rFonts w:ascii="Tahoma" w:hAnsi="Tahoma" w:cs="Tahoma"/>
        </w:rPr>
        <w:t xml:space="preserve"> plnění spočívající v poskytnutí služeb </w:t>
      </w:r>
      <w:r>
        <w:rPr>
          <w:rFonts w:ascii="Tahoma" w:hAnsi="Tahoma" w:cs="Tahoma"/>
        </w:rPr>
        <w:t>A</w:t>
      </w:r>
      <w:r w:rsidRPr="00246D11">
        <w:rPr>
          <w:rFonts w:ascii="Tahoma" w:hAnsi="Tahoma" w:cs="Tahoma"/>
        </w:rPr>
        <w:t>udit kybernetické bezpečnosti</w:t>
      </w:r>
      <w:r w:rsidRPr="0077037E">
        <w:rPr>
          <w:rFonts w:ascii="Tahoma" w:hAnsi="Tahoma" w:cs="Tahoma"/>
        </w:rPr>
        <w:t xml:space="preserve"> v rozsahu dle čl. 2 odst. 2.1, odpovídajícího požadavkům</w:t>
      </w:r>
      <w:r>
        <w:rPr>
          <w:rFonts w:ascii="Tahoma" w:hAnsi="Tahoma" w:cs="Tahoma"/>
        </w:rPr>
        <w:t xml:space="preserve"> </w:t>
      </w:r>
      <w:r w:rsidRPr="0077037E">
        <w:rPr>
          <w:rFonts w:ascii="Tahoma" w:hAnsi="Tahoma" w:cs="Tahoma"/>
        </w:rPr>
        <w:t>definovaných ve specifikaci plnění zakázky (dále jen „</w:t>
      </w:r>
      <w:r w:rsidRPr="00A77055">
        <w:rPr>
          <w:rFonts w:ascii="Tahoma" w:hAnsi="Tahoma" w:cs="Tahoma"/>
          <w:b/>
          <w:bCs/>
        </w:rPr>
        <w:t>Plnění</w:t>
      </w:r>
      <w:r w:rsidRPr="0077037E">
        <w:rPr>
          <w:rFonts w:ascii="Tahoma" w:hAnsi="Tahoma" w:cs="Tahoma"/>
        </w:rPr>
        <w:t>“) a dále zajištění veškerých dalších služeb a činností pro objednatele souvisejících s tout</w:t>
      </w:r>
      <w:r>
        <w:rPr>
          <w:rFonts w:ascii="Tahoma" w:hAnsi="Tahoma" w:cs="Tahoma"/>
        </w:rPr>
        <w:t>o</w:t>
      </w:r>
      <w:r w:rsidRPr="0077037E">
        <w:rPr>
          <w:rFonts w:ascii="Tahoma" w:hAnsi="Tahoma" w:cs="Tahoma"/>
        </w:rPr>
        <w:t xml:space="preserve"> veřejn</w:t>
      </w:r>
      <w:r>
        <w:rPr>
          <w:rFonts w:ascii="Tahoma" w:hAnsi="Tahoma" w:cs="Tahoma"/>
        </w:rPr>
        <w:t>ou</w:t>
      </w:r>
      <w:r w:rsidRPr="0077037E">
        <w:rPr>
          <w:rFonts w:ascii="Tahoma" w:hAnsi="Tahoma" w:cs="Tahoma"/>
        </w:rPr>
        <w:t xml:space="preserve"> zakázk</w:t>
      </w:r>
      <w:r>
        <w:rPr>
          <w:rFonts w:ascii="Tahoma" w:hAnsi="Tahoma" w:cs="Tahoma"/>
        </w:rPr>
        <w:t xml:space="preserve">ou </w:t>
      </w:r>
      <w:r w:rsidRPr="0077037E">
        <w:rPr>
          <w:rFonts w:ascii="Tahoma" w:hAnsi="Tahoma" w:cs="Tahoma"/>
        </w:rPr>
        <w:t>(dále jako „</w:t>
      </w:r>
      <w:r w:rsidRPr="00A77055">
        <w:rPr>
          <w:rFonts w:ascii="Tahoma" w:hAnsi="Tahoma" w:cs="Tahoma"/>
          <w:b/>
          <w:bCs/>
        </w:rPr>
        <w:t>další služby</w:t>
      </w:r>
      <w:r w:rsidRPr="0077037E">
        <w:rPr>
          <w:rFonts w:ascii="Tahoma" w:hAnsi="Tahoma" w:cs="Tahoma"/>
        </w:rPr>
        <w:t>“).</w:t>
      </w:r>
    </w:p>
    <w:p w14:paraId="1E439F06" w14:textId="77777777" w:rsidR="00CD58F2" w:rsidRPr="0077037E" w:rsidRDefault="00CD58F2" w:rsidP="00CD58F2">
      <w:pPr>
        <w:numPr>
          <w:ilvl w:val="1"/>
          <w:numId w:val="1"/>
        </w:numPr>
        <w:spacing w:line="276" w:lineRule="auto"/>
        <w:ind w:left="567" w:hanging="567"/>
        <w:jc w:val="both"/>
        <w:rPr>
          <w:rFonts w:ascii="Tahoma" w:hAnsi="Tahoma" w:cs="Tahoma"/>
        </w:rPr>
      </w:pPr>
      <w:r w:rsidRPr="0077037E">
        <w:rPr>
          <w:rFonts w:ascii="Tahoma" w:hAnsi="Tahoma" w:cs="Tahoma"/>
        </w:rPr>
        <w:t>Poskytovatel se zavazuje poskytovat plnění a zajišťovat další služby v souladu s platnými právními předpisy, jakož i v souladu se všemi relevantními normami obsahujícími technické specifikace a technická řešení, technické a technologické postupy nebo jiná určující kritéria k zajištění, že poskytnutí služeb vyhovuje předmětu smlouvy a veškerým podmínkám uvedeným v Zadávací dokumentaci.</w:t>
      </w:r>
    </w:p>
    <w:p w14:paraId="23387A41" w14:textId="77777777" w:rsidR="00CD58F2" w:rsidRDefault="00CD58F2" w:rsidP="00CD58F2">
      <w:pPr>
        <w:numPr>
          <w:ilvl w:val="1"/>
          <w:numId w:val="1"/>
        </w:numPr>
        <w:spacing w:line="276" w:lineRule="auto"/>
        <w:ind w:left="567" w:hanging="567"/>
        <w:jc w:val="both"/>
        <w:rPr>
          <w:rFonts w:ascii="Tahoma" w:hAnsi="Tahoma" w:cs="Tahoma"/>
        </w:rPr>
      </w:pPr>
      <w:r w:rsidRPr="0077037E">
        <w:rPr>
          <w:rFonts w:ascii="Tahoma" w:hAnsi="Tahoma" w:cs="Tahoma"/>
        </w:rPr>
        <w:t>Objednatel se zavazuje zaplatit poskytovateli za řádně poskytnuté plnění v souladu se všemi podmínkami smlouvy sjednanou cenu dle smlouvy.</w:t>
      </w:r>
    </w:p>
    <w:p w14:paraId="48B6D79F" w14:textId="77777777" w:rsidR="00CD58F2" w:rsidRPr="0077037E" w:rsidRDefault="00CD58F2" w:rsidP="00CD58F2">
      <w:pPr>
        <w:spacing w:line="276" w:lineRule="auto"/>
        <w:ind w:left="567"/>
        <w:jc w:val="both"/>
        <w:rPr>
          <w:rFonts w:ascii="Tahoma" w:hAnsi="Tahoma" w:cs="Tahoma"/>
        </w:rPr>
      </w:pPr>
    </w:p>
    <w:p w14:paraId="297AB798" w14:textId="77777777" w:rsidR="00CD58F2" w:rsidRDefault="00CD58F2" w:rsidP="00CD58F2">
      <w:pPr>
        <w:spacing w:line="276" w:lineRule="auto"/>
        <w:ind w:left="567"/>
        <w:jc w:val="both"/>
        <w:rPr>
          <w:rFonts w:ascii="Tahoma" w:hAnsi="Tahoma" w:cs="Tahoma"/>
        </w:rPr>
      </w:pPr>
    </w:p>
    <w:p w14:paraId="63E20AF9" w14:textId="77777777" w:rsidR="00CD58F2" w:rsidRDefault="00CD58F2" w:rsidP="00CD58F2">
      <w:pPr>
        <w:pStyle w:val="Nadpis1"/>
        <w:numPr>
          <w:ilvl w:val="0"/>
          <w:numId w:val="1"/>
        </w:numPr>
        <w:spacing w:line="276" w:lineRule="auto"/>
        <w:ind w:left="567" w:hanging="482"/>
        <w:rPr>
          <w:rFonts w:ascii="Tahoma" w:hAnsi="Tahoma" w:cs="Tahoma"/>
          <w:b/>
          <w:sz w:val="20"/>
        </w:rPr>
      </w:pPr>
      <w:bookmarkStart w:id="9" w:name="_Toc335318133"/>
      <w:bookmarkStart w:id="10" w:name="_Toc335318216"/>
      <w:bookmarkStart w:id="11" w:name="_Ref15461609"/>
      <w:bookmarkStart w:id="12" w:name="_Ref15467394"/>
      <w:r>
        <w:rPr>
          <w:rFonts w:ascii="Tahoma" w:hAnsi="Tahoma" w:cs="Tahoma"/>
          <w:b/>
          <w:sz w:val="20"/>
        </w:rPr>
        <w:t>DOBA A MÍSTO PLNĚNÍ</w:t>
      </w:r>
      <w:bookmarkEnd w:id="9"/>
      <w:bookmarkEnd w:id="10"/>
      <w:bookmarkEnd w:id="11"/>
      <w:bookmarkEnd w:id="12"/>
      <w:r>
        <w:rPr>
          <w:rFonts w:ascii="Tahoma" w:hAnsi="Tahoma" w:cs="Tahoma"/>
        </w:rPr>
        <w:t xml:space="preserve"> </w:t>
      </w:r>
    </w:p>
    <w:p w14:paraId="71CBDA9B" w14:textId="77777777" w:rsidR="00CD58F2" w:rsidRPr="002F2459" w:rsidRDefault="00CD58F2" w:rsidP="00CD58F2">
      <w:pPr>
        <w:numPr>
          <w:ilvl w:val="1"/>
          <w:numId w:val="1"/>
        </w:numPr>
        <w:spacing w:line="276" w:lineRule="auto"/>
        <w:ind w:left="567" w:hanging="567"/>
        <w:jc w:val="both"/>
        <w:rPr>
          <w:rFonts w:ascii="Tahoma" w:hAnsi="Tahoma" w:cs="Tahoma"/>
        </w:rPr>
      </w:pPr>
      <w:bookmarkStart w:id="13" w:name="_Ref416775255_kopie_1"/>
      <w:bookmarkStart w:id="14" w:name="_Hlk201129248"/>
      <w:r>
        <w:rPr>
          <w:rFonts w:ascii="Tahoma" w:hAnsi="Tahoma" w:cs="Tahoma"/>
        </w:rPr>
        <w:t>Poskytovatel se zavazuje poskytovat plnění a další služby v souladu se specifikací plnění zakázky</w:t>
      </w:r>
      <w:bookmarkEnd w:id="13"/>
      <w:r>
        <w:rPr>
          <w:rFonts w:ascii="Tahoma" w:hAnsi="Tahoma" w:cs="Tahoma"/>
        </w:rPr>
        <w:t xml:space="preserve">. </w:t>
      </w:r>
      <w:r w:rsidRPr="002F2459">
        <w:rPr>
          <w:rFonts w:ascii="Tahoma" w:hAnsi="Tahoma" w:cs="Tahoma"/>
        </w:rPr>
        <w:t xml:space="preserve">Poskytovatel se zavazuje provést Plnění a další služby nejpozději </w:t>
      </w:r>
      <w:r w:rsidRPr="00C51F53">
        <w:rPr>
          <w:rFonts w:ascii="Tahoma" w:hAnsi="Tahoma" w:cs="Tahoma"/>
        </w:rPr>
        <w:t>do 5.12.2025</w:t>
      </w:r>
      <w:r w:rsidRPr="002F2459">
        <w:rPr>
          <w:rFonts w:ascii="Tahoma" w:hAnsi="Tahoma" w:cs="Tahoma"/>
        </w:rPr>
        <w:t xml:space="preserve"> ode dne podpisu této smlouvy a nejpozději poslední den této lhůty předat Plnění a další služby bez vad a nedodělků bránících užívání Plnění a dalších služeb objednateli.</w:t>
      </w:r>
      <w:r>
        <w:rPr>
          <w:rFonts w:ascii="Tahoma" w:hAnsi="Tahoma" w:cs="Tahoma"/>
        </w:rPr>
        <w:t xml:space="preserve"> </w:t>
      </w:r>
      <w:bookmarkStart w:id="15" w:name="_Hlk194317953"/>
      <w:r w:rsidRPr="00C51F53">
        <w:rPr>
          <w:rFonts w:ascii="Tahoma" w:hAnsi="Tahoma" w:cs="Tahoma"/>
        </w:rPr>
        <w:t>Nejzazší termín fakturace za provedené plnění je stanoven do 12.12.2025 včetně.</w:t>
      </w:r>
      <w:r>
        <w:rPr>
          <w:rFonts w:ascii="Tahoma" w:hAnsi="Tahoma" w:cs="Tahoma"/>
        </w:rPr>
        <w:t xml:space="preserve"> </w:t>
      </w:r>
      <w:r w:rsidRPr="008A2D8B">
        <w:rPr>
          <w:rFonts w:ascii="Tahoma" w:hAnsi="Tahoma" w:cs="Tahoma"/>
        </w:rPr>
        <w:t>Dřívější dokončení a předání plnění je přípustné, pokud tím není dotčena kvalita ani rozsah plnění podle této smlouvy.</w:t>
      </w:r>
      <w:r w:rsidRPr="002F2459">
        <w:rPr>
          <w:rFonts w:ascii="Tahoma" w:hAnsi="Tahoma" w:cs="Tahoma"/>
        </w:rPr>
        <w:t xml:space="preserve"> </w:t>
      </w:r>
      <w:bookmarkEnd w:id="15"/>
    </w:p>
    <w:bookmarkEnd w:id="14"/>
    <w:p w14:paraId="348E5895" w14:textId="77777777" w:rsidR="00CD58F2" w:rsidRPr="00623B6D" w:rsidRDefault="00CD58F2" w:rsidP="00CD58F2">
      <w:pPr>
        <w:numPr>
          <w:ilvl w:val="1"/>
          <w:numId w:val="1"/>
        </w:numPr>
        <w:spacing w:line="276" w:lineRule="auto"/>
        <w:ind w:left="567" w:hanging="567"/>
        <w:jc w:val="both"/>
        <w:rPr>
          <w:rFonts w:ascii="Tahoma" w:hAnsi="Tahoma" w:cs="Tahoma"/>
        </w:rPr>
      </w:pPr>
      <w:r w:rsidRPr="002F2459">
        <w:rPr>
          <w:rFonts w:ascii="Tahoma" w:hAnsi="Tahoma" w:cs="Tahoma"/>
        </w:rPr>
        <w:t>Místem plnění je sídlo objednatele a jím užívané budovy v Olomouci a Kroměříži</w:t>
      </w:r>
      <w:r>
        <w:rPr>
          <w:rFonts w:ascii="Tahoma" w:hAnsi="Tahoma" w:cs="Tahoma"/>
        </w:rPr>
        <w:t>.</w:t>
      </w:r>
    </w:p>
    <w:p w14:paraId="53E911BD" w14:textId="77777777" w:rsidR="00CD58F2" w:rsidRPr="00623B6D" w:rsidRDefault="00CD58F2" w:rsidP="00CD58F2">
      <w:pPr>
        <w:numPr>
          <w:ilvl w:val="1"/>
          <w:numId w:val="1"/>
        </w:numPr>
        <w:spacing w:line="276" w:lineRule="auto"/>
        <w:ind w:left="567" w:hanging="567"/>
        <w:jc w:val="both"/>
        <w:rPr>
          <w:rFonts w:ascii="Tahoma" w:hAnsi="Tahoma" w:cs="Tahoma"/>
        </w:rPr>
      </w:pPr>
      <w:r>
        <w:rPr>
          <w:rFonts w:ascii="Tahoma" w:hAnsi="Tahoma" w:cs="Tahoma"/>
        </w:rPr>
        <w:lastRenderedPageBreak/>
        <w:t xml:space="preserve">Přípravné a programovací práce je poskytovatel oprávněn realizovat na svém vlastním technickém vybavení. </w:t>
      </w:r>
    </w:p>
    <w:p w14:paraId="2F5A4FAF"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Pokud to povaha plnění dle smlouvy umožňuje, je poskytovatel oprávněn poskytovat plnění dle smlouvy také formou vzdáleného přístupu. </w:t>
      </w:r>
    </w:p>
    <w:p w14:paraId="36AFC61D"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Veškeré výstupy, které je podle smlouvy poskytovatel povinen vytvořit a/nebo které při plnění smlouvy vzniknou, budou poskytovatelem objednateli předány v sídle objednatele, nebude-li mezi smluvními stranami v konkrétním případě dohodnuto jinak.</w:t>
      </w:r>
    </w:p>
    <w:p w14:paraId="105022B3" w14:textId="77777777" w:rsidR="00CD58F2" w:rsidRDefault="00CD58F2" w:rsidP="00CD58F2">
      <w:pPr>
        <w:spacing w:line="276" w:lineRule="auto"/>
        <w:ind w:left="567"/>
        <w:jc w:val="both"/>
        <w:rPr>
          <w:rFonts w:ascii="Tahoma" w:hAnsi="Tahoma" w:cs="Tahoma"/>
        </w:rPr>
      </w:pPr>
    </w:p>
    <w:p w14:paraId="6D4FF089" w14:textId="77777777" w:rsidR="00CD58F2" w:rsidRDefault="00CD58F2" w:rsidP="00CD58F2">
      <w:pPr>
        <w:spacing w:line="276" w:lineRule="auto"/>
        <w:ind w:left="567"/>
        <w:jc w:val="both"/>
        <w:rPr>
          <w:rFonts w:ascii="Tahoma" w:hAnsi="Tahoma" w:cs="Tahoma"/>
        </w:rPr>
      </w:pPr>
    </w:p>
    <w:p w14:paraId="2ECBAADC" w14:textId="77777777" w:rsidR="00CD58F2" w:rsidRDefault="00CD58F2" w:rsidP="00CD58F2">
      <w:pPr>
        <w:pStyle w:val="Nadpis1"/>
        <w:numPr>
          <w:ilvl w:val="0"/>
          <w:numId w:val="1"/>
        </w:numPr>
        <w:spacing w:line="276" w:lineRule="auto"/>
        <w:ind w:left="567" w:hanging="480"/>
        <w:rPr>
          <w:rFonts w:ascii="Tahoma" w:hAnsi="Tahoma" w:cs="Tahoma"/>
          <w:b/>
          <w:sz w:val="20"/>
        </w:rPr>
      </w:pPr>
      <w:bookmarkStart w:id="16" w:name="_Toc335318134"/>
      <w:bookmarkStart w:id="17" w:name="_Toc335318217"/>
      <w:r>
        <w:rPr>
          <w:rFonts w:ascii="Tahoma" w:hAnsi="Tahoma" w:cs="Tahoma"/>
          <w:b/>
          <w:sz w:val="20"/>
        </w:rPr>
        <w:t>CENA</w:t>
      </w:r>
      <w:bookmarkEnd w:id="16"/>
      <w:bookmarkEnd w:id="17"/>
      <w:r>
        <w:rPr>
          <w:rFonts w:ascii="Tahoma" w:hAnsi="Tahoma" w:cs="Tahoma"/>
          <w:b/>
          <w:sz w:val="20"/>
        </w:rPr>
        <w:t xml:space="preserve"> PLNĚNÍ A PLATEBNÍ PODMÍNKY</w:t>
      </w:r>
    </w:p>
    <w:p w14:paraId="566693C3" w14:textId="77777777" w:rsidR="00CD58F2" w:rsidRPr="002F2459" w:rsidRDefault="00CD58F2" w:rsidP="00CD58F2">
      <w:pPr>
        <w:numPr>
          <w:ilvl w:val="1"/>
          <w:numId w:val="1"/>
        </w:numPr>
        <w:spacing w:line="276" w:lineRule="auto"/>
        <w:ind w:left="567" w:hanging="567"/>
        <w:jc w:val="both"/>
        <w:rPr>
          <w:rFonts w:ascii="Tahoma" w:hAnsi="Tahoma" w:cs="Tahoma"/>
        </w:rPr>
      </w:pPr>
      <w:bookmarkStart w:id="18" w:name="_Ref339443915"/>
      <w:bookmarkStart w:id="19" w:name="_Ref317258282"/>
      <w:r w:rsidRPr="002F2459">
        <w:rPr>
          <w:rFonts w:ascii="Tahoma" w:hAnsi="Tahoma" w:cs="Tahoma"/>
        </w:rPr>
        <w:t xml:space="preserve">Cena za provedené dílo je stanovena dohodou smluvních stran a činí </w:t>
      </w:r>
      <w:r w:rsidRPr="00E83260">
        <w:rPr>
          <w:rFonts w:ascii="Tahoma" w:hAnsi="Tahoma" w:cs="Tahoma"/>
        </w:rPr>
        <w:t>168 000</w:t>
      </w:r>
      <w:r w:rsidRPr="002F2459">
        <w:rPr>
          <w:rFonts w:ascii="Tahoma" w:hAnsi="Tahoma" w:cs="Tahoma"/>
        </w:rPr>
        <w:t xml:space="preserve"> Kč bez DPH, tj. </w:t>
      </w:r>
      <w:r w:rsidRPr="00E83260">
        <w:rPr>
          <w:rFonts w:ascii="Tahoma" w:hAnsi="Tahoma" w:cs="Tahoma"/>
        </w:rPr>
        <w:t>203 280</w:t>
      </w:r>
      <w:r w:rsidRPr="002F2459">
        <w:rPr>
          <w:rFonts w:ascii="Tahoma" w:hAnsi="Tahoma" w:cs="Tahoma"/>
        </w:rPr>
        <w:t xml:space="preserve"> Kč vč. DPH.</w:t>
      </w:r>
      <w:bookmarkEnd w:id="18"/>
      <w:bookmarkEnd w:id="19"/>
    </w:p>
    <w:p w14:paraId="383F7183"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Součástí cen uvedených v tomto článku smlouvy jsou i služby nezbytné pro řádné a úplné poskytování předmětu plnění, vč. odměny za poskytnutí licence.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předmětu plnění dle smlouvy, jakož nákladů souvisejících se zajištěním dalších podkladů, předpisů apod.). </w:t>
      </w:r>
    </w:p>
    <w:p w14:paraId="74F287FA"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Veškeré ceny uvedené v tomto článku smlouvy jsou cenami maximálními, nejvýše přípustnými, nepřekročitelnými a jsou platné a neměnné po celou dobu platnosti smlouvy, není-li uvedeno výslovně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DPH je stanovena v souladu s platnými právními předpisy. </w:t>
      </w:r>
    </w:p>
    <w:p w14:paraId="17577669" w14:textId="77777777" w:rsidR="00CD58F2" w:rsidRPr="008C34BF" w:rsidRDefault="00CD58F2" w:rsidP="00CD58F2">
      <w:pPr>
        <w:numPr>
          <w:ilvl w:val="1"/>
          <w:numId w:val="1"/>
        </w:numPr>
        <w:spacing w:line="276" w:lineRule="auto"/>
        <w:ind w:left="567" w:hanging="567"/>
        <w:jc w:val="both"/>
        <w:rPr>
          <w:rFonts w:ascii="Tahoma" w:hAnsi="Tahoma" w:cs="Tahoma"/>
        </w:rPr>
      </w:pPr>
      <w:bookmarkStart w:id="20" w:name="_Ref417310787"/>
      <w:r w:rsidRPr="008C34BF">
        <w:rPr>
          <w:rFonts w:ascii="Tahoma" w:hAnsi="Tahoma" w:cs="Tahoma"/>
        </w:rPr>
        <w:t>Cena dle smlouvy bude hrazena na základě daňového dokladu (dále jen „</w:t>
      </w:r>
      <w:r w:rsidRPr="008C34BF">
        <w:rPr>
          <w:rFonts w:ascii="Tahoma" w:hAnsi="Tahoma" w:cs="Tahoma"/>
          <w:b/>
          <w:bCs/>
          <w:i/>
          <w:iCs/>
        </w:rPr>
        <w:t>Faktury</w:t>
      </w:r>
      <w:r w:rsidRPr="008C34BF">
        <w:rPr>
          <w:rFonts w:ascii="Tahoma" w:hAnsi="Tahoma" w:cs="Tahoma"/>
        </w:rPr>
        <w:t>“) vystavené poskytovatelem následovně:</w:t>
      </w:r>
      <w:bookmarkEnd w:id="20"/>
      <w:r>
        <w:rPr>
          <w:rFonts w:ascii="Tahoma" w:hAnsi="Tahoma" w:cs="Tahoma"/>
        </w:rPr>
        <w:t xml:space="preserve"> </w:t>
      </w:r>
      <w:r w:rsidRPr="008C34BF">
        <w:rPr>
          <w:rFonts w:ascii="Tahoma" w:hAnsi="Tahoma" w:cs="Tahoma"/>
        </w:rPr>
        <w:t>Právo fakturovat cenu vzniká poskytovateli na základě poskytnutých služeb, a to na základě faktury. Přílohou faktury bude odsouhlasený soupis poskytnutých služeb (dále také „</w:t>
      </w:r>
      <w:r w:rsidRPr="008C34BF">
        <w:rPr>
          <w:rFonts w:ascii="Tahoma" w:hAnsi="Tahoma" w:cs="Tahoma"/>
          <w:b/>
          <w:bCs/>
        </w:rPr>
        <w:t>akceptační protokol“</w:t>
      </w:r>
      <w:r w:rsidRPr="008C34BF">
        <w:rPr>
          <w:rFonts w:ascii="Tahoma" w:hAnsi="Tahoma" w:cs="Tahoma"/>
        </w:rPr>
        <w:t xml:space="preserve">). </w:t>
      </w:r>
    </w:p>
    <w:p w14:paraId="116665E6"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Originál akceptačního protokolu podepsaného pověřenými zástupci obou smluvních stran je povinnou náležitostí faktury vystavené poskytovatelem za poskytnutí plnění dle smlouvy. V případě, že plnění není akceptováno některým z uvedených způsobů, poskytovatel není oprávněn vystavit fakturu, není-li výslovně uvedeno jinak.</w:t>
      </w:r>
    </w:p>
    <w:p w14:paraId="205FF489"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Faktura musí mít náležitosti daňového dokladu dle zákona o DPH a náležitosti stanovené dalšími obecně závaznými právními předpisy. </w:t>
      </w:r>
      <w:bookmarkStart w:id="21" w:name="_Ref305399097"/>
      <w:r>
        <w:rPr>
          <w:rFonts w:ascii="Tahoma" w:hAnsi="Tahoma" w:cs="Tahoma"/>
        </w:rPr>
        <w:t xml:space="preserve">Na faktuře bude uvedeno, že projekt je financovaný z Národního plánu obnovy a číslo projektu CZ.31.2.0/0.0/0.0/23_094/0010331. </w:t>
      </w:r>
    </w:p>
    <w:p w14:paraId="1C34E64B" w14:textId="77777777" w:rsidR="00CD58F2" w:rsidRDefault="00CD58F2" w:rsidP="00CD58F2">
      <w:pPr>
        <w:numPr>
          <w:ilvl w:val="1"/>
          <w:numId w:val="1"/>
        </w:numPr>
        <w:spacing w:line="276" w:lineRule="auto"/>
        <w:ind w:left="567" w:hanging="567"/>
        <w:jc w:val="both"/>
        <w:rPr>
          <w:rFonts w:ascii="Tahoma" w:hAnsi="Tahoma" w:cs="Tahoma"/>
        </w:rPr>
      </w:pPr>
      <w:r w:rsidRPr="00DA4943">
        <w:rPr>
          <w:rFonts w:ascii="Tahoma" w:hAnsi="Tahoma" w:cs="Tahoma"/>
        </w:rPr>
        <w:t xml:space="preserve">Lhůta splatnosti faktury je dohodou stanovena </w:t>
      </w:r>
      <w:r w:rsidRPr="00F5501F">
        <w:rPr>
          <w:rFonts w:ascii="Tahoma" w:hAnsi="Tahoma" w:cs="Tahoma"/>
        </w:rPr>
        <w:t>na 30 kalendářních dnů</w:t>
      </w:r>
      <w:r>
        <w:rPr>
          <w:rFonts w:ascii="Tahoma" w:hAnsi="Tahoma" w:cs="Tahoma"/>
        </w:rPr>
        <w:t xml:space="preserve"> ode dne jejího doručení objednateli. </w:t>
      </w:r>
      <w:bookmarkEnd w:id="21"/>
    </w:p>
    <w:p w14:paraId="34737967"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Nebude-li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prokazatelného doručení nové faktury.</w:t>
      </w:r>
    </w:p>
    <w:p w14:paraId="4D053A0F"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lastRenderedPageBreak/>
        <w:t>Zálohy na platby nejsou sjednány.</w:t>
      </w:r>
    </w:p>
    <w:p w14:paraId="5C9142E4"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Poskytovatel není oprávněn započíst jakékoliv pohledávky proti nárokům objednatele. Pohledávky a nároky poskytovatele vzniklé v souvislosti se smlouvou nesmějí být postoupeny třetím osobám, zastaveny, nebo s nimi jinak disponováno. Jakýkoliv právní úkon učiněný poskytovatelem v rozporu s tímto ustanovením smlouvy bude považován za příčící se dobrým mravům.</w:t>
      </w:r>
    </w:p>
    <w:p w14:paraId="4BBFFED1" w14:textId="77777777" w:rsidR="00CD58F2" w:rsidRDefault="00CD58F2" w:rsidP="00CD58F2">
      <w:pPr>
        <w:widowControl w:val="0"/>
        <w:spacing w:line="276" w:lineRule="auto"/>
        <w:ind w:left="567"/>
        <w:jc w:val="both"/>
        <w:rPr>
          <w:rFonts w:ascii="Tahoma" w:hAnsi="Tahoma" w:cs="Tahoma"/>
        </w:rPr>
      </w:pPr>
    </w:p>
    <w:p w14:paraId="1F9F7789" w14:textId="77777777" w:rsidR="00CD58F2" w:rsidRPr="003D7E5D" w:rsidRDefault="00CD58F2" w:rsidP="00CD58F2">
      <w:pPr>
        <w:pStyle w:val="Nadpis1"/>
        <w:keepNext w:val="0"/>
        <w:widowControl w:val="0"/>
        <w:numPr>
          <w:ilvl w:val="0"/>
          <w:numId w:val="1"/>
        </w:numPr>
        <w:spacing w:line="276" w:lineRule="auto"/>
        <w:ind w:left="567" w:hanging="482"/>
        <w:rPr>
          <w:rFonts w:ascii="Tahoma" w:hAnsi="Tahoma" w:cs="Tahoma"/>
          <w:b/>
          <w:sz w:val="20"/>
        </w:rPr>
      </w:pPr>
      <w:bookmarkStart w:id="22" w:name="_Toc335318136"/>
      <w:bookmarkStart w:id="23" w:name="_Toc335318219"/>
      <w:bookmarkStart w:id="24" w:name="_Ref339444002"/>
      <w:bookmarkStart w:id="25" w:name="_Ref416773355"/>
      <w:bookmarkStart w:id="26" w:name="_Ref416794416"/>
      <w:r w:rsidRPr="003D7E5D">
        <w:rPr>
          <w:rFonts w:ascii="Tahoma" w:hAnsi="Tahoma" w:cs="Tahoma"/>
          <w:b/>
          <w:sz w:val="20"/>
        </w:rPr>
        <w:t>PŘEDÁVÁNÍ A PŘEVZETÍ PLNĚNÍ</w:t>
      </w:r>
      <w:bookmarkEnd w:id="22"/>
      <w:bookmarkEnd w:id="23"/>
      <w:bookmarkEnd w:id="24"/>
      <w:bookmarkEnd w:id="25"/>
      <w:bookmarkEnd w:id="26"/>
    </w:p>
    <w:p w14:paraId="43B993EB" w14:textId="77777777" w:rsidR="00CD58F2" w:rsidRPr="003D7E5D" w:rsidRDefault="00CD58F2" w:rsidP="00CD58F2">
      <w:pPr>
        <w:numPr>
          <w:ilvl w:val="1"/>
          <w:numId w:val="1"/>
        </w:numPr>
        <w:spacing w:line="276" w:lineRule="auto"/>
        <w:ind w:left="567" w:hanging="567"/>
        <w:jc w:val="both"/>
        <w:rPr>
          <w:rFonts w:ascii="Tahoma" w:hAnsi="Tahoma" w:cs="Tahoma"/>
        </w:rPr>
      </w:pPr>
      <w:r w:rsidRPr="003D7E5D">
        <w:rPr>
          <w:rFonts w:ascii="Tahoma" w:hAnsi="Tahoma" w:cs="Tahoma"/>
        </w:rPr>
        <w:t>Plnění bude poskytovatelem předáno a objednatelem převzato na základě akceptace v rámci akceptační schůzky, která se bude konat na základě výzvy poskytovatele po ukončení plnění, a to následovně:</w:t>
      </w:r>
    </w:p>
    <w:p w14:paraId="416C6D59" w14:textId="77777777" w:rsidR="00CD58F2" w:rsidRPr="003D7E5D" w:rsidRDefault="00CD58F2" w:rsidP="00CD58F2">
      <w:pPr>
        <w:widowControl w:val="0"/>
        <w:spacing w:line="276" w:lineRule="auto"/>
        <w:ind w:left="567"/>
        <w:jc w:val="both"/>
        <w:rPr>
          <w:rFonts w:ascii="Tahoma" w:hAnsi="Tahoma" w:cs="Tahoma"/>
        </w:rPr>
      </w:pPr>
      <w:r w:rsidRPr="003D7E5D">
        <w:rPr>
          <w:rFonts w:ascii="Tahoma" w:hAnsi="Tahoma" w:cs="Tahoma"/>
        </w:rPr>
        <w:t>objednatel musí být poskytovatelem ke schůzce písemně (emailem) pozván nejpozději 7 kalendářních dnů před termínem akceptační schůzky, která se bude konat v sídle objednatele, pokud se smluvní strany nedohodnou jinak.</w:t>
      </w:r>
    </w:p>
    <w:p w14:paraId="77ABB40A" w14:textId="77777777" w:rsidR="00CD58F2" w:rsidRPr="003D7E5D" w:rsidRDefault="00CD58F2" w:rsidP="00CD58F2">
      <w:pPr>
        <w:widowControl w:val="0"/>
        <w:spacing w:line="276" w:lineRule="auto"/>
        <w:ind w:left="567"/>
        <w:jc w:val="both"/>
        <w:rPr>
          <w:rFonts w:ascii="Tahoma" w:hAnsi="Tahoma" w:cs="Tahoma"/>
        </w:rPr>
      </w:pPr>
      <w:r w:rsidRPr="003D7E5D">
        <w:rPr>
          <w:rFonts w:ascii="Tahoma" w:hAnsi="Tahoma" w:cs="Tahoma"/>
        </w:rPr>
        <w:t xml:space="preserve">V rámci akceptační schůzky bude objednatelem ověřeno, zda plnění bylo dodáno řádně dle příslušných ustanovení smlouvy. Poskytovatel se zavazuje odstranit ve lhůtě do 7 dní případně zjištěné vady. Po odstranění vady bude proveden opakovaný akceptační test dle tohoto bodu. </w:t>
      </w:r>
    </w:p>
    <w:p w14:paraId="1126D321" w14:textId="77777777" w:rsidR="00CD58F2" w:rsidRDefault="00CD58F2" w:rsidP="00CD58F2">
      <w:pPr>
        <w:widowControl w:val="0"/>
        <w:spacing w:line="276" w:lineRule="auto"/>
        <w:ind w:left="567"/>
        <w:jc w:val="both"/>
        <w:rPr>
          <w:rFonts w:ascii="Tahoma" w:hAnsi="Tahoma" w:cs="Tahoma"/>
        </w:rPr>
      </w:pPr>
      <w:bookmarkStart w:id="27" w:name="_Ref482294239"/>
      <w:r w:rsidRPr="003D7E5D">
        <w:rPr>
          <w:rFonts w:ascii="Tahoma" w:hAnsi="Tahoma" w:cs="Tahoma"/>
        </w:rPr>
        <w:t>Pokud plnění projde akceptačním testem, je objednatel povinen podepsat příslušný akceptační protokol. Podpis příslušného akceptačního protokolu objednatelem je podmínkou pro vznik oprávnění poskytovatele vystavit fakturu za poskytnutí příslušného plnění podle smlouvy.</w:t>
      </w:r>
      <w:bookmarkEnd w:id="27"/>
      <w:r>
        <w:rPr>
          <w:rFonts w:ascii="Tahoma" w:hAnsi="Tahoma" w:cs="Tahoma"/>
        </w:rPr>
        <w:t xml:space="preserve"> Pokud plnění akceptačním testem neprojde, poskytovatel s objednatelem se dohodnou na přiměřené nové lhůtě, po jejichž uplynutí bude akceptační test znovu proveden.</w:t>
      </w:r>
    </w:p>
    <w:p w14:paraId="197E5742" w14:textId="77777777" w:rsidR="00CD58F2" w:rsidRDefault="00CD58F2" w:rsidP="00CD58F2">
      <w:pPr>
        <w:widowControl w:val="0"/>
        <w:spacing w:line="276" w:lineRule="auto"/>
        <w:ind w:left="1276"/>
        <w:jc w:val="both"/>
        <w:rPr>
          <w:rFonts w:ascii="Tahoma" w:hAnsi="Tahoma" w:cs="Tahoma"/>
        </w:rPr>
      </w:pPr>
    </w:p>
    <w:p w14:paraId="1EE63048" w14:textId="77777777" w:rsidR="00CD58F2" w:rsidRDefault="00CD58F2" w:rsidP="00CD58F2">
      <w:pPr>
        <w:pStyle w:val="Nadpis1"/>
        <w:keepNext w:val="0"/>
        <w:numPr>
          <w:ilvl w:val="0"/>
          <w:numId w:val="1"/>
        </w:numPr>
        <w:spacing w:line="276" w:lineRule="auto"/>
        <w:ind w:left="567" w:hanging="482"/>
        <w:rPr>
          <w:rFonts w:ascii="Tahoma" w:hAnsi="Tahoma" w:cs="Tahoma"/>
          <w:b/>
          <w:sz w:val="20"/>
        </w:rPr>
      </w:pPr>
      <w:bookmarkStart w:id="28" w:name="_Ref480932536_kopie_1_kopie_1"/>
      <w:bookmarkStart w:id="29" w:name="_Toc335318137"/>
      <w:bookmarkStart w:id="30" w:name="_Toc335318220"/>
      <w:bookmarkStart w:id="31" w:name="_Ref339446885"/>
      <w:bookmarkStart w:id="32" w:name="_Ref340066748"/>
      <w:bookmarkStart w:id="33" w:name="_Ref340066768"/>
      <w:bookmarkEnd w:id="28"/>
      <w:r>
        <w:rPr>
          <w:rFonts w:ascii="Tahoma" w:hAnsi="Tahoma" w:cs="Tahoma"/>
          <w:b/>
          <w:sz w:val="20"/>
        </w:rPr>
        <w:t>DALŠÍ PRÁVA A POVINNOSTI SMLUVNÍCH STRAN</w:t>
      </w:r>
      <w:bookmarkEnd w:id="29"/>
      <w:bookmarkEnd w:id="30"/>
      <w:bookmarkEnd w:id="31"/>
      <w:bookmarkEnd w:id="32"/>
      <w:bookmarkEnd w:id="33"/>
    </w:p>
    <w:p w14:paraId="7FD7018F"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eastAsia="Calibri" w:hAnsi="Tahoma" w:cs="Tahoma"/>
        </w:rPr>
        <w:t>Poskytovatel je povinen:</w:t>
      </w:r>
    </w:p>
    <w:p w14:paraId="7663CF1F"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eastAsia="Calibri" w:hAnsi="Tahoma" w:cs="Tahoma"/>
        </w:rPr>
        <w:t>poskytovat řádně a včas plnění a další služby podle smlouvy bez faktických a právních, nebo jakýchkoliv dalších vad;</w:t>
      </w:r>
    </w:p>
    <w:p w14:paraId="6E0DC1FC"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eastAsia="Calibri" w:hAnsi="Tahoma" w:cs="Tahoma"/>
        </w:rP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20D7C5C7"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hAnsi="Tahoma" w:cs="Tahoma"/>
        </w:rPr>
        <w:t>bez zbytečného odkladu oznámit objednateli veškeré skutečnosti, které mohou být pro objednatele relevantní, např. mohou mít vliv na povahu nebo na podmínky poskytování plnění dle smlouvy. Zejména je povinen neprodleně písemně oznámit objednateli změny svého majetkoprávního postavení, jako je např. přeměna společnosti, vstup do likvidace, úpadek či prohlášení konkurzu, nebo významné změny v managementu poskytovatele;</w:t>
      </w:r>
    </w:p>
    <w:p w14:paraId="10CB260F"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hAnsi="Tahoma" w:cs="Tahoma"/>
        </w:rPr>
        <w:t>informovat bezodkladně objednatele o jakýchkoliv překážkách plnění, byť by za ně poskytovatel neodpovídal, o vznesených požadavcích orgánů státního dozoru a o uplatněných nárocích třetích osob, které by mohly plnění dle smlouvy ovlivnit;</w:t>
      </w:r>
    </w:p>
    <w:p w14:paraId="5C7FBADB"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eastAsia="Calibri" w:hAnsi="Tahoma" w:cs="Tahoma"/>
        </w:rPr>
        <w:t>poskytnout objednateli veškerou nezbytnou součinnost k naplnění účelu smlouvy;</w:t>
      </w:r>
    </w:p>
    <w:p w14:paraId="2B30403F"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eastAsia="Calibri" w:hAnsi="Tahoma" w:cs="Tahoma"/>
        </w:rPr>
        <w:t>na žádost objednatele spolupracovat či poskytnout součinnost dalším dodavatelům objednatele;</w:t>
      </w:r>
    </w:p>
    <w:p w14:paraId="751D7ECF"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hAnsi="Tahoma" w:cs="Tahoma"/>
        </w:rPr>
        <w:t xml:space="preserve">dodržovat provozní řád v místě plnění a provádět svoji činnost tak, aby nebyl v nadbytečném rozsahu omezen provoz na pracovištích objednatele. Poskytovatel zajistí, </w:t>
      </w:r>
      <w:r>
        <w:rPr>
          <w:rFonts w:ascii="Tahoma" w:hAnsi="Tahoma" w:cs="Tahoma"/>
        </w:rPr>
        <w:lastRenderedPageBreak/>
        <w:t>aby všechny osoby, které se na jeho straně podílí na plnění předmětu smlouvy, a které budou přítomny v prostorách objednatele, dodržovaly všechny bezpečnostní a provozní předpisy tak, jak s nimi byly seznámeny objednatelem</w:t>
      </w:r>
      <w:r>
        <w:rPr>
          <w:rFonts w:ascii="Tahoma" w:eastAsia="Calibri" w:hAnsi="Tahoma" w:cs="Tahoma"/>
        </w:rPr>
        <w:t>;</w:t>
      </w:r>
    </w:p>
    <w:p w14:paraId="0796C7CF" w14:textId="77777777" w:rsidR="00CD58F2" w:rsidRDefault="00CD58F2" w:rsidP="00CD58F2">
      <w:pPr>
        <w:numPr>
          <w:ilvl w:val="2"/>
          <w:numId w:val="4"/>
        </w:numPr>
        <w:spacing w:line="276" w:lineRule="auto"/>
        <w:ind w:left="1276"/>
        <w:jc w:val="both"/>
        <w:rPr>
          <w:rFonts w:ascii="Tahoma" w:eastAsia="Calibri" w:hAnsi="Tahoma" w:cs="Tahoma"/>
        </w:rPr>
      </w:pPr>
      <w:bookmarkStart w:id="34" w:name="_Ref339446728"/>
      <w:r>
        <w:rPr>
          <w:rFonts w:ascii="Tahoma" w:eastAsia="Calibri" w:hAnsi="Tahoma" w:cs="Tahoma"/>
        </w:rPr>
        <w:t>informovat objednatele na jeho žádost o průběhu plnění předmětu smlouvy a akceptovat jeho pokyny a připomínky k plnění předmětu smlouvy;</w:t>
      </w:r>
      <w:bookmarkEnd w:id="34"/>
    </w:p>
    <w:p w14:paraId="3E7C065F"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hAnsi="Tahoma" w:cs="Tahoma"/>
          <w:iCs/>
        </w:rPr>
        <w:t>použít veškeré podklady předané mu objednatelem pouze pro účely smlouvy a zabezpečit jejich řádné vrácení objednateli, bude-li to objektivně možné vzhledem k jejich povaze a způsobu použití</w:t>
      </w:r>
      <w:r>
        <w:rPr>
          <w:rFonts w:ascii="Tahoma" w:eastAsia="Calibri" w:hAnsi="Tahoma" w:cs="Tahoma"/>
        </w:rPr>
        <w:t>.</w:t>
      </w:r>
    </w:p>
    <w:p w14:paraId="370D50DD" w14:textId="77777777" w:rsidR="00CD58F2" w:rsidRPr="003D7E5D" w:rsidRDefault="00CD58F2" w:rsidP="00CD58F2">
      <w:pPr>
        <w:numPr>
          <w:ilvl w:val="2"/>
          <w:numId w:val="4"/>
        </w:numPr>
        <w:spacing w:line="276" w:lineRule="auto"/>
        <w:ind w:left="1276"/>
        <w:jc w:val="both"/>
        <w:rPr>
          <w:rFonts w:ascii="Tahoma" w:eastAsia="Calibri" w:hAnsi="Tahoma" w:cs="Tahoma"/>
        </w:rPr>
      </w:pPr>
      <w:r w:rsidRPr="00003BB7">
        <w:rPr>
          <w:rFonts w:ascii="Tahoma" w:eastAsia="Calibri" w:hAnsi="Tahoma" w:cs="Tahoma"/>
        </w:rPr>
        <w:t xml:space="preserve">ustanovit realizační tým, jehož členové disponují odbornou způsobilostí a kvalifikací potřebnou k řádnému poskytnutí předmětu plnění. Poskytovatel Zadavateli před zahájením plnění bezodkladně </w:t>
      </w:r>
      <w:r>
        <w:rPr>
          <w:rFonts w:ascii="Tahoma" w:eastAsia="Calibri" w:hAnsi="Tahoma" w:cs="Tahoma"/>
        </w:rPr>
        <w:t>zašle</w:t>
      </w:r>
      <w:r w:rsidRPr="00003BB7">
        <w:rPr>
          <w:rFonts w:ascii="Tahoma" w:eastAsia="Calibri" w:hAnsi="Tahoma" w:cs="Tahoma"/>
        </w:rPr>
        <w:t xml:space="preserve"> složení tohoto týmu, především kontaktní údaje jednotlivých členů, jejich funkční zařazení a veškeré další nezbytné údaje, aby zadavatel mohl účinně komunikovat a zajišťovat kontrolu plnění.</w:t>
      </w:r>
      <w:r>
        <w:rPr>
          <w:rFonts w:ascii="Tahoma" w:eastAsia="Calibri" w:hAnsi="Tahoma" w:cs="Tahoma"/>
        </w:rPr>
        <w:t xml:space="preserve"> </w:t>
      </w:r>
      <w:bookmarkStart w:id="35" w:name="_Hlk193108967"/>
      <w:r>
        <w:rPr>
          <w:rFonts w:ascii="Tahoma" w:eastAsia="Calibri" w:hAnsi="Tahoma" w:cs="Tahoma"/>
        </w:rPr>
        <w:t>Poskytovatel zašle složení týmu na email uvedený u kontaktní osoby Zadavatele.</w:t>
      </w:r>
      <w:bookmarkEnd w:id="35"/>
      <w:r>
        <w:rPr>
          <w:rFonts w:ascii="Tahoma" w:eastAsia="Calibri" w:hAnsi="Tahoma" w:cs="Tahoma"/>
        </w:rPr>
        <w:t xml:space="preserve"> Stejným způsobem oznamuje Poskytovatel případné změny v týmu.</w:t>
      </w:r>
    </w:p>
    <w:p w14:paraId="14E40CC6"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eastAsia="Calibri" w:hAnsi="Tahoma" w:cs="Tahoma"/>
        </w:rPr>
        <w:t xml:space="preserve">Poskytovatel se při plnění dle této smlouvy musí chovat sociálně zodpovědně a minimalizovat negativní dopady na životní prostředí způsobené svou činností. </w:t>
      </w:r>
    </w:p>
    <w:p w14:paraId="0BCABD48" w14:textId="77777777" w:rsidR="00CD58F2" w:rsidRDefault="00CD58F2" w:rsidP="00CD58F2">
      <w:pPr>
        <w:numPr>
          <w:ilvl w:val="2"/>
          <w:numId w:val="4"/>
        </w:numPr>
        <w:spacing w:line="276" w:lineRule="auto"/>
        <w:ind w:left="1276"/>
        <w:jc w:val="both"/>
        <w:rPr>
          <w:rFonts w:ascii="Tahoma" w:hAnsi="Tahoma"/>
        </w:rPr>
      </w:pPr>
      <w:r>
        <w:rPr>
          <w:rFonts w:ascii="Tahoma" w:eastAsia="Calibri" w:hAnsi="Tahoma" w:cs="Tahoma"/>
        </w:rPr>
        <w:t>Poskytovatel se zavazuje, že bude při plnění této smlouvy zohledňovat a dodržovat zásady, zejména:</w:t>
      </w:r>
    </w:p>
    <w:p w14:paraId="7BCC3337" w14:textId="77777777" w:rsidR="00CD58F2" w:rsidRDefault="00CD58F2" w:rsidP="00CD58F2">
      <w:pPr>
        <w:spacing w:line="276" w:lineRule="auto"/>
        <w:ind w:left="1276"/>
        <w:jc w:val="both"/>
        <w:rPr>
          <w:rFonts w:ascii="Tahoma" w:hAnsi="Tahoma"/>
        </w:rPr>
      </w:pPr>
      <w:r>
        <w:rPr>
          <w:rFonts w:ascii="Tahoma" w:hAnsi="Tahoma"/>
        </w:rPr>
        <w:t>- sociálně odpovědného zadávání (například podporou zaměstnanosti osob znevýhodněných na trhu práce a jejich sociálního začlenění, důstojné pracovní podmínky a další sociálně relevantní hlediska spojená s plnění této smlouvy - zapojení osob znevýhodněných na trhu práce do realizace, podpora vzdělávání, praxe a rekvalifikace, podpora důstojných pracovních podmínek a bezpečnosti práce, etické nakupování, využití recyklovaných materiálů nebo výrobků, využití technologií a výrobních postupů šetrných k životnímu prostředí, podpora inovativního přístupu u smluvních subdodavatelů, použití inovativních produktů aj.);</w:t>
      </w:r>
    </w:p>
    <w:p w14:paraId="63D5D0CB" w14:textId="77777777" w:rsidR="00CD58F2" w:rsidRDefault="00CD58F2" w:rsidP="00CD58F2">
      <w:pPr>
        <w:spacing w:line="276" w:lineRule="auto"/>
        <w:ind w:left="1276"/>
        <w:jc w:val="both"/>
        <w:rPr>
          <w:rFonts w:ascii="Tahoma" w:hAnsi="Tahoma"/>
        </w:rPr>
      </w:pPr>
      <w:r>
        <w:rPr>
          <w:rFonts w:ascii="Tahoma" w:hAnsi="Tahoma"/>
        </w:rPr>
        <w:t>- environmentálně odpovědného zadávání a inovací ve smyslu zákona č. 134/2016 Sb., o zadávání veřejných zakázek, ve znění pozdějších předpisů, (například povinnost zohlednit dopad na životní prostředí, trvale udržitelný rozvoj, životní cyklus dodávky, služby a další environmentálně relevantní hlediska spojená se svou podnikatelskou činností);</w:t>
      </w:r>
    </w:p>
    <w:p w14:paraId="1CB7F9DA" w14:textId="77777777" w:rsidR="00CD58F2" w:rsidRDefault="00CD58F2" w:rsidP="00CD58F2">
      <w:pPr>
        <w:spacing w:line="276" w:lineRule="auto"/>
        <w:ind w:left="1276"/>
        <w:jc w:val="both"/>
        <w:rPr>
          <w:rFonts w:ascii="Tahoma" w:hAnsi="Tahoma"/>
        </w:rPr>
      </w:pPr>
      <w:r>
        <w:rPr>
          <w:rFonts w:ascii="Tahoma" w:hAnsi="Tahoma"/>
        </w:rPr>
        <w:t xml:space="preserve">- inovací vztahující se poskytovaným službám spojených s předmětem této Smlouvy, pokud z hlediska povahy a smyslu plnění předmětu této Smlouvy bude možné tyto zásady uplatnit, </w:t>
      </w:r>
      <w:r w:rsidRPr="00FD4185">
        <w:rPr>
          <w:rFonts w:ascii="Tahoma" w:hAnsi="Tahoma"/>
        </w:rPr>
        <w:t>a pokud nijak nesníží kvalitu plnění a dalších služeb podle této smlouvy</w:t>
      </w:r>
      <w:r>
        <w:rPr>
          <w:rFonts w:ascii="Tahoma" w:hAnsi="Tahoma"/>
        </w:rPr>
        <w:t>.</w:t>
      </w:r>
    </w:p>
    <w:p w14:paraId="58F8EE92" w14:textId="77777777" w:rsidR="00CD58F2" w:rsidRDefault="00CD58F2" w:rsidP="00CD58F2">
      <w:pPr>
        <w:numPr>
          <w:ilvl w:val="2"/>
          <w:numId w:val="4"/>
        </w:numPr>
        <w:spacing w:line="276" w:lineRule="auto"/>
        <w:ind w:left="1276"/>
        <w:jc w:val="both"/>
        <w:rPr>
          <w:rFonts w:ascii="Tahoma" w:eastAsia="Calibri" w:hAnsi="Tahoma" w:cs="Tahoma"/>
        </w:rPr>
      </w:pPr>
      <w:r>
        <w:rPr>
          <w:rFonts w:ascii="Tahoma" w:eastAsia="Calibri" w:hAnsi="Tahoma" w:cs="Tahoma"/>
        </w:rPr>
        <w:t>Poskytovatel, včetně všech svých poddodavatelů, je povinen uchovávat veškerou dokumentaci související s realizací této smlouvy vč. účetních dokladů minimálně do konce roku 2036. Pokud je v českých právních předpisech stanovena lhůta delší, je prodávající povinen dokumentaci vč. účetních dokladů uchovávat po dobu lhůty stanovené těmito právními předpisy.</w:t>
      </w:r>
    </w:p>
    <w:p w14:paraId="60E530BA"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Objednatel se zavazuje poskytnout poskytovateli součinnost potřebnou k řádné realizaci předmětu smlouvy, a to především v oblastech, které jdou nad rámec odborných znalostí, které se od poskytovatele oprávněně očekávají a jsou pro realizaci předmětu plnění smlouvy nezbytné. Objednatel se v rámci součinnosti zavazuje zejména v rozsahu nezbytném pro řádné plnění dle této smlouvy zajistit potřebnou organizační a personální součinnost, zajistit potřebnou technickou součinnost, poskytnout potřebné informace, doklady, podklady a jiná data.</w:t>
      </w:r>
    </w:p>
    <w:p w14:paraId="538B39AB" w14:textId="77777777" w:rsidR="00CD58F2" w:rsidRDefault="00CD58F2" w:rsidP="00CD58F2">
      <w:pPr>
        <w:numPr>
          <w:ilvl w:val="1"/>
          <w:numId w:val="1"/>
        </w:numPr>
        <w:spacing w:line="276" w:lineRule="auto"/>
        <w:ind w:left="567" w:hanging="567"/>
        <w:jc w:val="both"/>
        <w:rPr>
          <w:rFonts w:ascii="Tahoma" w:hAnsi="Tahoma" w:cs="Tahoma"/>
        </w:rPr>
      </w:pPr>
      <w:bookmarkStart w:id="36" w:name="_Ref339446913"/>
      <w:r>
        <w:rPr>
          <w:rFonts w:ascii="Tahoma" w:hAnsi="Tahoma" w:cs="Tahoma"/>
        </w:rPr>
        <w:lastRenderedPageBreak/>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bookmarkEnd w:id="36"/>
    </w:p>
    <w:p w14:paraId="1F3036C1"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Objednatel má právo přesvědčit se kdykoliv v průběhu realizace plnění smlouvy o stavu realizace plnění a poskytovatel mu k tomuto musí vytvořit přiměřené podmínky, případné náklady nese poskytovatel.</w:t>
      </w:r>
    </w:p>
    <w:p w14:paraId="17B15798" w14:textId="77777777" w:rsidR="00CD58F2" w:rsidRPr="00A06D41" w:rsidRDefault="00CD58F2" w:rsidP="00CD58F2">
      <w:pPr>
        <w:numPr>
          <w:ilvl w:val="1"/>
          <w:numId w:val="1"/>
        </w:numPr>
        <w:spacing w:line="276" w:lineRule="auto"/>
        <w:ind w:left="567" w:hanging="567"/>
        <w:jc w:val="both"/>
        <w:rPr>
          <w:rFonts w:ascii="Tahoma" w:hAnsi="Tahoma" w:cs="Tahoma"/>
        </w:rPr>
      </w:pPr>
      <w:r>
        <w:rPr>
          <w:rFonts w:ascii="Tahoma" w:eastAsia="Calibri" w:hAnsi="Tahoma" w:cs="Tahoma"/>
        </w:rPr>
        <w:t>Objednatel je povinen uchovávat veškerou dokumentaci související s realizací této smlouvy vč. účetních dokladů minimálně do konce roku 2036. Pokud je v českých právních předpisech stanovena lhůta delší, je prodávající povinen dokumentaci vč. účetních dokladů uchovávat po dobu lhůty stanovené těmito právními předpisy.</w:t>
      </w:r>
    </w:p>
    <w:p w14:paraId="097A0EA8" w14:textId="77777777" w:rsidR="00CD58F2" w:rsidRDefault="00CD58F2" w:rsidP="00CD58F2">
      <w:pPr>
        <w:spacing w:line="276" w:lineRule="auto"/>
        <w:ind w:left="567"/>
        <w:jc w:val="both"/>
        <w:rPr>
          <w:rFonts w:ascii="Tahoma" w:hAnsi="Tahoma" w:cs="Tahoma"/>
        </w:rPr>
      </w:pPr>
    </w:p>
    <w:p w14:paraId="2A90EB7F" w14:textId="77777777" w:rsidR="00CD58F2" w:rsidRDefault="00CD58F2" w:rsidP="00CD58F2">
      <w:pPr>
        <w:spacing w:line="276" w:lineRule="auto"/>
        <w:ind w:left="567"/>
        <w:jc w:val="both"/>
        <w:rPr>
          <w:rFonts w:ascii="Tahoma" w:hAnsi="Tahoma" w:cs="Tahoma"/>
        </w:rPr>
      </w:pPr>
    </w:p>
    <w:p w14:paraId="14A71DEA" w14:textId="77777777" w:rsidR="00CD58F2" w:rsidRDefault="00CD58F2" w:rsidP="00CD58F2">
      <w:pPr>
        <w:pStyle w:val="Nadpis1"/>
        <w:keepNext w:val="0"/>
        <w:numPr>
          <w:ilvl w:val="0"/>
          <w:numId w:val="1"/>
        </w:numPr>
        <w:spacing w:line="276" w:lineRule="auto"/>
        <w:ind w:left="567" w:hanging="482"/>
        <w:rPr>
          <w:rFonts w:ascii="Tahoma" w:hAnsi="Tahoma" w:cs="Tahoma"/>
          <w:b/>
          <w:sz w:val="20"/>
        </w:rPr>
      </w:pPr>
      <w:bookmarkStart w:id="37" w:name="_Toc335318141"/>
      <w:bookmarkStart w:id="38" w:name="_Toc335318224"/>
      <w:r>
        <w:rPr>
          <w:rFonts w:ascii="Tahoma" w:hAnsi="Tahoma" w:cs="Tahoma"/>
          <w:b/>
          <w:sz w:val="20"/>
        </w:rPr>
        <w:t>VLASTNICKÉ PRÁVO, NEBEZPEČÍ ŠKODY NA VĚCI A PRÁVO UŽITÍ</w:t>
      </w:r>
      <w:bookmarkEnd w:id="37"/>
      <w:bookmarkEnd w:id="38"/>
    </w:p>
    <w:p w14:paraId="6A334504"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eastAsia="Calibri" w:hAnsi="Tahoma" w:cs="Tahoma"/>
        </w:rPr>
        <w:t>Poskytovatel prohlašuje, že vlastnické právo a nebezpečí škody na věci ke všem hmotným součástem p</w:t>
      </w:r>
      <w:r>
        <w:rPr>
          <w:rFonts w:ascii="Tahoma" w:hAnsi="Tahoma" w:cs="Tahoma"/>
        </w:rPr>
        <w:t>lnění předmětu smlouvy předaným poskytovatelem objednateli v souvislosti s plněním předmětu smlouvy přechází na objednatele dnem předání plnění</w:t>
      </w:r>
      <w:r>
        <w:rPr>
          <w:rFonts w:ascii="Tahoma" w:eastAsia="Calibri" w:hAnsi="Tahoma" w:cs="Tahoma"/>
        </w:rPr>
        <w:t>.</w:t>
      </w:r>
    </w:p>
    <w:p w14:paraId="4BEB8E55" w14:textId="77777777" w:rsidR="00CD58F2" w:rsidRDefault="00CD58F2" w:rsidP="00CD58F2">
      <w:pPr>
        <w:numPr>
          <w:ilvl w:val="1"/>
          <w:numId w:val="1"/>
        </w:numPr>
        <w:spacing w:line="276" w:lineRule="auto"/>
        <w:ind w:left="567" w:hanging="567"/>
        <w:jc w:val="both"/>
        <w:rPr>
          <w:rFonts w:ascii="Tahoma" w:hAnsi="Tahoma" w:cs="Tahoma"/>
        </w:rPr>
      </w:pPr>
      <w:bookmarkStart w:id="39" w:name="_Ref303870662"/>
      <w:bookmarkStart w:id="40" w:name="_Ref416871144"/>
      <w:bookmarkEnd w:id="39"/>
      <w:r>
        <w:rPr>
          <w:rFonts w:ascii="Tahoma" w:hAnsi="Tahoma" w:cs="Tahoma"/>
        </w:rPr>
        <w:t>Vzhledem k tomu, že součástí plnění dle smlouvy je i plnění, které může naplňovat znaky autorského díla ve smyslu § 2 zákona č. 121/2000 Sb., o právu autorském, o právech souvisejících s právem autorským a o změně některých zákonů (autorský zákon), ve znění pozdějších předpisů (dále jen „</w:t>
      </w:r>
      <w:r>
        <w:rPr>
          <w:rFonts w:ascii="Tahoma" w:hAnsi="Tahoma" w:cs="Tahoma"/>
          <w:b/>
        </w:rPr>
        <w:t>AZ</w:t>
      </w:r>
      <w:r>
        <w:rPr>
          <w:rFonts w:ascii="Tahoma" w:hAnsi="Tahoma" w:cs="Tahoma"/>
        </w:rPr>
        <w:t>“), je k těmto součástem plnění poskytována licence za podmínek sjednaných dále v tomto článku smlouvy.</w:t>
      </w:r>
      <w:bookmarkEnd w:id="40"/>
    </w:p>
    <w:p w14:paraId="26C03197" w14:textId="77777777" w:rsidR="00CD58F2" w:rsidRDefault="00CD58F2" w:rsidP="00CD58F2">
      <w:pPr>
        <w:numPr>
          <w:ilvl w:val="2"/>
          <w:numId w:val="8"/>
        </w:numPr>
        <w:spacing w:line="276" w:lineRule="auto"/>
        <w:ind w:left="1276"/>
        <w:jc w:val="both"/>
        <w:rPr>
          <w:rFonts w:ascii="Tahoma" w:hAnsi="Tahoma" w:cs="Tahoma"/>
        </w:rPr>
      </w:pPr>
      <w:bookmarkStart w:id="41" w:name="_Ref414451184"/>
      <w:r>
        <w:rPr>
          <w:rFonts w:ascii="Tahoma" w:hAnsi="Tahoma" w:cs="Tahoma"/>
        </w:rPr>
        <w:t>Objednatel je oprávněn veškeré součásti plnění poskytovatele považované za autorské dílo ve smyslu § 2 AZ (dále jen „</w:t>
      </w:r>
      <w:r>
        <w:rPr>
          <w:rFonts w:ascii="Tahoma" w:hAnsi="Tahoma" w:cs="Tahoma"/>
          <w:b/>
          <w:i/>
        </w:rPr>
        <w:t>Autorské dílo</w:t>
      </w:r>
      <w:r>
        <w:rPr>
          <w:rFonts w:ascii="Tahoma" w:hAnsi="Tahoma" w:cs="Tahoma"/>
        </w:rPr>
        <w:t>“) užívat dle níže uvedených licenčních podmínek (dále jen „</w:t>
      </w:r>
      <w:r>
        <w:rPr>
          <w:rFonts w:ascii="Tahoma" w:hAnsi="Tahoma" w:cs="Tahoma"/>
          <w:b/>
          <w:i/>
        </w:rPr>
        <w:t>Licence</w:t>
      </w:r>
      <w:r>
        <w:rPr>
          <w:rFonts w:ascii="Tahoma" w:hAnsi="Tahoma" w:cs="Tahoma"/>
        </w:rPr>
        <w:t>“), a to od okamžiku účinnosti poskytnutí licence, přičemž poskytovatel poskytuje objednateli licenci s účinností, která nastává okamžikem předání plnění či jeho části, jehož je autorské dílo součástí.</w:t>
      </w:r>
      <w:bookmarkEnd w:id="41"/>
    </w:p>
    <w:p w14:paraId="363B381C" w14:textId="77777777" w:rsidR="00CD58F2" w:rsidRDefault="00CD58F2" w:rsidP="00CD58F2">
      <w:pPr>
        <w:numPr>
          <w:ilvl w:val="2"/>
          <w:numId w:val="8"/>
        </w:numPr>
        <w:spacing w:line="276" w:lineRule="auto"/>
        <w:ind w:left="1276"/>
        <w:jc w:val="both"/>
        <w:rPr>
          <w:rFonts w:ascii="Tahoma" w:hAnsi="Tahoma" w:cs="Tahoma"/>
        </w:rPr>
      </w:pPr>
      <w:r>
        <w:rPr>
          <w:rFonts w:ascii="Tahoma" w:hAnsi="Tahoma" w:cs="Tahoma"/>
        </w:rPr>
        <w:t>Nevyplývá-li z příloh smlouvy jinak, je licence udělena jako nevýhradní k užití autorského díla objednatelem k jakémukoliv účelu a v rozsahu, v jakém uzná za nezbytné, vhodné či přiměřené. Pro vyloučení všech pochybností to znamená, že:</w:t>
      </w:r>
    </w:p>
    <w:p w14:paraId="18E4643D" w14:textId="77777777" w:rsidR="00CD58F2" w:rsidRDefault="00CD58F2" w:rsidP="00CD58F2">
      <w:pPr>
        <w:numPr>
          <w:ilvl w:val="5"/>
          <w:numId w:val="7"/>
        </w:numPr>
        <w:spacing w:line="276" w:lineRule="auto"/>
        <w:ind w:left="1843"/>
        <w:jc w:val="both"/>
        <w:rPr>
          <w:rFonts w:ascii="Tahoma" w:hAnsi="Tahoma" w:cs="Tahoma"/>
        </w:rPr>
      </w:pPr>
      <w:r>
        <w:rPr>
          <w:rFonts w:ascii="Tahoma" w:hAnsi="Tahoma" w:cs="Tahoma"/>
        </w:rPr>
        <w:t>Licence je udělena jako neodvolatelná;</w:t>
      </w:r>
    </w:p>
    <w:p w14:paraId="0CE63861" w14:textId="77777777" w:rsidR="00CD58F2" w:rsidRDefault="00CD58F2" w:rsidP="00CD58F2">
      <w:pPr>
        <w:numPr>
          <w:ilvl w:val="5"/>
          <w:numId w:val="7"/>
        </w:numPr>
        <w:spacing w:line="276" w:lineRule="auto"/>
        <w:ind w:left="1843"/>
        <w:jc w:val="both"/>
        <w:rPr>
          <w:rFonts w:ascii="Tahoma" w:hAnsi="Tahoma" w:cs="Tahoma"/>
        </w:rPr>
      </w:pPr>
      <w:r>
        <w:rPr>
          <w:rFonts w:ascii="Tahoma" w:hAnsi="Tahoma" w:cs="Tahoma"/>
        </w:rPr>
        <w:t>Licence je dále udělena na dobu určitou, a to po celou dobu trvání majetkových práv autorských k autorskému dílu, bez omezení územního rozsahu;</w:t>
      </w:r>
    </w:p>
    <w:p w14:paraId="770D87E6" w14:textId="77777777" w:rsidR="00CD58F2" w:rsidRDefault="00CD58F2" w:rsidP="00CD58F2">
      <w:pPr>
        <w:numPr>
          <w:ilvl w:val="5"/>
          <w:numId w:val="7"/>
        </w:numPr>
        <w:spacing w:line="276" w:lineRule="auto"/>
        <w:ind w:left="1843"/>
        <w:jc w:val="both"/>
        <w:rPr>
          <w:rFonts w:ascii="Tahoma" w:hAnsi="Tahoma" w:cs="Tahoma"/>
        </w:rPr>
      </w:pPr>
      <w:r>
        <w:rPr>
          <w:rFonts w:ascii="Tahoma" w:hAnsi="Tahoma" w:cs="Tahoma"/>
        </w:rPr>
        <w:t>V případě software (dále jen „</w:t>
      </w:r>
      <w:r w:rsidRPr="00961D5A">
        <w:rPr>
          <w:rFonts w:ascii="Tahoma" w:hAnsi="Tahoma" w:cs="Tahoma"/>
          <w:b/>
          <w:bCs/>
        </w:rPr>
        <w:t>SW</w:t>
      </w:r>
      <w:r>
        <w:rPr>
          <w:rFonts w:ascii="Tahoma" w:hAnsi="Tahoma" w:cs="Tahoma"/>
        </w:rPr>
        <w:t xml:space="preserve">“), je-li součástí plnění, se licence vztahuje ve stejném rozsahu i na případné další verze tohoto SW upraveného na základě smlouvy; </w:t>
      </w:r>
    </w:p>
    <w:p w14:paraId="5D237844" w14:textId="77777777" w:rsidR="00CD58F2" w:rsidRDefault="00CD58F2" w:rsidP="00CD58F2">
      <w:pPr>
        <w:numPr>
          <w:ilvl w:val="5"/>
          <w:numId w:val="7"/>
        </w:numPr>
        <w:spacing w:line="276" w:lineRule="auto"/>
        <w:ind w:left="1843"/>
        <w:jc w:val="both"/>
        <w:rPr>
          <w:rFonts w:ascii="Tahoma" w:hAnsi="Tahoma" w:cs="Tahoma"/>
        </w:rPr>
      </w:pPr>
      <w:r>
        <w:rPr>
          <w:rFonts w:ascii="Tahoma" w:hAnsi="Tahoma" w:cs="Tahoma"/>
        </w:rPr>
        <w:t>Objednatel je oprávněn udělit třetí osobě podlicenci k užití autorského díla nebo svoje oprávnění k jejímu užití třetí osobě postoupit pouze s předchozím písemným souhlasem poskytovatele;</w:t>
      </w:r>
    </w:p>
    <w:p w14:paraId="34C9B054" w14:textId="77777777" w:rsidR="00CD58F2" w:rsidRDefault="00CD58F2" w:rsidP="00CD58F2">
      <w:pPr>
        <w:numPr>
          <w:ilvl w:val="5"/>
          <w:numId w:val="7"/>
        </w:numPr>
        <w:spacing w:line="276" w:lineRule="auto"/>
        <w:ind w:left="1843"/>
        <w:jc w:val="both"/>
        <w:rPr>
          <w:rFonts w:ascii="Tahoma" w:hAnsi="Tahoma" w:cs="Tahoma"/>
        </w:rPr>
      </w:pPr>
      <w:r>
        <w:rPr>
          <w:rFonts w:ascii="Tahoma" w:hAnsi="Tahoma" w:cs="Tahoma"/>
        </w:rPr>
        <w:t>Licenci není objednatel povinen využít, a to ani zčásti;</w:t>
      </w:r>
    </w:p>
    <w:p w14:paraId="387E685F" w14:textId="77777777" w:rsidR="00CD58F2" w:rsidRDefault="00CD58F2" w:rsidP="00CD58F2">
      <w:pPr>
        <w:numPr>
          <w:ilvl w:val="5"/>
          <w:numId w:val="7"/>
        </w:numPr>
        <w:spacing w:line="276" w:lineRule="auto"/>
        <w:ind w:left="1843"/>
        <w:jc w:val="both"/>
        <w:rPr>
          <w:rFonts w:ascii="Tahoma" w:hAnsi="Tahoma" w:cs="Tahoma"/>
        </w:rPr>
      </w:pPr>
      <w:r>
        <w:rPr>
          <w:rFonts w:ascii="Tahoma" w:hAnsi="Tahoma" w:cs="Tahoma"/>
        </w:rPr>
        <w:t>Licence umožňuje objednateli zasahovat do předmětu plnění pouze uživatelskými nástroji v souladu s uživatelskou a technickou dokumentací, nebo pokyny poskytovatele, pokud nebude nutné zasahovat do zdrojového kódu (tj. např. úprava formulářů, modifikace dle konkrétní činnosti/procesu apod.).</w:t>
      </w:r>
    </w:p>
    <w:p w14:paraId="6476E6E4" w14:textId="77777777" w:rsidR="00CD58F2" w:rsidRDefault="00CD58F2" w:rsidP="00CD58F2">
      <w:pPr>
        <w:numPr>
          <w:ilvl w:val="2"/>
          <w:numId w:val="8"/>
        </w:numPr>
        <w:spacing w:line="276" w:lineRule="auto"/>
        <w:ind w:left="1276"/>
        <w:jc w:val="both"/>
        <w:rPr>
          <w:rFonts w:ascii="Tahoma" w:hAnsi="Tahoma" w:cs="Tahoma"/>
        </w:rPr>
      </w:pPr>
      <w:r>
        <w:rPr>
          <w:rFonts w:ascii="Tahoma" w:hAnsi="Tahoma" w:cs="Tahoma"/>
        </w:rPr>
        <w:lastRenderedPageBreak/>
        <w:t>Současně poskytovatel uděluje objednateli souhlas, účinný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 osob.</w:t>
      </w:r>
      <w:bookmarkStart w:id="42" w:name="_Ref417627432"/>
      <w:bookmarkEnd w:id="42"/>
    </w:p>
    <w:p w14:paraId="4084A5A0"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eastAsia="Calibri" w:hAnsi="Tahoma" w:cs="Tahoma"/>
        </w:rPr>
        <w:t>Udělení veškerých práv uvedených v tomto článku smlouvy nelze ze strany poskytovatele vypovědět a na jejich udělení nemá vliv ukončení účinnosti smlouvy.</w:t>
      </w:r>
    </w:p>
    <w:p w14:paraId="3BD2BB13" w14:textId="77777777" w:rsidR="00CD58F2" w:rsidRDefault="00CD58F2" w:rsidP="00CD58F2">
      <w:pPr>
        <w:numPr>
          <w:ilvl w:val="1"/>
          <w:numId w:val="1"/>
        </w:numPr>
        <w:spacing w:line="276" w:lineRule="auto"/>
        <w:ind w:left="567" w:hanging="567"/>
        <w:jc w:val="both"/>
        <w:rPr>
          <w:rFonts w:ascii="Tahoma" w:eastAsia="Calibri" w:hAnsi="Tahoma" w:cs="Tahoma"/>
        </w:rPr>
      </w:pPr>
      <w:bookmarkStart w:id="43" w:name="_Ref202246719"/>
      <w:r>
        <w:rPr>
          <w:rFonts w:ascii="Tahoma" w:eastAsia="Calibri" w:hAnsi="Tahoma" w:cs="Tahoma"/>
        </w:rPr>
        <w:t xml:space="preserve">Poskytovatel prohlašuje, že veškeré jím dodané plnění a </w:t>
      </w:r>
      <w:r w:rsidRPr="00E22B22">
        <w:rPr>
          <w:rFonts w:ascii="Tahoma" w:eastAsia="Calibri" w:hAnsi="Tahoma" w:cs="Tahoma"/>
        </w:rPr>
        <w:t xml:space="preserve">další služby </w:t>
      </w:r>
      <w:r>
        <w:rPr>
          <w:rFonts w:ascii="Tahoma" w:eastAsia="Calibri" w:hAnsi="Tahoma" w:cs="Tahoma"/>
        </w:rPr>
        <w:t>podle smlouvy bude prosté právních a jakýchkoliv jiných vad a zavazuje se odškodnit v plné výši objednatele v případě, že třetí osoba úspěšně uplatní autorskoprávní nebo jiný nárok plynoucí z právní vady poskytnutého plnění dle smlouvy.</w:t>
      </w:r>
      <w:bookmarkEnd w:id="43"/>
      <w:r>
        <w:rPr>
          <w:rFonts w:ascii="Tahoma" w:eastAsia="Calibri" w:hAnsi="Tahoma" w:cs="Tahoma"/>
        </w:rPr>
        <w:t xml:space="preserve"> V případě, že by nárok třetí osoby vzniklý v souvislosti s plněním poskytovatele podle smlouvy, bez ohledu na jeho oprávněnost, vedl k dočasnému či trvalému soudnímu zákazu či omezení užívání předmětu plnění, zavazuje se poskytovatel zajistit náhradní řešení a minimalizovat dopady takovéto situace, a to bez dopadu na cenu plnění sjednanou podle smlouvy, přičemž současně nebudou dotčeny ani nároky objednatele na náhradu škody.</w:t>
      </w:r>
    </w:p>
    <w:p w14:paraId="1E5F9A7A"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eastAsia="Calibri" w:hAnsi="Tahoma" w:cs="Tahoma"/>
        </w:rPr>
        <w:t>S nositeli chráněných práv duševního vlastnictví vzniklých v souvislosti s realizací plnění dle smlouvy je poskytovatel povinen vždy smluvně zajistit možnost nakládání s těmito právy objednatelem v rozsahu definovaném tímto článkem smlouvy.</w:t>
      </w:r>
    </w:p>
    <w:p w14:paraId="54B5F43D"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hAnsi="Tahoma" w:cs="Tahoma"/>
          <w:bCs/>
        </w:rPr>
        <w:t>Poskytovatel podpisem smlouvy výslovně prohlašuje, že odměna za veškerá oprávnění poskytnutá objednateli dle tohoto článku smlouvy je již zahrnuta v ceně za poskytování plnění dle smlouvy.</w:t>
      </w:r>
    </w:p>
    <w:p w14:paraId="6367B1A8" w14:textId="77777777" w:rsidR="00CD58F2" w:rsidRPr="00A06D41" w:rsidRDefault="00CD58F2" w:rsidP="00CD58F2">
      <w:pPr>
        <w:numPr>
          <w:ilvl w:val="1"/>
          <w:numId w:val="1"/>
        </w:numPr>
        <w:spacing w:line="276" w:lineRule="auto"/>
        <w:ind w:left="567" w:hanging="567"/>
        <w:jc w:val="both"/>
        <w:rPr>
          <w:rFonts w:ascii="Tahoma" w:eastAsia="Calibri" w:hAnsi="Tahoma" w:cs="Tahoma"/>
        </w:rPr>
      </w:pPr>
      <w:r>
        <w:rPr>
          <w:rFonts w:ascii="Tahoma" w:hAnsi="Tahoma" w:cs="Tahoma"/>
          <w:bCs/>
        </w:rPr>
        <w:t xml:space="preserve">Poskytovatel je povinen objednateli uhradit jakékoli majetkové a nemajetkové újmy, vzniklé v důsledku toho, že objednatel nemohl předmět plnění smlouvy užívat řádně a nerušeně. Jestliže se jakékoliv </w:t>
      </w:r>
      <w:bookmarkStart w:id="44" w:name="_Hlk192512131"/>
      <w:r>
        <w:rPr>
          <w:rFonts w:ascii="Tahoma" w:hAnsi="Tahoma" w:cs="Tahoma"/>
          <w:bCs/>
        </w:rPr>
        <w:t>prohlášení poskytovatele v tomto článku ukáže nepravdivým nebo poskytovatel poruší jinou povinnost dle tohoto článku smlouvy</w:t>
      </w:r>
      <w:bookmarkEnd w:id="44"/>
      <w:r>
        <w:rPr>
          <w:rFonts w:ascii="Tahoma" w:hAnsi="Tahoma" w:cs="Tahoma"/>
          <w:bCs/>
        </w:rPr>
        <w:t xml:space="preserve">, jde o podstatné porušení smlouvy a poskytovatel je povinen uhradit objednateli </w:t>
      </w:r>
      <w:r w:rsidRPr="00F5501F">
        <w:rPr>
          <w:rFonts w:ascii="Tahoma" w:hAnsi="Tahoma" w:cs="Tahoma"/>
          <w:bCs/>
        </w:rPr>
        <w:t>smluvní pokutu ve výši 50.000,- Kč za každé jednotlivé porušení povinnosti.</w:t>
      </w:r>
      <w:r>
        <w:rPr>
          <w:rFonts w:ascii="Tahoma" w:hAnsi="Tahoma" w:cs="Tahoma"/>
          <w:bCs/>
        </w:rPr>
        <w:t xml:space="preserve"> Zaplacením smluvní pokuty není nijak dotčeno ani omezeno právo objednatele na náhradu škody, kterou lze vymáhat vedle smluvní pokuty v plné výši.</w:t>
      </w:r>
    </w:p>
    <w:p w14:paraId="1C1770A5" w14:textId="77777777" w:rsidR="00CD58F2" w:rsidRDefault="00CD58F2" w:rsidP="00CD58F2">
      <w:pPr>
        <w:spacing w:line="276" w:lineRule="auto"/>
        <w:ind w:left="567"/>
        <w:jc w:val="both"/>
        <w:rPr>
          <w:rFonts w:ascii="Tahoma" w:eastAsia="Calibri" w:hAnsi="Tahoma" w:cs="Tahoma"/>
        </w:rPr>
      </w:pPr>
    </w:p>
    <w:p w14:paraId="4A493206" w14:textId="77777777" w:rsidR="00CD58F2" w:rsidRDefault="00CD58F2" w:rsidP="00CD58F2">
      <w:pPr>
        <w:spacing w:line="276" w:lineRule="auto"/>
        <w:jc w:val="both"/>
        <w:rPr>
          <w:rFonts w:ascii="Tahoma" w:hAnsi="Tahoma" w:cs="Tahoma"/>
          <w:bCs/>
        </w:rPr>
      </w:pPr>
      <w:bookmarkStart w:id="45" w:name="_Ref303870662_kopie_1"/>
      <w:bookmarkEnd w:id="45"/>
    </w:p>
    <w:p w14:paraId="7510DFFA" w14:textId="77777777" w:rsidR="00CD58F2" w:rsidRDefault="00CD58F2" w:rsidP="00CD58F2">
      <w:pPr>
        <w:pStyle w:val="Nadpis1"/>
        <w:keepNext w:val="0"/>
        <w:numPr>
          <w:ilvl w:val="0"/>
          <w:numId w:val="1"/>
        </w:numPr>
        <w:spacing w:line="276" w:lineRule="auto"/>
        <w:ind w:left="567" w:hanging="482"/>
        <w:rPr>
          <w:rFonts w:ascii="Tahoma" w:hAnsi="Tahoma" w:cs="Tahoma"/>
          <w:b/>
          <w:caps/>
          <w:sz w:val="20"/>
        </w:rPr>
      </w:pPr>
      <w:bookmarkStart w:id="46" w:name="_Toc397445470"/>
      <w:bookmarkStart w:id="47" w:name="_Ref416795622"/>
      <w:r w:rsidRPr="00F06388">
        <w:rPr>
          <w:rFonts w:ascii="Tahoma" w:hAnsi="Tahoma" w:cs="Tahoma"/>
          <w:b/>
          <w:caps/>
          <w:sz w:val="20"/>
        </w:rPr>
        <w:t>ODPOVĚDNOST ZA ŠKODU, ODPOVĚDNOST ZA VADY, ZÁRUKA</w:t>
      </w:r>
      <w:bookmarkEnd w:id="46"/>
      <w:bookmarkEnd w:id="47"/>
    </w:p>
    <w:p w14:paraId="236D64D2" w14:textId="77777777" w:rsidR="00CD58F2" w:rsidRDefault="00CD58F2" w:rsidP="00CD58F2">
      <w:pPr>
        <w:rPr>
          <w:rFonts w:ascii="Tahoma" w:hAnsi="Tahoma" w:cs="Tahoma"/>
        </w:rPr>
      </w:pPr>
    </w:p>
    <w:p w14:paraId="36C18E74"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eastAsia="Calibri" w:hAnsi="Tahoma" w:cs="Tahoma"/>
        </w:rPr>
        <w:t>Smluvní strany se zavazují vyvinout maximálního úsilí k předcházení škodám a k minimalizaci vzniklých škod. Smluvní strany nesou odpovědnost za škodu dle platných a účinných právních předpisů a smlouvy. Poskytovatel odpovídá za škodu rovněž v případě, že část plnění poskytuje prostřednictvím poddodavatele.</w:t>
      </w:r>
    </w:p>
    <w:p w14:paraId="3A82BA87"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eastAsia="Calibri" w:hAnsi="Tahoma" w:cs="Tahoma"/>
        </w:rPr>
        <w:t xml:space="preserve">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 překonání. </w:t>
      </w:r>
    </w:p>
    <w:p w14:paraId="443AA456"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eastAsia="Calibri" w:hAnsi="Tahoma" w:cs="Tahoma"/>
        </w:rPr>
        <w:t>Škoda se hradí v penězích, nebo, je-li to možné nebo účelné, uvedením do předešlého stavu podle volby poškozené strany v konkrétním případě</w:t>
      </w:r>
      <w:r>
        <w:rPr>
          <w:rFonts w:ascii="Tahoma" w:hAnsi="Tahoma" w:cs="Tahoma"/>
        </w:rPr>
        <w:t>.</w:t>
      </w:r>
    </w:p>
    <w:p w14:paraId="18BF422C"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hAnsi="Tahoma" w:cs="Tahoma"/>
        </w:rPr>
        <w:lastRenderedPageBreak/>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 záruku.</w:t>
      </w:r>
      <w:bookmarkStart w:id="48" w:name="_Ref384629082"/>
      <w:bookmarkStart w:id="49" w:name="_Ref21272967"/>
    </w:p>
    <w:p w14:paraId="7C5A5E09" w14:textId="77777777" w:rsidR="00CD58F2" w:rsidRDefault="00CD58F2" w:rsidP="00CD58F2">
      <w:pPr>
        <w:numPr>
          <w:ilvl w:val="1"/>
          <w:numId w:val="1"/>
        </w:numPr>
        <w:spacing w:line="276" w:lineRule="auto"/>
        <w:ind w:left="567" w:hanging="567"/>
        <w:jc w:val="both"/>
        <w:rPr>
          <w:rFonts w:ascii="Tahoma" w:eastAsia="Calibri" w:hAnsi="Tahoma" w:cs="Tahoma"/>
        </w:rPr>
      </w:pPr>
      <w:r>
        <w:rPr>
          <w:rFonts w:ascii="Tahoma" w:hAnsi="Tahoma" w:cs="Tahoma"/>
        </w:rPr>
        <w:t xml:space="preserve">Poskytovatel </w:t>
      </w:r>
      <w:r>
        <w:rPr>
          <w:rFonts w:ascii="Tahoma" w:eastAsia="Calibri" w:hAnsi="Tahoma" w:cs="Tahoma"/>
        </w:rPr>
        <w:t xml:space="preserve">poskytuje objednateli ve smyslu § 2619 </w:t>
      </w:r>
      <w:r w:rsidRPr="00135ACB">
        <w:rPr>
          <w:rFonts w:ascii="Tahoma" w:eastAsia="Calibri" w:hAnsi="Tahoma" w:cs="Tahoma"/>
        </w:rPr>
        <w:t>OZ záruku za jakost v délce 6 měsíců</w:t>
      </w:r>
      <w:r w:rsidRPr="00135ACB">
        <w:rPr>
          <w:rFonts w:ascii="Tahoma" w:eastAsia="Calibri" w:hAnsi="Tahoma" w:cs="Tahoma"/>
          <w:b/>
        </w:rPr>
        <w:t>,</w:t>
      </w:r>
      <w:r>
        <w:rPr>
          <w:rFonts w:ascii="Tahoma" w:eastAsia="Calibri" w:hAnsi="Tahoma" w:cs="Tahoma"/>
        </w:rPr>
        <w:t xml:space="preserve"> na to, že předané plnění bude mít </w:t>
      </w:r>
      <w:r>
        <w:rPr>
          <w:rFonts w:ascii="Tahoma" w:hAnsi="Tahoma" w:cs="Tahoma"/>
        </w:rPr>
        <w:t xml:space="preserve">vlastnosti stanovené smlouvou a specifikací plnění zakázky, bude bez jakýchkoliv nedodělků či vad. </w:t>
      </w:r>
      <w:bookmarkStart w:id="50" w:name="_Ref390694908"/>
      <w:bookmarkEnd w:id="48"/>
      <w:r>
        <w:rPr>
          <w:rFonts w:ascii="Tahoma" w:eastAsia="Calibri" w:hAnsi="Tahoma" w:cs="Tahoma"/>
        </w:rPr>
        <w:t xml:space="preserve">Záruční doba počíná běžet </w:t>
      </w:r>
      <w:r>
        <w:rPr>
          <w:rFonts w:ascii="Tahoma" w:hAnsi="Tahoma" w:cs="Tahoma"/>
        </w:rPr>
        <w:t xml:space="preserve">dnem podpisu posledního akceptačního protokolu dle čl. 6 této smlouvy oběma smluvními stranami, tj. dnem předání plnění celého Plnění a </w:t>
      </w:r>
      <w:r w:rsidRPr="006B5088">
        <w:rPr>
          <w:rFonts w:ascii="Tahoma" w:hAnsi="Tahoma" w:cs="Tahoma"/>
        </w:rPr>
        <w:t>dalších služeb</w:t>
      </w:r>
      <w:r w:rsidRPr="006B5088">
        <w:rPr>
          <w:rFonts w:ascii="Tahoma" w:eastAsia="Calibri" w:hAnsi="Tahoma" w:cs="Tahoma"/>
        </w:rPr>
        <w:t>.</w:t>
      </w:r>
      <w:bookmarkEnd w:id="49"/>
      <w:bookmarkEnd w:id="50"/>
    </w:p>
    <w:p w14:paraId="31D6671F" w14:textId="77777777" w:rsidR="00CD58F2" w:rsidRPr="00135ACB" w:rsidRDefault="00CD58F2" w:rsidP="00CD58F2">
      <w:pPr>
        <w:numPr>
          <w:ilvl w:val="1"/>
          <w:numId w:val="1"/>
        </w:numPr>
        <w:spacing w:line="276" w:lineRule="auto"/>
        <w:ind w:left="567" w:hanging="567"/>
        <w:jc w:val="both"/>
        <w:rPr>
          <w:rFonts w:ascii="Tahoma" w:eastAsia="Calibri" w:hAnsi="Tahoma" w:cs="Tahoma"/>
        </w:rPr>
      </w:pPr>
      <w:r w:rsidRPr="00135ACB">
        <w:rPr>
          <w:rFonts w:ascii="Tahoma" w:eastAsia="Calibri" w:hAnsi="Tahoma" w:cs="Tahoma"/>
        </w:rPr>
        <w:t>Záruka se v vztahuje především, nikoliv však výlučně, na:</w:t>
      </w:r>
    </w:p>
    <w:p w14:paraId="093EE0D0" w14:textId="77777777" w:rsidR="00CD58F2" w:rsidRPr="00135ACB" w:rsidRDefault="00CD58F2" w:rsidP="00CD58F2">
      <w:pPr>
        <w:pStyle w:val="Odstavecseseznamem"/>
        <w:numPr>
          <w:ilvl w:val="0"/>
          <w:numId w:val="13"/>
        </w:numPr>
        <w:rPr>
          <w:rFonts w:ascii="Tahoma" w:eastAsia="Calibri" w:hAnsi="Tahoma" w:cs="Tahoma"/>
        </w:rPr>
      </w:pPr>
      <w:r w:rsidRPr="00135ACB">
        <w:rPr>
          <w:rFonts w:ascii="Tahoma" w:eastAsia="Calibri" w:hAnsi="Tahoma" w:cs="Tahoma"/>
        </w:rPr>
        <w:t>dodržení metodiky dle stanoveného rámce,</w:t>
      </w:r>
    </w:p>
    <w:p w14:paraId="4C434927" w14:textId="77777777" w:rsidR="00CD58F2" w:rsidRPr="00135ACB" w:rsidRDefault="00CD58F2" w:rsidP="00CD58F2">
      <w:pPr>
        <w:pStyle w:val="Odstavecseseznamem"/>
        <w:numPr>
          <w:ilvl w:val="0"/>
          <w:numId w:val="13"/>
        </w:numPr>
        <w:rPr>
          <w:rFonts w:ascii="Tahoma" w:eastAsia="Calibri" w:hAnsi="Tahoma" w:cs="Tahoma"/>
        </w:rPr>
      </w:pPr>
      <w:r w:rsidRPr="00135ACB">
        <w:rPr>
          <w:rFonts w:ascii="Tahoma" w:eastAsia="Calibri" w:hAnsi="Tahoma" w:cs="Tahoma"/>
        </w:rPr>
        <w:t>správnost a bezchybnost předaných výstupních dokumentů (např. seznam identifikovaných rizik, matice dopadů, návrh opatření),</w:t>
      </w:r>
    </w:p>
    <w:p w14:paraId="4C5A42D8" w14:textId="77777777" w:rsidR="00CD58F2" w:rsidRPr="00135ACB" w:rsidRDefault="00CD58F2" w:rsidP="00CD58F2">
      <w:pPr>
        <w:pStyle w:val="Odstavecseseznamem"/>
        <w:numPr>
          <w:ilvl w:val="0"/>
          <w:numId w:val="13"/>
        </w:numPr>
        <w:rPr>
          <w:rFonts w:ascii="Tahoma" w:eastAsia="Calibri" w:hAnsi="Tahoma" w:cs="Tahoma"/>
        </w:rPr>
      </w:pPr>
      <w:r w:rsidRPr="00135ACB">
        <w:rPr>
          <w:rFonts w:ascii="Tahoma" w:eastAsia="Calibri" w:hAnsi="Tahoma" w:cs="Tahoma"/>
        </w:rPr>
        <w:t>opodstatněnost závěrů v době provedení</w:t>
      </w:r>
      <w:r w:rsidRPr="00EA2E67">
        <w:t xml:space="preserve"> </w:t>
      </w:r>
      <w:r w:rsidRPr="00EA2E67">
        <w:rPr>
          <w:rFonts w:ascii="Tahoma" w:eastAsia="Calibri" w:hAnsi="Tahoma" w:cs="Tahoma"/>
        </w:rPr>
        <w:t>Audit</w:t>
      </w:r>
      <w:r>
        <w:rPr>
          <w:rFonts w:ascii="Tahoma" w:eastAsia="Calibri" w:hAnsi="Tahoma" w:cs="Tahoma"/>
        </w:rPr>
        <w:t>u</w:t>
      </w:r>
      <w:r w:rsidRPr="00EA2E67">
        <w:rPr>
          <w:rFonts w:ascii="Tahoma" w:eastAsia="Calibri" w:hAnsi="Tahoma" w:cs="Tahoma"/>
        </w:rPr>
        <w:t xml:space="preserve"> kybernetické bezpečnosti</w:t>
      </w:r>
      <w:r w:rsidRPr="00135ACB">
        <w:rPr>
          <w:rFonts w:ascii="Tahoma" w:eastAsia="Calibri" w:hAnsi="Tahoma" w:cs="Tahoma"/>
        </w:rPr>
        <w:t>.</w:t>
      </w:r>
    </w:p>
    <w:p w14:paraId="3DC344F7" w14:textId="77777777" w:rsidR="00CD58F2" w:rsidRPr="00135ACB" w:rsidRDefault="00CD58F2" w:rsidP="00CD58F2">
      <w:pPr>
        <w:numPr>
          <w:ilvl w:val="1"/>
          <w:numId w:val="1"/>
        </w:numPr>
        <w:spacing w:line="276" w:lineRule="auto"/>
        <w:ind w:left="567" w:hanging="567"/>
        <w:jc w:val="both"/>
        <w:rPr>
          <w:rFonts w:ascii="Tahoma" w:eastAsia="Calibri" w:hAnsi="Tahoma" w:cs="Tahoma"/>
        </w:rPr>
      </w:pPr>
      <w:r w:rsidRPr="00135ACB">
        <w:rPr>
          <w:rFonts w:ascii="Tahoma" w:eastAsia="Calibri" w:hAnsi="Tahoma" w:cs="Tahoma"/>
        </w:rPr>
        <w:t xml:space="preserve">Záruka se nevztahuje na změny v infrastruktuře nebo v hrozbách, které nastaly po datu zpracování </w:t>
      </w:r>
      <w:r w:rsidRPr="00EA2E67">
        <w:rPr>
          <w:rFonts w:ascii="Tahoma" w:hAnsi="Tahoma" w:cs="Tahoma"/>
        </w:rPr>
        <w:t>Audit</w:t>
      </w:r>
      <w:r>
        <w:rPr>
          <w:rFonts w:ascii="Tahoma" w:hAnsi="Tahoma" w:cs="Tahoma"/>
        </w:rPr>
        <w:t>u</w:t>
      </w:r>
      <w:r w:rsidRPr="00EA2E67">
        <w:rPr>
          <w:rFonts w:ascii="Tahoma" w:hAnsi="Tahoma" w:cs="Tahoma"/>
        </w:rPr>
        <w:t xml:space="preserve"> kybernetické bezpečnosti</w:t>
      </w:r>
      <w:r w:rsidRPr="00135ACB">
        <w:rPr>
          <w:rFonts w:ascii="Tahoma" w:eastAsia="Calibri" w:hAnsi="Tahoma" w:cs="Tahoma"/>
        </w:rPr>
        <w:t>.</w:t>
      </w:r>
    </w:p>
    <w:p w14:paraId="0739922C"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eastAsia="Calibri" w:hAnsi="Tahoma" w:cs="Tahoma"/>
        </w:rPr>
        <w:t>Reklamaci vad předává pracovník objednavatele vždy v písemné podobě s uvedením kontaktní osoby, data reklamace, podrobného popisu závady a jejích projevů a kategorie vady.</w:t>
      </w:r>
    </w:p>
    <w:p w14:paraId="46A95EAD" w14:textId="77777777" w:rsidR="00CD58F2" w:rsidRPr="006B5088" w:rsidRDefault="00CD58F2" w:rsidP="00CD58F2">
      <w:pPr>
        <w:widowControl w:val="0"/>
        <w:numPr>
          <w:ilvl w:val="1"/>
          <w:numId w:val="1"/>
        </w:numPr>
        <w:spacing w:line="276" w:lineRule="auto"/>
        <w:ind w:left="567" w:hanging="567"/>
        <w:jc w:val="both"/>
        <w:textAlignment w:val="baseline"/>
        <w:rPr>
          <w:rFonts w:ascii="Tahoma" w:hAnsi="Tahoma" w:cs="Tahoma"/>
        </w:rPr>
      </w:pPr>
      <w:r w:rsidRPr="006B5088">
        <w:rPr>
          <w:rFonts w:ascii="Tahoma" w:hAnsi="Tahoma" w:cs="Tahoma"/>
        </w:rPr>
        <w:t>Poskytovatel se zavazuje reklamované vady díla bezplatně odstranit, a to neprodleně po nahlášení objednatelem a s odbornou péčí, nejdéle však do 5 pracovních dnů, není-li po dohodě smluvních stran stanovena doba jiná.</w:t>
      </w:r>
    </w:p>
    <w:p w14:paraId="6AA1F1A1"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Záruční doba neběží po dobu, po kterou objednatel nemůže užívat plnění či jeho část pro vady, za které odpovídá poskytovatel. Veškeré činnosti nutné či související s vyřízením reklamací vad činí poskytovatel sám na své náklady v součinnosti s objednatelem a v jeho provozní době tak, aby svými činnostmi neohrozil nebo neomezil činnost objednatele.</w:t>
      </w:r>
    </w:p>
    <w:p w14:paraId="61BFA512" w14:textId="77777777" w:rsidR="00CD58F2" w:rsidRDefault="00CD58F2" w:rsidP="00CD58F2">
      <w:pPr>
        <w:widowControl w:val="0"/>
        <w:spacing w:line="276" w:lineRule="auto"/>
        <w:ind w:left="567"/>
        <w:jc w:val="both"/>
        <w:textAlignment w:val="baseline"/>
        <w:rPr>
          <w:rFonts w:ascii="Tahoma" w:hAnsi="Tahoma" w:cs="Tahoma"/>
        </w:rPr>
      </w:pPr>
      <w:r>
        <w:rPr>
          <w:rFonts w:ascii="Tahoma" w:eastAsia="Calibri" w:hAnsi="Tahoma" w:cs="Tahoma"/>
        </w:rPr>
        <w:t xml:space="preserve"> </w:t>
      </w:r>
    </w:p>
    <w:p w14:paraId="102C9FD9" w14:textId="77777777" w:rsidR="00CD58F2" w:rsidRDefault="00CD58F2" w:rsidP="00CD58F2">
      <w:pPr>
        <w:widowControl w:val="0"/>
        <w:spacing w:line="276" w:lineRule="auto"/>
        <w:ind w:left="567"/>
        <w:jc w:val="both"/>
        <w:textAlignment w:val="baseline"/>
        <w:rPr>
          <w:rFonts w:ascii="Tahoma" w:hAnsi="Tahoma" w:cs="Tahoma"/>
        </w:rPr>
      </w:pPr>
    </w:p>
    <w:p w14:paraId="1AFD086C" w14:textId="77777777" w:rsidR="00CD58F2" w:rsidRDefault="00CD58F2" w:rsidP="00CD58F2">
      <w:pPr>
        <w:pStyle w:val="Nadpis1"/>
        <w:keepNext w:val="0"/>
        <w:numPr>
          <w:ilvl w:val="0"/>
          <w:numId w:val="1"/>
        </w:numPr>
        <w:spacing w:line="276" w:lineRule="auto"/>
        <w:ind w:left="567" w:hanging="482"/>
        <w:rPr>
          <w:rFonts w:ascii="Tahoma" w:eastAsia="Calibri" w:hAnsi="Tahoma" w:cs="Tahoma"/>
          <w:b/>
          <w:sz w:val="20"/>
        </w:rPr>
      </w:pPr>
      <w:r>
        <w:rPr>
          <w:rFonts w:ascii="Tahoma" w:eastAsia="Calibri" w:hAnsi="Tahoma" w:cs="Tahoma"/>
          <w:b/>
          <w:sz w:val="20"/>
        </w:rPr>
        <w:t>SANKČNÍ UJEDNÁNÍ</w:t>
      </w:r>
    </w:p>
    <w:p w14:paraId="7838E0BC" w14:textId="77777777" w:rsidR="00CD58F2" w:rsidRDefault="00CD58F2" w:rsidP="00CD58F2">
      <w:pPr>
        <w:numPr>
          <w:ilvl w:val="1"/>
          <w:numId w:val="1"/>
        </w:numPr>
        <w:spacing w:line="276" w:lineRule="auto"/>
        <w:ind w:left="567" w:hanging="567"/>
        <w:jc w:val="both"/>
        <w:rPr>
          <w:rFonts w:ascii="Tahoma" w:eastAsia="Calibri" w:hAnsi="Tahoma" w:cs="Tahoma"/>
        </w:rPr>
      </w:pPr>
      <w:bookmarkStart w:id="51" w:name="_Ref340067124"/>
      <w:r>
        <w:rPr>
          <w:rFonts w:ascii="Tahoma" w:hAnsi="Tahoma" w:cs="Tahoma"/>
        </w:rPr>
        <w:t>Smluvní pokuty:</w:t>
      </w:r>
      <w:bookmarkEnd w:id="51"/>
    </w:p>
    <w:p w14:paraId="391293C5" w14:textId="77777777" w:rsidR="00CD58F2" w:rsidRDefault="00CD58F2" w:rsidP="00CD58F2">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v případě prodlení poskytovatele s poskytnutím plnění smlouvy je objednatel oprávněn požadovat od poskytovatele smluvní pokutu až ve výši 2.500,- Kč, a to za každý i započatý den prodlení;</w:t>
      </w:r>
    </w:p>
    <w:p w14:paraId="18BBAFA1" w14:textId="77777777" w:rsidR="00CD58F2" w:rsidRDefault="00CD58F2" w:rsidP="00CD58F2">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 xml:space="preserve">v případě jakéhokoliv nedodržení lhůt spojených s reklamací díla ve smyslu čl. 9 této smlouvy je objednatel oprávněn požadovat od poskytovatele smluvní pokutu ve výši 1.000,- Kč za každý i započatý den prodlení. </w:t>
      </w:r>
    </w:p>
    <w:p w14:paraId="734D7CC4" w14:textId="77777777" w:rsidR="00CD58F2" w:rsidRDefault="00CD58F2" w:rsidP="00CD58F2">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r>
        <w:rPr>
          <w:rFonts w:ascii="Tahoma" w:hAnsi="Tahoma" w:cs="Tahoma"/>
        </w:rPr>
        <w:t>v případě porušení povinností k ochraně osobních údajů či důvěrných informací dle čl. 11. smlouvy, nebo porušení povinnosti dle čl. 12.8, je Objednatel oprávněn požadovat od poskytovatele smluvní pokutu až do výše 70.000,- Kč za každý jednotlivý případ porušení,</w:t>
      </w:r>
    </w:p>
    <w:p w14:paraId="7EB85DC4" w14:textId="77777777" w:rsidR="00CD58F2" w:rsidRDefault="00CD58F2" w:rsidP="00CD58F2">
      <w:pPr>
        <w:widowControl w:val="0"/>
        <w:numPr>
          <w:ilvl w:val="0"/>
          <w:numId w:val="3"/>
        </w:numPr>
        <w:tabs>
          <w:tab w:val="left" w:pos="567"/>
          <w:tab w:val="left" w:pos="993"/>
        </w:tabs>
        <w:spacing w:line="276" w:lineRule="auto"/>
        <w:ind w:left="993" w:hanging="426"/>
        <w:jc w:val="both"/>
        <w:textAlignment w:val="baseline"/>
        <w:rPr>
          <w:rFonts w:ascii="Tahoma" w:hAnsi="Tahoma" w:cs="Tahoma"/>
        </w:rPr>
      </w:pPr>
      <w:bookmarkStart w:id="52" w:name="_Hlk192512273"/>
      <w:r>
        <w:rPr>
          <w:rFonts w:ascii="Tahoma" w:hAnsi="Tahoma" w:cs="Tahoma"/>
        </w:rPr>
        <w:t>provede-li Poskytovatel změnu v realizačním týmu nebo neoznámí-li bezodkladně složení týmu</w:t>
      </w:r>
      <w:bookmarkEnd w:id="52"/>
      <w:r>
        <w:rPr>
          <w:rFonts w:ascii="Tahoma" w:hAnsi="Tahoma" w:cs="Tahoma"/>
        </w:rPr>
        <w:t xml:space="preserve"> v rozporu s čl. 7.1.10 smlouvy, má objednatel právo na smluvní pokutu až ve výši 10.000,- Kč za každý jednotlivý případ porušení, a to i opakovaně.</w:t>
      </w:r>
    </w:p>
    <w:p w14:paraId="01F21E12"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V případě porušení jakékoliv smluvní povinnosti poskytovatele, pro kterou není ve smlouvě stanovena specifická smluvní pokuta, a její nesplnění poskytovatelem ani v dodatečné přiměřené lhůtě poskytnuté objednatelem (nevylučuje-li to charakter porušené povinnosti), je objednatel oprávněn požadovat od poskytovatele smluvní pokutu až ve výši 2.500,- Kč za každý jednotlivý </w:t>
      </w:r>
      <w:r>
        <w:rPr>
          <w:rFonts w:ascii="Tahoma" w:hAnsi="Tahoma" w:cs="Tahoma"/>
        </w:rPr>
        <w:lastRenderedPageBreak/>
        <w:t>případ porušení takové povinnosti. V pochybnostech se má za to, že dodatečná lhůta je přiměřená, pokud činila alespoň 5 pracovních dnů.</w:t>
      </w:r>
    </w:p>
    <w:p w14:paraId="40784160"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V případě prodlení kterékoliv smluvní strany se zaplacením peněžité částky vzniká oprávněné smluvní straně nárok na úrok z prodlení ve výši jedné setiny procenta (0,1 %) z dlužné částky za každý i započatý den prodlení.</w:t>
      </w:r>
    </w:p>
    <w:p w14:paraId="6070D97D"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Zaplacením smluvní pokuty není jakkoliv dotčen nárok objednatele na náhradu škody; nárok na náhradu škody je objednatel oprávněn uplatnit vedle smluvní pokuty v plné výši. </w:t>
      </w:r>
    </w:p>
    <w:p w14:paraId="64548A8B"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Smluvní pokuta i úrok z prodlení jsou splatné do třiceti (30) dnů po obdržení jejich vyúčtování.</w:t>
      </w:r>
    </w:p>
    <w:p w14:paraId="1A53D32F" w14:textId="77777777" w:rsidR="00CD58F2" w:rsidRDefault="00CD58F2" w:rsidP="00CD58F2">
      <w:pPr>
        <w:spacing w:line="276" w:lineRule="auto"/>
        <w:ind w:left="567"/>
        <w:jc w:val="both"/>
        <w:rPr>
          <w:rFonts w:ascii="Tahoma" w:hAnsi="Tahoma" w:cs="Tahoma"/>
        </w:rPr>
      </w:pPr>
    </w:p>
    <w:p w14:paraId="1CD98001" w14:textId="77777777" w:rsidR="00CD58F2" w:rsidRDefault="00CD58F2" w:rsidP="00CD58F2">
      <w:pPr>
        <w:spacing w:line="276" w:lineRule="auto"/>
        <w:ind w:left="567"/>
        <w:jc w:val="both"/>
        <w:rPr>
          <w:rFonts w:ascii="Tahoma" w:hAnsi="Tahoma" w:cs="Tahoma"/>
        </w:rPr>
      </w:pPr>
    </w:p>
    <w:p w14:paraId="5F10563E" w14:textId="77777777" w:rsidR="00CD58F2" w:rsidRDefault="00CD58F2" w:rsidP="00CD58F2">
      <w:pPr>
        <w:pStyle w:val="Nadpis1"/>
        <w:keepNext w:val="0"/>
        <w:numPr>
          <w:ilvl w:val="0"/>
          <w:numId w:val="1"/>
        </w:numPr>
        <w:spacing w:line="276" w:lineRule="auto"/>
        <w:ind w:left="567" w:hanging="482"/>
        <w:rPr>
          <w:rFonts w:ascii="Tahoma" w:hAnsi="Tahoma" w:cs="Tahoma"/>
          <w:b/>
          <w:caps/>
          <w:sz w:val="20"/>
        </w:rPr>
      </w:pPr>
      <w:bookmarkStart w:id="53" w:name="_Ref305657703"/>
      <w:bookmarkStart w:id="54" w:name="_Toc335318145"/>
      <w:bookmarkStart w:id="55" w:name="_Toc335318228"/>
      <w:r>
        <w:rPr>
          <w:rFonts w:ascii="Tahoma" w:hAnsi="Tahoma" w:cs="Tahoma"/>
          <w:b/>
          <w:caps/>
          <w:sz w:val="20"/>
        </w:rPr>
        <w:t>OCHRANA DŮVĚRNÝCH INFORMACÍ</w:t>
      </w:r>
      <w:bookmarkEnd w:id="53"/>
      <w:bookmarkEnd w:id="54"/>
      <w:bookmarkEnd w:id="55"/>
      <w:r>
        <w:rPr>
          <w:rFonts w:ascii="Tahoma" w:hAnsi="Tahoma" w:cs="Tahoma"/>
          <w:b/>
          <w:caps/>
          <w:sz w:val="20"/>
        </w:rPr>
        <w:t xml:space="preserve"> A OCHRANA OSOBNÍCH ÚDAJŮ</w:t>
      </w:r>
    </w:p>
    <w:p w14:paraId="10C964FD"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Smluvní strany se dohodly, že veškeré informace, které si sdělily v rámci uzavírání a plnění smlouvy, dále informace, které si sdělí nebo jinak vyplynou i z jejího plnění, jsou důvěrné (dále jen „</w:t>
      </w:r>
      <w:r>
        <w:rPr>
          <w:rFonts w:ascii="Tahoma" w:hAnsi="Tahoma" w:cs="Tahoma"/>
          <w:b/>
          <w:i/>
        </w:rPr>
        <w:t>Důvěrné informace</w:t>
      </w:r>
      <w:r>
        <w:rPr>
          <w:rFonts w:ascii="Tahoma" w:hAnsi="Tahoma" w:cs="Tahoma"/>
        </w:rPr>
        <w:t xml:space="preserve">“). Smluvní strany sjednávají, že důvěrnými informacemi jsou veškeré objednatelem poskytnuté informace, podklady a dokumenty, pokud nejsou běžně dostupné ve veřejných zdrojích. </w:t>
      </w:r>
    </w:p>
    <w:p w14:paraId="1933F6EF"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Smluvní strany se dohodly, že důvěrné informace nikomu neprozradí a přijmou taková opatření, která znemožní jejich přístupnost třetím osobám. Ustanovení předchozí věty se nevztahuje na případy, kdy:</w:t>
      </w:r>
    </w:p>
    <w:p w14:paraId="7994EB10" w14:textId="77777777" w:rsidR="00CD58F2" w:rsidRDefault="00CD58F2" w:rsidP="00CD58F2">
      <w:pPr>
        <w:pStyle w:val="BodyTextIndented"/>
        <w:widowControl w:val="0"/>
        <w:numPr>
          <w:ilvl w:val="2"/>
          <w:numId w:val="5"/>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smluvní strany mají povinnost stanovenou právním předpisem, a/nebo</w:t>
      </w:r>
    </w:p>
    <w:p w14:paraId="610AC683" w14:textId="77777777" w:rsidR="00CD58F2" w:rsidRDefault="00CD58F2" w:rsidP="00CD58F2">
      <w:pPr>
        <w:pStyle w:val="BodyTextIndented"/>
        <w:widowControl w:val="0"/>
        <w:numPr>
          <w:ilvl w:val="2"/>
          <w:numId w:val="5"/>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takové informace sdělí osobám, které mají ze zákona stanovenou povinnost mlčenlivosti, a/nebo</w:t>
      </w:r>
    </w:p>
    <w:p w14:paraId="756E799C" w14:textId="77777777" w:rsidR="00CD58F2" w:rsidRDefault="00CD58F2" w:rsidP="00CD58F2">
      <w:pPr>
        <w:pStyle w:val="BodyTextIndented"/>
        <w:widowControl w:val="0"/>
        <w:numPr>
          <w:ilvl w:val="2"/>
          <w:numId w:val="5"/>
        </w:numPr>
        <w:spacing w:after="0" w:line="276" w:lineRule="auto"/>
        <w:ind w:left="1276"/>
        <w:jc w:val="both"/>
        <w:rPr>
          <w:rFonts w:ascii="Tahoma" w:hAnsi="Tahoma" w:cs="Tahoma"/>
          <w:sz w:val="20"/>
          <w:szCs w:val="20"/>
          <w:lang w:val="cs-CZ" w:eastAsia="cs-CZ"/>
        </w:rPr>
      </w:pPr>
      <w:r>
        <w:rPr>
          <w:rFonts w:ascii="Tahoma" w:hAnsi="Tahoma" w:cs="Tahoma"/>
          <w:sz w:val="20"/>
          <w:szCs w:val="20"/>
          <w:lang w:val="cs-CZ" w:eastAsia="cs-CZ"/>
        </w:rPr>
        <w:t>se takové informace stanou veřejně známými či dostupnými jinak než porušením povinností vyplývajících z tohoto článku smlouvy.</w:t>
      </w:r>
    </w:p>
    <w:p w14:paraId="2A3C56B3"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67D6E2C6"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39C6A64A" w14:textId="77777777" w:rsidR="00CD58F2" w:rsidRDefault="00CD58F2" w:rsidP="00CD58F2">
      <w:pPr>
        <w:widowControl w:val="0"/>
        <w:numPr>
          <w:ilvl w:val="1"/>
          <w:numId w:val="1"/>
        </w:numPr>
        <w:spacing w:line="276" w:lineRule="auto"/>
        <w:ind w:left="567" w:hanging="567"/>
        <w:jc w:val="both"/>
        <w:textAlignment w:val="baseline"/>
        <w:rPr>
          <w:rFonts w:ascii="Tahoma" w:hAnsi="Tahoma" w:cs="Tahoma"/>
        </w:rPr>
      </w:pPr>
      <w:r>
        <w:rPr>
          <w:rFonts w:ascii="Tahoma" w:hAnsi="Tahoma" w:cs="Tahoma"/>
        </w:rPr>
        <w:t>V případě uplatnění smluvních pokut a náhrady škody není dotčena hmotná a trestní odpovědnost fyzických osob, které za poskytovatele jednaly a závazek mlčenlivosti a ochrany důvěrných informací nedodržely.</w:t>
      </w:r>
    </w:p>
    <w:p w14:paraId="14E62EFD"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bCs/>
        </w:rPr>
        <w:t>Závazek k mlčenlivosti a ochraně důvěrnosti informací je platný bez ohledu na uplynutí nebo ukončení účinnosti smlouvy.</w:t>
      </w:r>
    </w:p>
    <w:p w14:paraId="5DA56C09"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2E2E8417" w14:textId="77777777" w:rsidR="00CD58F2" w:rsidRPr="00A06D41" w:rsidRDefault="00CD58F2" w:rsidP="00CD58F2">
      <w:pPr>
        <w:numPr>
          <w:ilvl w:val="1"/>
          <w:numId w:val="1"/>
        </w:numPr>
        <w:spacing w:line="276" w:lineRule="auto"/>
        <w:ind w:left="567" w:hanging="567"/>
        <w:jc w:val="both"/>
        <w:rPr>
          <w:rFonts w:ascii="Tahoma" w:hAnsi="Tahoma" w:cs="Tahoma"/>
          <w:u w:val="single"/>
        </w:rPr>
      </w:pPr>
      <w:r>
        <w:rPr>
          <w:rFonts w:ascii="Tahoma" w:hAnsi="Tahoma" w:cs="Tahoma"/>
        </w:rPr>
        <w:t>V případě, že bude při plnění smlouvy docházet ke zpracování osobních údajů a poskytovatel bude zpracovatelem, smluvní strany se zavazují uzavřít smlouvu o zpracování osobních údajů.</w:t>
      </w:r>
    </w:p>
    <w:p w14:paraId="498E32A2" w14:textId="77777777" w:rsidR="00CD58F2" w:rsidRDefault="00CD58F2" w:rsidP="00CD58F2">
      <w:pPr>
        <w:spacing w:line="276" w:lineRule="auto"/>
        <w:ind w:left="567"/>
        <w:jc w:val="both"/>
        <w:rPr>
          <w:rFonts w:ascii="Tahoma" w:hAnsi="Tahoma" w:cs="Tahoma"/>
          <w:u w:val="single"/>
        </w:rPr>
      </w:pPr>
    </w:p>
    <w:p w14:paraId="6F39473E" w14:textId="77777777" w:rsidR="00CD58F2" w:rsidRDefault="00CD58F2" w:rsidP="00CD58F2">
      <w:pPr>
        <w:spacing w:line="276" w:lineRule="auto"/>
        <w:rPr>
          <w:rFonts w:ascii="Tahoma" w:hAnsi="Tahoma" w:cs="Tahoma"/>
        </w:rPr>
      </w:pPr>
    </w:p>
    <w:p w14:paraId="036EFFED" w14:textId="77777777" w:rsidR="00CD58F2" w:rsidRDefault="00CD58F2" w:rsidP="00CD58F2">
      <w:pPr>
        <w:pStyle w:val="Nadpis1"/>
        <w:keepNext w:val="0"/>
        <w:numPr>
          <w:ilvl w:val="0"/>
          <w:numId w:val="1"/>
        </w:numPr>
        <w:spacing w:line="276" w:lineRule="auto"/>
        <w:ind w:left="567" w:hanging="482"/>
        <w:rPr>
          <w:rFonts w:ascii="Tahoma" w:hAnsi="Tahoma" w:cs="Tahoma"/>
          <w:b/>
          <w:caps/>
          <w:sz w:val="20"/>
        </w:rPr>
      </w:pPr>
      <w:bookmarkStart w:id="56" w:name="_Toc335318146"/>
      <w:bookmarkStart w:id="57" w:name="_Toc335318229"/>
      <w:r>
        <w:rPr>
          <w:rFonts w:ascii="Tahoma" w:hAnsi="Tahoma" w:cs="Tahoma"/>
          <w:b/>
          <w:caps/>
          <w:sz w:val="20"/>
        </w:rPr>
        <w:lastRenderedPageBreak/>
        <w:t>MOŽNOSTI UKONČENÍ SMLOUVY</w:t>
      </w:r>
      <w:bookmarkEnd w:id="56"/>
      <w:bookmarkEnd w:id="57"/>
    </w:p>
    <w:p w14:paraId="545CD7E0"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Smlouva může být ukončena písemnou dohodou smluvních stran.</w:t>
      </w:r>
    </w:p>
    <w:p w14:paraId="08D28FBC" w14:textId="77777777" w:rsidR="00CD58F2" w:rsidRDefault="00CD58F2" w:rsidP="00CD58F2">
      <w:pPr>
        <w:numPr>
          <w:ilvl w:val="1"/>
          <w:numId w:val="1"/>
        </w:numPr>
        <w:spacing w:line="276" w:lineRule="auto"/>
        <w:ind w:left="567" w:hanging="567"/>
        <w:jc w:val="both"/>
        <w:rPr>
          <w:rFonts w:ascii="Tahoma" w:hAnsi="Tahoma" w:cs="Tahoma"/>
        </w:rPr>
      </w:pPr>
      <w:bookmarkStart w:id="58" w:name="_Ref480932725"/>
      <w:r>
        <w:rPr>
          <w:rFonts w:ascii="Tahoma" w:hAnsi="Tahoma" w:cs="Tahoma"/>
        </w:rPr>
        <w:t>Objednatel je oprávněn od smlouvy písemně odstoupit z důvodu jejího podstatného porušení poskytovatelem, přičemž za podstatné porušení smlouvy se bude považovat:</w:t>
      </w:r>
      <w:bookmarkEnd w:id="58"/>
    </w:p>
    <w:p w14:paraId="10E0CD3B" w14:textId="77777777" w:rsidR="00CD58F2" w:rsidRDefault="00CD58F2" w:rsidP="00CD58F2">
      <w:pPr>
        <w:numPr>
          <w:ilvl w:val="0"/>
          <w:numId w:val="2"/>
        </w:numPr>
        <w:spacing w:line="276" w:lineRule="auto"/>
        <w:jc w:val="both"/>
        <w:rPr>
          <w:rFonts w:ascii="Tahoma" w:hAnsi="Tahoma" w:cs="Tahoma"/>
        </w:rPr>
      </w:pPr>
      <w:r>
        <w:rPr>
          <w:rFonts w:ascii="Tahoma" w:hAnsi="Tahoma" w:cs="Tahoma"/>
        </w:rPr>
        <w:t>prodlení poskytovatele s poskytováním plnění či jeho části ve sjednaných termínech delší než 30 dnů, pokud poskytovatel</w:t>
      </w:r>
      <w:r>
        <w:rPr>
          <w:rFonts w:ascii="Tahoma" w:hAnsi="Tahoma" w:cs="Tahoma"/>
          <w:lang w:eastAsia="en-US"/>
        </w:rPr>
        <w:t xml:space="preserve"> nezjedná nápravu ani v dodatečné přiměřené lhůtě, kterou mu k tomu objednatel poskytne v písemné výzvě ke splnění povinnosti, přičemž tato lhůta nesmí být kratší než 10 pracovních dnů od doručení takovéto výzvy</w:t>
      </w:r>
      <w:r>
        <w:rPr>
          <w:rFonts w:ascii="Tahoma" w:hAnsi="Tahoma" w:cs="Tahoma"/>
        </w:rPr>
        <w:t xml:space="preserve">; </w:t>
      </w:r>
    </w:p>
    <w:p w14:paraId="1B2E112D" w14:textId="77777777" w:rsidR="00CD58F2" w:rsidRDefault="00CD58F2" w:rsidP="00CD58F2">
      <w:pPr>
        <w:numPr>
          <w:ilvl w:val="0"/>
          <w:numId w:val="2"/>
        </w:numPr>
        <w:spacing w:line="276" w:lineRule="auto"/>
        <w:jc w:val="both"/>
        <w:rPr>
          <w:rFonts w:ascii="Tahoma" w:hAnsi="Tahoma" w:cs="Tahoma"/>
        </w:rPr>
      </w:pPr>
      <w:r>
        <w:rPr>
          <w:rFonts w:ascii="Tahoma" w:hAnsi="Tahoma" w:cs="Tahoma"/>
        </w:rPr>
        <w:t>další případy, o kterých tak výslovně stanoví smlouva.</w:t>
      </w:r>
    </w:p>
    <w:p w14:paraId="51559C6D"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Objednatel je rovněž oprávněn odstoupit od smlouvy v případě, že:</w:t>
      </w:r>
    </w:p>
    <w:p w14:paraId="5C5EDA76" w14:textId="77777777" w:rsidR="00CD58F2" w:rsidRDefault="00CD58F2" w:rsidP="00CD58F2">
      <w:pPr>
        <w:numPr>
          <w:ilvl w:val="0"/>
          <w:numId w:val="6"/>
        </w:numPr>
        <w:spacing w:line="276" w:lineRule="auto"/>
        <w:jc w:val="both"/>
        <w:rPr>
          <w:rFonts w:ascii="Tahoma" w:hAnsi="Tahoma" w:cs="Tahoma"/>
        </w:rPr>
      </w:pPr>
      <w:r>
        <w:rPr>
          <w:rFonts w:ascii="Tahoma" w:hAnsi="Tahoma" w:cs="Tahoma"/>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3DEFCB0B" w14:textId="77777777" w:rsidR="00CD58F2" w:rsidRDefault="00CD58F2" w:rsidP="00CD58F2">
      <w:pPr>
        <w:numPr>
          <w:ilvl w:val="0"/>
          <w:numId w:val="6"/>
        </w:numPr>
        <w:spacing w:line="276" w:lineRule="auto"/>
        <w:jc w:val="both"/>
        <w:rPr>
          <w:rFonts w:ascii="Tahoma" w:hAnsi="Tahoma" w:cs="Tahoma"/>
        </w:rPr>
      </w:pPr>
      <w:r>
        <w:rPr>
          <w:rFonts w:ascii="Tahoma" w:hAnsi="Tahoma" w:cs="Tahoma"/>
        </w:rPr>
        <w:t>poskytovatel bude odsouzen pro trestný čin podle zákona č. 418/2011 Sb., o trestní odpovědnosti právnických osob, ve znění pozdějších předpisů.</w:t>
      </w:r>
    </w:p>
    <w:p w14:paraId="334D273C"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Poskytovatel je oprávněn od smlouvy písemně odstoupit z důvodu jejího podstatného porušení objednatelem, za což se považuje prodlení objednatele s úhradou ceny za plnění předmětu dle smlouvy o více než 30 dní.</w:t>
      </w:r>
    </w:p>
    <w:p w14:paraId="31E6F227" w14:textId="77777777" w:rsidR="00CD58F2" w:rsidRDefault="00CD58F2" w:rsidP="00CD58F2">
      <w:pPr>
        <w:numPr>
          <w:ilvl w:val="1"/>
          <w:numId w:val="1"/>
        </w:numPr>
        <w:spacing w:line="276" w:lineRule="auto"/>
        <w:ind w:left="567" w:hanging="567"/>
        <w:jc w:val="both"/>
        <w:rPr>
          <w:rFonts w:ascii="Tahoma" w:hAnsi="Tahoma" w:cs="Tahoma"/>
        </w:rPr>
      </w:pPr>
      <w:bookmarkStart w:id="59" w:name="_Ref417302883"/>
      <w:r>
        <w:rPr>
          <w:rFonts w:ascii="Tahoma" w:hAnsi="Tahoma" w:cs="Tahoma"/>
        </w:rPr>
        <w:t>Odstoupení od smlouvy ze strany objednatele nesmí být spojeno s uložením jakékoliv sankce k tíži objednatele.</w:t>
      </w:r>
      <w:bookmarkEnd w:id="59"/>
    </w:p>
    <w:p w14:paraId="03E49558"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Smluvní strany se dále dohodly, že odstoupení od smlouvy musí být písemné, jinak je neplatné. odstoupení je účinné ode dne, kdy bylo doručeno druhé smluvní straně. </w:t>
      </w:r>
    </w:p>
    <w:p w14:paraId="7341F5E8"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 zrušení.</w:t>
      </w:r>
    </w:p>
    <w:p w14:paraId="4483B42D" w14:textId="77777777" w:rsidR="00CD58F2" w:rsidRDefault="00CD58F2" w:rsidP="00CD58F2">
      <w:pPr>
        <w:numPr>
          <w:ilvl w:val="1"/>
          <w:numId w:val="1"/>
        </w:numPr>
        <w:spacing w:line="276" w:lineRule="auto"/>
        <w:ind w:left="567" w:hanging="567"/>
        <w:jc w:val="both"/>
        <w:rPr>
          <w:rFonts w:ascii="Tahoma" w:hAnsi="Tahoma" w:cs="Tahoma"/>
        </w:rPr>
      </w:pPr>
      <w:bookmarkStart w:id="60" w:name="_Ref397506166"/>
      <w:r>
        <w:rPr>
          <w:rFonts w:ascii="Tahoma" w:hAnsi="Tahoma" w:cs="Tahoma"/>
        </w:rPr>
        <w:t>Poskytovatel je povinen bezodkladně na výzvu objednatele bezúplatně předat objednateli v elektronické podobě ve struktuře a formátu dle požadavků objednatele všechna data náležející objednateli, a to do 15 kalendářních dní od doručení výzvy objednatele na jejich předání a specifikaci struktury a formátu.</w:t>
      </w:r>
      <w:bookmarkEnd w:id="60"/>
      <w:r>
        <w:rPr>
          <w:rFonts w:ascii="Tahoma" w:hAnsi="Tahoma" w:cs="Tahoma"/>
        </w:rPr>
        <w:t xml:space="preserve"> </w:t>
      </w:r>
    </w:p>
    <w:p w14:paraId="0BA3F599" w14:textId="77777777" w:rsidR="00CD58F2" w:rsidRDefault="00CD58F2" w:rsidP="00CD58F2">
      <w:pPr>
        <w:spacing w:line="276" w:lineRule="auto"/>
        <w:rPr>
          <w:rFonts w:ascii="Tahoma" w:hAnsi="Tahoma" w:cs="Tahoma"/>
          <w:lang w:eastAsia="x-none"/>
        </w:rPr>
      </w:pPr>
    </w:p>
    <w:p w14:paraId="2C119A7E" w14:textId="77777777" w:rsidR="00CD58F2" w:rsidRDefault="00CD58F2" w:rsidP="00CD58F2">
      <w:pPr>
        <w:spacing w:line="276" w:lineRule="auto"/>
        <w:rPr>
          <w:rFonts w:ascii="Tahoma" w:hAnsi="Tahoma" w:cs="Tahoma"/>
          <w:lang w:eastAsia="x-none"/>
        </w:rPr>
      </w:pPr>
    </w:p>
    <w:p w14:paraId="3A60982F" w14:textId="77777777" w:rsidR="00CD58F2" w:rsidRDefault="00CD58F2" w:rsidP="00CD58F2">
      <w:pPr>
        <w:pStyle w:val="Nadpis1"/>
        <w:keepNext w:val="0"/>
        <w:numPr>
          <w:ilvl w:val="0"/>
          <w:numId w:val="1"/>
        </w:numPr>
        <w:spacing w:line="276" w:lineRule="auto"/>
        <w:ind w:left="567" w:hanging="482"/>
        <w:rPr>
          <w:rFonts w:ascii="Tahoma" w:hAnsi="Tahoma" w:cs="Tahoma"/>
          <w:b/>
          <w:caps/>
          <w:sz w:val="20"/>
        </w:rPr>
      </w:pPr>
      <w:bookmarkStart w:id="61" w:name="_Toc335318147"/>
      <w:bookmarkStart w:id="62" w:name="_Toc335318230"/>
      <w:r>
        <w:rPr>
          <w:rFonts w:ascii="Tahoma" w:hAnsi="Tahoma" w:cs="Tahoma"/>
          <w:b/>
          <w:caps/>
          <w:sz w:val="20"/>
        </w:rPr>
        <w:t>SOUČINNOST A VZÁJEMNÁ KOMUNIKACE</w:t>
      </w:r>
      <w:bookmarkEnd w:id="61"/>
      <w:bookmarkEnd w:id="62"/>
    </w:p>
    <w:p w14:paraId="26BB16B2"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72627969"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Smluvní strany jsou povinny plnit své závazky vyplývající ze smlouvy tak, aby nedocházelo k prodlení s plněním jednotlivých termínů a s prodlením splatnosti jednotlivých peněžních závazků.</w:t>
      </w:r>
    </w:p>
    <w:p w14:paraId="46D8ADAD"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w:t>
      </w:r>
      <w:r>
        <w:rPr>
          <w:rFonts w:ascii="Tahoma" w:hAnsi="Tahoma" w:cs="Tahoma"/>
        </w:rPr>
        <w:lastRenderedPageBreak/>
        <w:t>stran uvedené v záhlaví smlouvy, nebo na takové adresy, které si smluvní strany vzájemně písemně oznámí.</w:t>
      </w:r>
    </w:p>
    <w:p w14:paraId="018B9B7F"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Oznámení správně adresovaná se považují za doručená</w:t>
      </w:r>
    </w:p>
    <w:p w14:paraId="63D8FBDA" w14:textId="77777777" w:rsidR="00CD58F2" w:rsidRDefault="00CD58F2" w:rsidP="00CD58F2">
      <w:pPr>
        <w:pStyle w:val="Odstavecseseznamem"/>
        <w:numPr>
          <w:ilvl w:val="0"/>
          <w:numId w:val="9"/>
        </w:numPr>
        <w:jc w:val="both"/>
        <w:rPr>
          <w:rFonts w:ascii="Tahoma" w:hAnsi="Tahoma" w:cs="Tahoma"/>
        </w:rPr>
      </w:pPr>
      <w:r>
        <w:rPr>
          <w:rFonts w:ascii="Tahoma" w:hAnsi="Tahoma" w:cs="Tahoma"/>
        </w:rPr>
        <w:t>dnem, o němž tak stanoví zákon č. 300/2008 Sb., o elektronických úkonech a autorizované konverzi dokumentů, ve znění pozdějších předpisů (dále jen „</w:t>
      </w:r>
      <w:r>
        <w:rPr>
          <w:rFonts w:ascii="Tahoma" w:hAnsi="Tahoma" w:cs="Tahoma"/>
          <w:b/>
          <w:i/>
        </w:rPr>
        <w:t>ZDS</w:t>
      </w:r>
      <w:r>
        <w:rPr>
          <w:rFonts w:ascii="Tahoma" w:hAnsi="Tahoma" w:cs="Tahoma"/>
        </w:rPr>
        <w:t>“), je-li oznámení zasíláno prostřednictvím datové zprávy do datové schránky ve smyslu ZDS; nebo</w:t>
      </w:r>
    </w:p>
    <w:p w14:paraId="1642B430" w14:textId="77777777" w:rsidR="00CD58F2" w:rsidRDefault="00CD58F2" w:rsidP="00CD58F2">
      <w:pPr>
        <w:pStyle w:val="Odstavecseseznamem"/>
        <w:numPr>
          <w:ilvl w:val="0"/>
          <w:numId w:val="9"/>
        </w:numPr>
        <w:jc w:val="both"/>
        <w:rPr>
          <w:rFonts w:ascii="Tahoma" w:hAnsi="Tahoma" w:cs="Tahoma"/>
        </w:rPr>
      </w:pPr>
      <w:r>
        <w:rPr>
          <w:rFonts w:ascii="Tahoma" w:hAnsi="Tahoma" w:cs="Tahoma"/>
        </w:rPr>
        <w:t>dnem fyzického předání oznámení, je-li oznámení zasíláno prostřednictvím kurýra nebo doručováno osobně; nebo</w:t>
      </w:r>
    </w:p>
    <w:p w14:paraId="18075A26" w14:textId="77777777" w:rsidR="00CD58F2" w:rsidRDefault="00CD58F2" w:rsidP="00CD58F2">
      <w:pPr>
        <w:pStyle w:val="Odstavecseseznamem"/>
        <w:numPr>
          <w:ilvl w:val="0"/>
          <w:numId w:val="9"/>
        </w:numPr>
        <w:jc w:val="both"/>
        <w:rPr>
          <w:rFonts w:ascii="Tahoma" w:hAnsi="Tahoma" w:cs="Tahoma"/>
        </w:rPr>
      </w:pPr>
      <w:r>
        <w:rPr>
          <w:rFonts w:ascii="Tahoma" w:hAnsi="Tahoma" w:cs="Tahoma"/>
        </w:rPr>
        <w:t>dnem doručení potvrzeným na doručence, je-li oznámení zasíláno doporučenou poštou; nebo</w:t>
      </w:r>
    </w:p>
    <w:p w14:paraId="6D1A2CEF" w14:textId="77777777" w:rsidR="00CD58F2" w:rsidRDefault="00CD58F2" w:rsidP="00CD58F2">
      <w:pPr>
        <w:pStyle w:val="Odstavecseseznamem"/>
        <w:numPr>
          <w:ilvl w:val="0"/>
          <w:numId w:val="9"/>
        </w:numPr>
        <w:jc w:val="both"/>
        <w:rPr>
          <w:rFonts w:ascii="Tahoma" w:hAnsi="Tahoma" w:cs="Tahoma"/>
        </w:rPr>
      </w:pPr>
      <w:r>
        <w:rPr>
          <w:rFonts w:ascii="Tahoma" w:hAnsi="Tahoma" w:cs="Tahoma"/>
        </w:rPr>
        <w:t>pokud není z jakéhokoliv důvodu možné doručení výše uvedeným způsobem, je doručeno dnem, kdy bude oznámení zasláno doporučenou poštou na adresu smluvní strany, avšak k jeho převzetí z jakéhokoli důvodu nedojde, a to ani ve lhůtě 3 pracovních dnů od jeho uložení na příslušné pobočce pošty.</w:t>
      </w:r>
    </w:p>
    <w:p w14:paraId="203AB175" w14:textId="77777777" w:rsidR="00CD58F2" w:rsidRDefault="00CD58F2" w:rsidP="00CD58F2">
      <w:pPr>
        <w:numPr>
          <w:ilvl w:val="1"/>
          <w:numId w:val="1"/>
        </w:numPr>
        <w:spacing w:line="276" w:lineRule="auto"/>
        <w:ind w:left="567" w:hanging="567"/>
        <w:jc w:val="both"/>
        <w:rPr>
          <w:rFonts w:ascii="Tahoma" w:hAnsi="Tahoma" w:cs="Tahoma"/>
        </w:rPr>
      </w:pPr>
      <w:r w:rsidRPr="005A022E">
        <w:rPr>
          <w:rFonts w:ascii="Tahoma" w:hAnsi="Tahoma" w:cs="Tahoma"/>
        </w:rPr>
        <w:t>Informace a materiály, které obsahují osobní údaje či důvěrné informace, budou doručovány buď osobně, zasílány doporučenou zásilkou pošty do vlastních rukou nebo zasílány elektronicky.</w:t>
      </w:r>
    </w:p>
    <w:p w14:paraId="06B686E3" w14:textId="77777777" w:rsidR="00CD58F2" w:rsidRDefault="00CD58F2" w:rsidP="00CD58F2">
      <w:pPr>
        <w:rPr>
          <w:rFonts w:ascii="Tahoma" w:hAnsi="Tahoma" w:cs="Tahoma"/>
        </w:rPr>
      </w:pPr>
      <w:r>
        <w:rPr>
          <w:rFonts w:ascii="Tahoma" w:hAnsi="Tahoma" w:cs="Tahoma"/>
        </w:rPr>
        <w:br w:type="page"/>
      </w:r>
    </w:p>
    <w:p w14:paraId="23615A7B" w14:textId="77777777" w:rsidR="00CD58F2" w:rsidRDefault="00CD58F2" w:rsidP="00CD58F2">
      <w:pPr>
        <w:spacing w:line="276" w:lineRule="auto"/>
        <w:ind w:left="567"/>
        <w:jc w:val="both"/>
        <w:rPr>
          <w:rFonts w:ascii="Tahoma" w:hAnsi="Tahoma" w:cs="Tahoma"/>
        </w:rPr>
      </w:pPr>
    </w:p>
    <w:p w14:paraId="68D8D402" w14:textId="77777777" w:rsidR="00CD58F2" w:rsidRDefault="00CD58F2" w:rsidP="00CD58F2">
      <w:pPr>
        <w:spacing w:line="276" w:lineRule="auto"/>
        <w:ind w:left="567"/>
        <w:jc w:val="both"/>
        <w:rPr>
          <w:rFonts w:ascii="Tahoma" w:hAnsi="Tahoma" w:cs="Tahoma"/>
        </w:rPr>
      </w:pPr>
    </w:p>
    <w:p w14:paraId="614A3AD3" w14:textId="77777777" w:rsidR="00CD58F2" w:rsidRDefault="00CD58F2" w:rsidP="00CD58F2">
      <w:pPr>
        <w:spacing w:line="276" w:lineRule="auto"/>
        <w:ind w:left="567"/>
        <w:jc w:val="both"/>
        <w:rPr>
          <w:rFonts w:ascii="Tahoma" w:hAnsi="Tahoma" w:cs="Tahoma"/>
        </w:rPr>
      </w:pPr>
    </w:p>
    <w:p w14:paraId="77BF9248" w14:textId="77777777" w:rsidR="00CD58F2" w:rsidRDefault="00CD58F2" w:rsidP="00CD58F2">
      <w:pPr>
        <w:spacing w:line="276" w:lineRule="auto"/>
        <w:ind w:left="567"/>
        <w:jc w:val="both"/>
        <w:rPr>
          <w:rFonts w:ascii="Tahoma" w:hAnsi="Tahoma" w:cs="Tahoma"/>
        </w:rPr>
      </w:pPr>
    </w:p>
    <w:p w14:paraId="0B5BC800" w14:textId="77777777" w:rsidR="00CD58F2" w:rsidRDefault="00CD58F2" w:rsidP="00CD58F2">
      <w:pPr>
        <w:spacing w:line="276" w:lineRule="auto"/>
        <w:ind w:left="567"/>
        <w:jc w:val="both"/>
        <w:rPr>
          <w:rFonts w:ascii="Tahoma" w:hAnsi="Tahoma" w:cs="Tahoma"/>
        </w:rPr>
      </w:pPr>
    </w:p>
    <w:p w14:paraId="5B145495" w14:textId="77777777" w:rsidR="00CD58F2" w:rsidRDefault="00CD58F2" w:rsidP="00CD58F2">
      <w:pPr>
        <w:spacing w:line="276" w:lineRule="auto"/>
        <w:ind w:left="567"/>
        <w:jc w:val="both"/>
        <w:rPr>
          <w:rFonts w:ascii="Tahoma" w:hAnsi="Tahoma" w:cs="Tahoma"/>
        </w:rPr>
      </w:pPr>
    </w:p>
    <w:p w14:paraId="35FDB4E4" w14:textId="77777777" w:rsidR="00CD58F2" w:rsidRDefault="00CD58F2" w:rsidP="00CD58F2">
      <w:pPr>
        <w:spacing w:line="276" w:lineRule="auto"/>
        <w:ind w:left="567"/>
        <w:jc w:val="both"/>
        <w:rPr>
          <w:rFonts w:ascii="Tahoma" w:hAnsi="Tahoma" w:cs="Tahoma"/>
        </w:rPr>
      </w:pPr>
    </w:p>
    <w:p w14:paraId="611163B8" w14:textId="77777777" w:rsidR="00CD58F2" w:rsidRDefault="00CD58F2" w:rsidP="00CD58F2">
      <w:pPr>
        <w:spacing w:line="276" w:lineRule="auto"/>
        <w:ind w:left="567"/>
        <w:jc w:val="both"/>
        <w:rPr>
          <w:rFonts w:ascii="Tahoma" w:hAnsi="Tahoma" w:cs="Tahoma"/>
        </w:rPr>
      </w:pPr>
    </w:p>
    <w:p w14:paraId="732B8253" w14:textId="77777777" w:rsidR="00CD58F2" w:rsidRPr="005A022E" w:rsidRDefault="00CD58F2" w:rsidP="00CD58F2">
      <w:pPr>
        <w:spacing w:line="276" w:lineRule="auto"/>
        <w:ind w:left="567"/>
        <w:jc w:val="both"/>
        <w:rPr>
          <w:rFonts w:ascii="Tahoma" w:hAnsi="Tahoma" w:cs="Tahoma"/>
        </w:rPr>
      </w:pPr>
    </w:p>
    <w:p w14:paraId="6733AD5A" w14:textId="77777777" w:rsidR="00CD58F2" w:rsidRDefault="00CD58F2" w:rsidP="00CD58F2">
      <w:pPr>
        <w:rPr>
          <w:rFonts w:ascii="Tahoma" w:hAnsi="Tahoma" w:cs="Tahoma"/>
        </w:rPr>
      </w:pPr>
    </w:p>
    <w:p w14:paraId="448E31A2" w14:textId="77777777" w:rsidR="00CD58F2" w:rsidRDefault="00CD58F2" w:rsidP="00CD58F2">
      <w:pPr>
        <w:pStyle w:val="Nadpis1"/>
        <w:numPr>
          <w:ilvl w:val="0"/>
          <w:numId w:val="1"/>
        </w:numPr>
        <w:spacing w:line="276" w:lineRule="auto"/>
        <w:ind w:left="567" w:hanging="482"/>
        <w:rPr>
          <w:rFonts w:ascii="Tahoma" w:hAnsi="Tahoma" w:cs="Tahoma"/>
          <w:b/>
          <w:caps/>
          <w:sz w:val="20"/>
        </w:rPr>
      </w:pPr>
      <w:bookmarkStart w:id="63" w:name="_Toc335318148"/>
      <w:bookmarkStart w:id="64" w:name="_Toc335318231"/>
      <w:r>
        <w:rPr>
          <w:rFonts w:ascii="Tahoma" w:hAnsi="Tahoma" w:cs="Tahoma"/>
          <w:b/>
          <w:caps/>
          <w:sz w:val="20"/>
        </w:rPr>
        <w:t>ZÁVĚREČNÁ USTANOVENÍ</w:t>
      </w:r>
      <w:bookmarkEnd w:id="63"/>
      <w:bookmarkEnd w:id="64"/>
    </w:p>
    <w:p w14:paraId="1E12E8D3"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567A9961"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p>
    <w:p w14:paraId="385AF6F4"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Smluvní strany se podpisem smlouvy dohodly, že vylučují aplikaci ustanovení § 557 OZ.</w:t>
      </w:r>
    </w:p>
    <w:p w14:paraId="14C0CAE1"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Smluvní strany si sdělily všechny skutkové a právní okolnosti, o nichž k datu podpisu smlouvy věděly nebo vědět musely, a které jsou relevantní ve vztahu k uzavření smlouvy. </w:t>
      </w:r>
    </w:p>
    <w:p w14:paraId="4333E438"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Poskytovatel na sebe v souladu s ustanovením § 1765 odst. 2 OZ přebírá nebezpečí změny okolností. Tímto však nejsou nikterak dotčena práva smluvních stran upravená ve smlouvě.</w:t>
      </w:r>
    </w:p>
    <w:p w14:paraId="38C700F3"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p>
    <w:p w14:paraId="457C447E"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Vztahy</w:t>
      </w:r>
      <w:r>
        <w:rPr>
          <w:rFonts w:ascii="Tahoma" w:eastAsia="Batang" w:hAnsi="Tahoma" w:cs="Tahoma"/>
        </w:rPr>
        <w:t xml:space="preserve"> smluvních stran smlouvou výslovně neupravené </w:t>
      </w:r>
      <w:r>
        <w:rPr>
          <w:rFonts w:ascii="Tahoma" w:hAnsi="Tahoma" w:cs="Tahoma"/>
        </w:rPr>
        <w:t>se řídí českým právním řádem, zejména OZ. Veškeré případné spory ze smlouvy budou v prvé řadě řešeny smírem. Pokud smíru nebude dosaženo během 30 (třiceti) dnů, všechny spory ze smlouvy a v souvislosti s ní budou řešeny věcně a místně příslušným soudem v České republice.</w:t>
      </w:r>
    </w:p>
    <w:p w14:paraId="4B5C63EC" w14:textId="77777777" w:rsidR="00CD58F2" w:rsidRPr="00961D5A" w:rsidRDefault="00CD58F2" w:rsidP="00CD58F2">
      <w:pPr>
        <w:numPr>
          <w:ilvl w:val="1"/>
          <w:numId w:val="1"/>
        </w:numPr>
        <w:spacing w:line="276" w:lineRule="auto"/>
        <w:ind w:left="567" w:hanging="567"/>
        <w:jc w:val="both"/>
        <w:rPr>
          <w:rFonts w:ascii="Tahoma" w:hAnsi="Tahoma" w:cs="Tahoma"/>
        </w:rPr>
      </w:pPr>
      <w:r>
        <w:rPr>
          <w:rFonts w:ascii="Tahoma" w:hAnsi="Tahoma" w:cs="Tahoma"/>
        </w:rPr>
        <w:t>Smlouva je uzavřena v elektronické podobě připojením elektronických podpisů obou smluvních stran. Elektronická forma bude použita i v případě dodatků této smlouvy.</w:t>
      </w:r>
    </w:p>
    <w:p w14:paraId="32723FE2" w14:textId="77777777" w:rsidR="00CD58F2" w:rsidRPr="00961D5A"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Tato smlouva nabývá platnosti dnem podpisu statutárními orgány smluvních stran a účinnosti dnem uveřejnění v registru smluv. </w:t>
      </w:r>
    </w:p>
    <w:p w14:paraId="64099133" w14:textId="77777777" w:rsidR="00CD58F2" w:rsidRPr="00961D5A" w:rsidRDefault="00CD58F2" w:rsidP="00CD58F2">
      <w:pPr>
        <w:numPr>
          <w:ilvl w:val="1"/>
          <w:numId w:val="1"/>
        </w:numPr>
        <w:spacing w:line="276" w:lineRule="auto"/>
        <w:ind w:left="567" w:hanging="567"/>
        <w:jc w:val="both"/>
        <w:rPr>
          <w:rFonts w:ascii="Tahoma" w:hAnsi="Tahoma" w:cs="Tahoma"/>
        </w:rPr>
      </w:pPr>
      <w:r>
        <w:rPr>
          <w:rFonts w:ascii="Tahoma" w:hAnsi="Tahoma" w:cs="Tahoma"/>
        </w:rPr>
        <w:t>Smluvní strany se dohodly, že pokud se na tuto smlouvu vztahuje povinnost uveřejnění v registru smluv ve smyslu zákona č. 340/2015 Sb., o registru smluv, provede uveřejnění v souladu se zákonem objednatel.</w:t>
      </w:r>
    </w:p>
    <w:p w14:paraId="5E143209"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 xml:space="preserve"> 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w:t>
      </w:r>
      <w:r>
        <w:rPr>
          <w:rFonts w:ascii="Tahoma" w:hAnsi="Tahoma" w:cs="Tahoma"/>
        </w:rPr>
        <w:lastRenderedPageBreak/>
        <w:t>předpisy. Podrobné informace o ochraně osobních údajů jsou uvedeny na oficiálních webových stránkách objednatele https://www.muo.cz/.</w:t>
      </w:r>
    </w:p>
    <w:p w14:paraId="47D05B4F" w14:textId="77777777" w:rsidR="00CD58F2" w:rsidRDefault="00CD58F2" w:rsidP="00CD58F2">
      <w:pPr>
        <w:rPr>
          <w:rFonts w:ascii="Tahoma" w:hAnsi="Tahoma" w:cs="Tahoma"/>
        </w:rPr>
      </w:pPr>
    </w:p>
    <w:p w14:paraId="1F4BCFF3" w14:textId="77777777" w:rsidR="00CD58F2" w:rsidRDefault="00CD58F2" w:rsidP="00CD58F2">
      <w:pPr>
        <w:rPr>
          <w:rFonts w:ascii="Tahoma" w:hAnsi="Tahoma" w:cs="Tahoma"/>
        </w:rPr>
      </w:pPr>
    </w:p>
    <w:p w14:paraId="3A75667C" w14:textId="77777777" w:rsidR="00CD58F2" w:rsidRDefault="00CD58F2" w:rsidP="00CD58F2">
      <w:pPr>
        <w:numPr>
          <w:ilvl w:val="1"/>
          <w:numId w:val="1"/>
        </w:numPr>
        <w:spacing w:line="276" w:lineRule="auto"/>
        <w:ind w:left="567" w:hanging="567"/>
        <w:jc w:val="both"/>
        <w:rPr>
          <w:rFonts w:ascii="Tahoma" w:hAnsi="Tahoma" w:cs="Tahoma"/>
        </w:rPr>
      </w:pPr>
      <w:r>
        <w:rPr>
          <w:rFonts w:ascii="Tahoma" w:hAnsi="Tahoma" w:cs="Tahoma"/>
        </w:rPr>
        <w:t>Nedílnou součástí smlouvy jsou následující přílohy:</w:t>
      </w:r>
    </w:p>
    <w:p w14:paraId="44E96848" w14:textId="77777777" w:rsidR="00CD58F2" w:rsidRDefault="00CD58F2" w:rsidP="00CD58F2">
      <w:pPr>
        <w:pStyle w:val="Zkladntextodsazen3"/>
        <w:numPr>
          <w:ilvl w:val="0"/>
          <w:numId w:val="11"/>
        </w:numPr>
        <w:spacing w:before="60" w:after="0" w:line="240" w:lineRule="auto"/>
        <w:rPr>
          <w:rFonts w:ascii="Tahoma" w:hAnsi="Tahoma" w:cs="Tahoma"/>
          <w:sz w:val="20"/>
          <w:lang w:val="cs-CZ"/>
        </w:rPr>
      </w:pPr>
      <w:bookmarkStart w:id="65" w:name="_Hlk205789848"/>
      <w:r>
        <w:rPr>
          <w:rFonts w:ascii="Tahoma" w:hAnsi="Tahoma" w:cs="Tahoma"/>
          <w:sz w:val="20"/>
        </w:rPr>
        <w:t>Příloha č. 1:</w:t>
      </w:r>
      <w:r>
        <w:rPr>
          <w:rFonts w:ascii="Tahoma" w:hAnsi="Tahoma" w:cs="Tahoma"/>
          <w:sz w:val="20"/>
        </w:rPr>
        <w:tab/>
        <w:t>Specifikace služby</w:t>
      </w:r>
    </w:p>
    <w:bookmarkEnd w:id="65"/>
    <w:p w14:paraId="495265B3" w14:textId="77777777" w:rsidR="00CD58F2" w:rsidRDefault="00CD58F2" w:rsidP="00CD58F2">
      <w:pPr>
        <w:pStyle w:val="Zkladntextodsazen3"/>
        <w:numPr>
          <w:ilvl w:val="0"/>
          <w:numId w:val="11"/>
        </w:numPr>
        <w:spacing w:before="60" w:after="0" w:line="240" w:lineRule="auto"/>
        <w:rPr>
          <w:rFonts w:ascii="Tahoma" w:hAnsi="Tahoma" w:cs="Tahoma"/>
          <w:sz w:val="20"/>
          <w:lang w:val="cs-CZ"/>
        </w:rPr>
      </w:pPr>
      <w:r>
        <w:rPr>
          <w:rFonts w:ascii="Tahoma" w:hAnsi="Tahoma" w:cs="Tahoma"/>
          <w:sz w:val="20"/>
          <w:lang w:val="cs-CZ"/>
        </w:rPr>
        <w:t>Příloha č. 2:</w:t>
      </w:r>
      <w:r>
        <w:rPr>
          <w:rFonts w:ascii="Tahoma" w:hAnsi="Tahoma" w:cs="Tahoma"/>
          <w:sz w:val="20"/>
          <w:lang w:val="cs-CZ"/>
        </w:rPr>
        <w:tab/>
        <w:t>Položkový rozpočet</w:t>
      </w:r>
    </w:p>
    <w:p w14:paraId="7914722B" w14:textId="77777777" w:rsidR="00CD58F2" w:rsidRDefault="00CD58F2" w:rsidP="00CD58F2">
      <w:pPr>
        <w:jc w:val="both"/>
        <w:rPr>
          <w:rFonts w:ascii="Tahoma" w:hAnsi="Tahoma" w:cs="Tahoma"/>
        </w:rPr>
      </w:pPr>
    </w:p>
    <w:p w14:paraId="206CDC46" w14:textId="77777777" w:rsidR="00CD58F2" w:rsidRDefault="00CD58F2" w:rsidP="00CD58F2">
      <w:pPr>
        <w:pStyle w:val="Smlouva-slo"/>
        <w:tabs>
          <w:tab w:val="left" w:pos="426"/>
        </w:tabs>
        <w:spacing w:before="0" w:line="240" w:lineRule="auto"/>
        <w:rPr>
          <w:rFonts w:ascii="Tahoma" w:hAnsi="Tahoma" w:cs="Tahoma"/>
          <w:szCs w:val="24"/>
        </w:rPr>
      </w:pPr>
    </w:p>
    <w:tbl>
      <w:tblPr>
        <w:tblW w:w="9002" w:type="dxa"/>
        <w:tblInd w:w="70" w:type="dxa"/>
        <w:tblLayout w:type="fixed"/>
        <w:tblCellMar>
          <w:left w:w="70" w:type="dxa"/>
          <w:right w:w="70" w:type="dxa"/>
        </w:tblCellMar>
        <w:tblLook w:val="0000" w:firstRow="0" w:lastRow="0" w:firstColumn="0" w:lastColumn="0" w:noHBand="0" w:noVBand="0"/>
      </w:tblPr>
      <w:tblGrid>
        <w:gridCol w:w="3517"/>
        <w:gridCol w:w="1306"/>
        <w:gridCol w:w="4179"/>
      </w:tblGrid>
      <w:tr w:rsidR="00CD58F2" w14:paraId="0CA72069" w14:textId="77777777" w:rsidTr="000E353C">
        <w:tc>
          <w:tcPr>
            <w:tcW w:w="3517" w:type="dxa"/>
          </w:tcPr>
          <w:p w14:paraId="0B4B3EA0" w14:textId="77777777" w:rsidR="00CD58F2" w:rsidRDefault="00CD58F2" w:rsidP="000E353C">
            <w:pPr>
              <w:rPr>
                <w:rFonts w:ascii="Tahoma" w:hAnsi="Tahoma" w:cs="Tahoma"/>
              </w:rPr>
            </w:pPr>
            <w:r>
              <w:rPr>
                <w:rFonts w:ascii="Tahoma" w:hAnsi="Tahoma" w:cs="Tahoma"/>
              </w:rPr>
              <w:t>V Olomouci dne dle data el. podpisu</w:t>
            </w:r>
          </w:p>
        </w:tc>
        <w:tc>
          <w:tcPr>
            <w:tcW w:w="1306" w:type="dxa"/>
          </w:tcPr>
          <w:p w14:paraId="60AE47C1" w14:textId="77777777" w:rsidR="00CD58F2" w:rsidRDefault="00CD58F2" w:rsidP="000E353C">
            <w:pPr>
              <w:rPr>
                <w:rFonts w:ascii="Tahoma" w:hAnsi="Tahoma" w:cs="Tahoma"/>
              </w:rPr>
            </w:pPr>
          </w:p>
        </w:tc>
        <w:tc>
          <w:tcPr>
            <w:tcW w:w="4179" w:type="dxa"/>
          </w:tcPr>
          <w:p w14:paraId="1903A9D5" w14:textId="77777777" w:rsidR="00CD58F2" w:rsidRDefault="00CD58F2" w:rsidP="000E353C">
            <w:pPr>
              <w:rPr>
                <w:rFonts w:ascii="Tahoma" w:hAnsi="Tahoma" w:cs="Tahoma"/>
              </w:rPr>
            </w:pPr>
            <w:r w:rsidRPr="00834AB7">
              <w:rPr>
                <w:rFonts w:ascii="Tahoma" w:hAnsi="Tahoma" w:cs="Tahoma"/>
              </w:rPr>
              <w:t xml:space="preserve">V </w:t>
            </w:r>
            <w:r w:rsidRPr="00E83260">
              <w:rPr>
                <w:rFonts w:ascii="Tahoma" w:hAnsi="Tahoma" w:cs="Tahoma"/>
              </w:rPr>
              <w:t>Ostravě</w:t>
            </w:r>
            <w:r w:rsidRPr="00834AB7">
              <w:rPr>
                <w:rFonts w:ascii="Tahoma" w:hAnsi="Tahoma" w:cs="Tahoma"/>
              </w:rPr>
              <w:t xml:space="preserve"> dne</w:t>
            </w:r>
            <w:r>
              <w:rPr>
                <w:rFonts w:ascii="Tahoma" w:hAnsi="Tahoma" w:cs="Tahoma"/>
              </w:rPr>
              <w:t xml:space="preserve"> dle data el. podpisu</w:t>
            </w:r>
          </w:p>
          <w:p w14:paraId="3C970760" w14:textId="77777777" w:rsidR="00CD58F2" w:rsidRDefault="00CD58F2" w:rsidP="000E353C">
            <w:pPr>
              <w:rPr>
                <w:rFonts w:ascii="Tahoma" w:hAnsi="Tahoma" w:cs="Tahoma"/>
              </w:rPr>
            </w:pPr>
          </w:p>
          <w:p w14:paraId="0902D428" w14:textId="77777777" w:rsidR="00CD58F2" w:rsidRDefault="00CD58F2" w:rsidP="000E353C">
            <w:pPr>
              <w:rPr>
                <w:rFonts w:ascii="Tahoma" w:hAnsi="Tahoma" w:cs="Tahoma"/>
              </w:rPr>
            </w:pPr>
          </w:p>
          <w:p w14:paraId="4C91B3AF" w14:textId="77777777" w:rsidR="00CD58F2" w:rsidRDefault="00CD58F2" w:rsidP="000E353C">
            <w:pPr>
              <w:rPr>
                <w:rFonts w:ascii="Tahoma" w:hAnsi="Tahoma" w:cs="Tahoma"/>
              </w:rPr>
            </w:pPr>
          </w:p>
        </w:tc>
      </w:tr>
      <w:tr w:rsidR="00CD58F2" w14:paraId="34E4E9C3" w14:textId="77777777" w:rsidTr="000E353C">
        <w:trPr>
          <w:trHeight w:val="802"/>
        </w:trPr>
        <w:tc>
          <w:tcPr>
            <w:tcW w:w="3517" w:type="dxa"/>
            <w:tcBorders>
              <w:bottom w:val="single" w:sz="4" w:space="0" w:color="000000"/>
            </w:tcBorders>
            <w:vAlign w:val="center"/>
          </w:tcPr>
          <w:p w14:paraId="02931BD6" w14:textId="77777777" w:rsidR="00CD58F2" w:rsidRDefault="00CD58F2" w:rsidP="000E353C">
            <w:pPr>
              <w:rPr>
                <w:rFonts w:ascii="Tahoma" w:hAnsi="Tahoma" w:cs="Tahoma"/>
              </w:rPr>
            </w:pPr>
          </w:p>
        </w:tc>
        <w:tc>
          <w:tcPr>
            <w:tcW w:w="1306" w:type="dxa"/>
            <w:vAlign w:val="center"/>
          </w:tcPr>
          <w:p w14:paraId="609FA35A" w14:textId="77777777" w:rsidR="00CD58F2" w:rsidRDefault="00CD58F2" w:rsidP="000E353C">
            <w:pPr>
              <w:jc w:val="center"/>
              <w:rPr>
                <w:rFonts w:ascii="Tahoma" w:hAnsi="Tahoma" w:cs="Tahoma"/>
              </w:rPr>
            </w:pPr>
          </w:p>
        </w:tc>
        <w:tc>
          <w:tcPr>
            <w:tcW w:w="4179" w:type="dxa"/>
            <w:tcBorders>
              <w:bottom w:val="single" w:sz="4" w:space="0" w:color="000000"/>
            </w:tcBorders>
            <w:vAlign w:val="center"/>
          </w:tcPr>
          <w:p w14:paraId="674A9FE4" w14:textId="77777777" w:rsidR="00CD58F2" w:rsidRDefault="00CD58F2" w:rsidP="000E353C">
            <w:pPr>
              <w:rPr>
                <w:rFonts w:ascii="Tahoma" w:hAnsi="Tahoma" w:cs="Tahoma"/>
              </w:rPr>
            </w:pPr>
          </w:p>
        </w:tc>
      </w:tr>
      <w:tr w:rsidR="00CD58F2" w14:paraId="6BB18B50" w14:textId="77777777" w:rsidTr="000E353C">
        <w:trPr>
          <w:trHeight w:val="786"/>
        </w:trPr>
        <w:tc>
          <w:tcPr>
            <w:tcW w:w="3517" w:type="dxa"/>
            <w:tcBorders>
              <w:top w:val="single" w:sz="4" w:space="0" w:color="000000"/>
            </w:tcBorders>
          </w:tcPr>
          <w:p w14:paraId="4CE8A1F3" w14:textId="77777777" w:rsidR="00CD58F2" w:rsidRDefault="00CD58F2" w:rsidP="000E353C">
            <w:pPr>
              <w:jc w:val="center"/>
              <w:rPr>
                <w:rFonts w:ascii="Tahoma" w:hAnsi="Tahoma" w:cs="Tahoma"/>
              </w:rPr>
            </w:pPr>
            <w:r>
              <w:rPr>
                <w:rFonts w:ascii="Tahoma" w:hAnsi="Tahoma" w:cs="Tahoma"/>
              </w:rPr>
              <w:t>za objednatele</w:t>
            </w:r>
          </w:p>
          <w:p w14:paraId="1399C564" w14:textId="77777777" w:rsidR="00CD58F2" w:rsidRDefault="00CD58F2" w:rsidP="000E353C">
            <w:pPr>
              <w:jc w:val="center"/>
              <w:rPr>
                <w:rFonts w:ascii="Tahoma" w:hAnsi="Tahoma" w:cs="Tahoma"/>
              </w:rPr>
            </w:pPr>
            <w:r>
              <w:rPr>
                <w:rFonts w:ascii="Tahoma" w:hAnsi="Tahoma" w:cs="Tahoma"/>
              </w:rPr>
              <w:t>Mgr. Ondřej Zatloukal</w:t>
            </w:r>
            <w:r>
              <w:rPr>
                <w:rFonts w:ascii="Tahoma" w:hAnsi="Tahoma" w:cs="Tahoma"/>
              </w:rPr>
              <w:br/>
              <w:t>ředitel</w:t>
            </w:r>
          </w:p>
        </w:tc>
        <w:tc>
          <w:tcPr>
            <w:tcW w:w="1306" w:type="dxa"/>
            <w:vAlign w:val="center"/>
          </w:tcPr>
          <w:p w14:paraId="0D364634" w14:textId="77777777" w:rsidR="00CD58F2" w:rsidRDefault="00CD58F2" w:rsidP="000E353C">
            <w:pPr>
              <w:jc w:val="center"/>
              <w:rPr>
                <w:rFonts w:ascii="Tahoma" w:hAnsi="Tahoma" w:cs="Tahoma"/>
              </w:rPr>
            </w:pPr>
          </w:p>
        </w:tc>
        <w:tc>
          <w:tcPr>
            <w:tcW w:w="4179" w:type="dxa"/>
            <w:tcBorders>
              <w:top w:val="single" w:sz="4" w:space="0" w:color="000000"/>
            </w:tcBorders>
          </w:tcPr>
          <w:p w14:paraId="762FE731" w14:textId="77777777" w:rsidR="00CD58F2" w:rsidRDefault="00CD58F2" w:rsidP="000E353C">
            <w:pPr>
              <w:jc w:val="center"/>
              <w:rPr>
                <w:rFonts w:ascii="Tahoma" w:hAnsi="Tahoma" w:cs="Tahoma"/>
              </w:rPr>
            </w:pPr>
            <w:r>
              <w:rPr>
                <w:rFonts w:ascii="Tahoma" w:hAnsi="Tahoma" w:cs="Tahoma"/>
              </w:rPr>
              <w:t>za poskytovatele</w:t>
            </w:r>
          </w:p>
          <w:p w14:paraId="26C54CBF" w14:textId="77777777" w:rsidR="00CD58F2" w:rsidRDefault="00CD58F2" w:rsidP="000E353C">
            <w:pPr>
              <w:jc w:val="center"/>
              <w:rPr>
                <w:rFonts w:ascii="Tahoma" w:hAnsi="Tahoma" w:cs="Tahoma"/>
              </w:rPr>
            </w:pPr>
            <w:r>
              <w:rPr>
                <w:rFonts w:ascii="Tahoma" w:hAnsi="Tahoma" w:cs="Tahoma"/>
              </w:rPr>
              <w:t>Bc. Martin Beněk, Sales Manager</w:t>
            </w:r>
          </w:p>
          <w:p w14:paraId="7A1DFE4B" w14:textId="77777777" w:rsidR="00CD58F2" w:rsidRDefault="00CD58F2" w:rsidP="000E353C">
            <w:pPr>
              <w:jc w:val="center"/>
              <w:rPr>
                <w:rFonts w:ascii="Tahoma" w:hAnsi="Tahoma" w:cs="Tahoma"/>
              </w:rPr>
            </w:pPr>
            <w:r>
              <w:rPr>
                <w:rFonts w:ascii="Tahoma" w:hAnsi="Tahoma" w:cs="Tahoma"/>
              </w:rPr>
              <w:t>na základě plné moci</w:t>
            </w:r>
          </w:p>
        </w:tc>
      </w:tr>
    </w:tbl>
    <w:p w14:paraId="153A76DF" w14:textId="77777777" w:rsidR="00CD58F2" w:rsidRDefault="00CD58F2" w:rsidP="00CD58F2">
      <w:pPr>
        <w:pStyle w:val="Smlouva-slo"/>
        <w:tabs>
          <w:tab w:val="left" w:pos="426"/>
        </w:tabs>
        <w:spacing w:before="0" w:line="240" w:lineRule="auto"/>
        <w:rPr>
          <w:rFonts w:ascii="Tahoma" w:hAnsi="Tahoma" w:cs="Tahoma"/>
        </w:rPr>
      </w:pPr>
    </w:p>
    <w:p w14:paraId="7EEF17C2" w14:textId="77777777" w:rsidR="00CD58F2" w:rsidRDefault="00CD58F2" w:rsidP="00CD58F2">
      <w:pPr>
        <w:rPr>
          <w:rFonts w:ascii="Tahoma" w:hAnsi="Tahoma" w:cs="Tahoma"/>
          <w:sz w:val="24"/>
          <w:lang w:val="x-none"/>
        </w:rPr>
      </w:pPr>
      <w:r>
        <w:rPr>
          <w:rFonts w:ascii="Tahoma" w:hAnsi="Tahoma" w:cs="Tahoma"/>
          <w:lang w:val="x-none"/>
        </w:rPr>
        <w:br w:type="page"/>
      </w:r>
    </w:p>
    <w:p w14:paraId="356F6A02" w14:textId="77777777" w:rsidR="00CD58F2" w:rsidRPr="004A544F" w:rsidRDefault="00CD58F2" w:rsidP="00CD58F2">
      <w:pPr>
        <w:suppressAutoHyphens w:val="0"/>
        <w:autoSpaceDE w:val="0"/>
        <w:autoSpaceDN w:val="0"/>
        <w:adjustRightInd w:val="0"/>
        <w:rPr>
          <w:rFonts w:ascii="Calibri" w:eastAsiaTheme="minorHAnsi" w:hAnsi="Calibri" w:cs="Calibri"/>
          <w:color w:val="000000"/>
          <w:sz w:val="24"/>
          <w:szCs w:val="24"/>
          <w:lang w:eastAsia="en-US"/>
        </w:rPr>
      </w:pPr>
    </w:p>
    <w:p w14:paraId="0E42A45F" w14:textId="77777777" w:rsidR="00CD58F2" w:rsidRPr="004A544F" w:rsidRDefault="00CD58F2" w:rsidP="00CD58F2">
      <w:pPr>
        <w:pStyle w:val="Nadpis1"/>
        <w:spacing w:line="276" w:lineRule="auto"/>
        <w:rPr>
          <w:rFonts w:ascii="Tahoma" w:hAnsi="Tahoma" w:cs="Tahoma"/>
          <w:b/>
          <w:caps/>
          <w:sz w:val="20"/>
        </w:rPr>
      </w:pPr>
      <w:bookmarkStart w:id="66" w:name="_Hlk205798160"/>
      <w:r w:rsidRPr="004A544F">
        <w:rPr>
          <w:rFonts w:ascii="Tahoma" w:hAnsi="Tahoma" w:cs="Tahoma"/>
          <w:b/>
          <w:caps/>
          <w:sz w:val="20"/>
        </w:rPr>
        <w:t>Příloha č. 1:</w:t>
      </w:r>
      <w:r w:rsidRPr="004A544F">
        <w:rPr>
          <w:rFonts w:ascii="Tahoma" w:hAnsi="Tahoma" w:cs="Tahoma"/>
          <w:b/>
          <w:caps/>
          <w:sz w:val="20"/>
        </w:rPr>
        <w:tab/>
        <w:t>Specifikace služby</w:t>
      </w:r>
    </w:p>
    <w:bookmarkEnd w:id="66"/>
    <w:p w14:paraId="2DA89B97" w14:textId="77777777" w:rsidR="00CD58F2" w:rsidRDefault="00CD58F2" w:rsidP="00CD58F2">
      <w:pPr>
        <w:suppressAutoHyphens w:val="0"/>
        <w:autoSpaceDE w:val="0"/>
        <w:autoSpaceDN w:val="0"/>
        <w:adjustRightInd w:val="0"/>
        <w:rPr>
          <w:rFonts w:ascii="Calibri" w:eastAsiaTheme="minorHAnsi" w:hAnsi="Calibri" w:cs="Calibri"/>
          <w:color w:val="000000"/>
          <w:sz w:val="24"/>
          <w:szCs w:val="24"/>
          <w:lang w:eastAsia="en-US"/>
        </w:rPr>
      </w:pPr>
    </w:p>
    <w:p w14:paraId="3865C9D8" w14:textId="77777777" w:rsidR="00CD58F2" w:rsidRPr="004A544F" w:rsidRDefault="00CD58F2" w:rsidP="00CD58F2">
      <w:pPr>
        <w:suppressAutoHyphens w:val="0"/>
        <w:spacing w:after="160" w:line="259" w:lineRule="auto"/>
        <w:jc w:val="center"/>
        <w:rPr>
          <w:rFonts w:asciiTheme="minorHAnsi" w:eastAsiaTheme="minorHAnsi" w:hAnsiTheme="minorHAnsi" w:cstheme="minorBidi"/>
          <w:b/>
          <w:bCs/>
          <w:kern w:val="2"/>
          <w:sz w:val="36"/>
          <w:szCs w:val="36"/>
          <w:lang w:eastAsia="en-US"/>
          <w14:ligatures w14:val="standardContextual"/>
        </w:rPr>
      </w:pPr>
      <w:r w:rsidRPr="004A544F">
        <w:rPr>
          <w:rFonts w:asciiTheme="minorHAnsi" w:eastAsiaTheme="minorHAnsi" w:hAnsiTheme="minorHAnsi" w:cstheme="minorBidi"/>
          <w:b/>
          <w:bCs/>
          <w:kern w:val="2"/>
          <w:sz w:val="36"/>
          <w:szCs w:val="36"/>
          <w:lang w:eastAsia="en-US"/>
          <w14:ligatures w14:val="standardContextual"/>
        </w:rPr>
        <w:t xml:space="preserve">Specifikace služby ZAJIŠTĚNÍ FINÁLNÍHO NEZÁVISLÉHO AUDITU OVĚŘUJÍCÍHO NAPLNĚNÍ KYBERNETICKÝCH </w:t>
      </w:r>
      <w:r>
        <w:rPr>
          <w:rFonts w:asciiTheme="minorHAnsi" w:eastAsiaTheme="minorHAnsi" w:hAnsiTheme="minorHAnsi" w:cstheme="minorBidi"/>
          <w:b/>
          <w:bCs/>
          <w:kern w:val="2"/>
          <w:sz w:val="36"/>
          <w:szCs w:val="36"/>
          <w:lang w:eastAsia="en-US"/>
          <w14:ligatures w14:val="standardContextual"/>
        </w:rPr>
        <w:br/>
      </w:r>
      <w:r w:rsidRPr="004A544F">
        <w:rPr>
          <w:rFonts w:asciiTheme="minorHAnsi" w:eastAsiaTheme="minorHAnsi" w:hAnsiTheme="minorHAnsi" w:cstheme="minorBidi"/>
          <w:b/>
          <w:bCs/>
          <w:kern w:val="2"/>
          <w:sz w:val="36"/>
          <w:szCs w:val="36"/>
          <w:lang w:eastAsia="en-US"/>
          <w14:ligatures w14:val="standardContextual"/>
        </w:rPr>
        <w:t xml:space="preserve">POŽADAVKŮ </w:t>
      </w:r>
    </w:p>
    <w:p w14:paraId="33FD4314" w14:textId="77777777" w:rsidR="00CD58F2" w:rsidRPr="004A544F" w:rsidRDefault="00CD58F2" w:rsidP="00CD58F2">
      <w:pPr>
        <w:pStyle w:val="Nadpis3"/>
        <w:widowControl w:val="0"/>
        <w:suppressAutoHyphens w:val="0"/>
        <w:autoSpaceDE w:val="0"/>
        <w:autoSpaceDN w:val="0"/>
        <w:spacing w:before="40"/>
        <w:ind w:hanging="360"/>
        <w:rPr>
          <w:rStyle w:val="normaltextrun"/>
          <w:rFonts w:ascii="Calibri" w:hAnsi="Calibri"/>
          <w:color w:val="000000"/>
          <w:kern w:val="2"/>
          <w:szCs w:val="24"/>
          <w:shd w:val="clear" w:color="auto" w:fill="FFFFFF"/>
          <w:lang w:eastAsia="en-US"/>
          <w14:ligatures w14:val="standardContextual"/>
        </w:rPr>
      </w:pPr>
      <w:r w:rsidRPr="004A544F">
        <w:rPr>
          <w:rStyle w:val="normaltextrun"/>
          <w:rFonts w:ascii="Calibri" w:hAnsi="Calibri"/>
          <w:color w:val="000000"/>
          <w:kern w:val="2"/>
          <w:szCs w:val="24"/>
          <w:shd w:val="clear" w:color="auto" w:fill="FFFFFF"/>
          <w:lang w:eastAsia="en-US"/>
          <w14:ligatures w14:val="standardContextual"/>
        </w:rPr>
        <w:t xml:space="preserve">1.1 Popis projektu „Kvalitní zabezpečení sítí a ICT a s tím související ochrana digitalizátů Muzea umění Olomouc" </w:t>
      </w:r>
    </w:p>
    <w:p w14:paraId="1603276A"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Zakázka „Zajištění finálního nezávislého auditu ověřujícího naplnění kybernetických požadavků“ (dále jen audit kybernetické bezpečnosti) je zadávána v rámci projektu Muzea umění Olomouc </w:t>
      </w:r>
      <w:r w:rsidRPr="0085060D">
        <w:rPr>
          <w:rFonts w:ascii="Calibri" w:eastAsiaTheme="minorHAnsi" w:hAnsi="Calibri" w:cs="Calibri"/>
          <w:color w:val="000000"/>
          <w:kern w:val="2"/>
          <w:sz w:val="24"/>
          <w:szCs w:val="24"/>
          <w:lang w:eastAsia="en-US"/>
          <w14:ligatures w14:val="standardContextual"/>
        </w:rPr>
        <w:t>(dále jen „MUO“)</w:t>
      </w:r>
      <w:r>
        <w:rPr>
          <w:rFonts w:ascii="Calibri" w:eastAsiaTheme="minorHAnsi" w:hAnsi="Calibri" w:cs="Calibri"/>
          <w:color w:val="000000"/>
          <w:kern w:val="2"/>
          <w:sz w:val="24"/>
          <w:szCs w:val="24"/>
          <w:lang w:eastAsia="en-US"/>
          <w14:ligatures w14:val="standardContextual"/>
        </w:rPr>
        <w:t xml:space="preserve"> </w:t>
      </w:r>
      <w:r w:rsidRPr="004A544F">
        <w:rPr>
          <w:rFonts w:ascii="Calibri" w:eastAsiaTheme="minorHAnsi" w:hAnsi="Calibri" w:cs="Calibri"/>
          <w:color w:val="000000"/>
          <w:kern w:val="2"/>
          <w:sz w:val="24"/>
          <w:szCs w:val="24"/>
          <w:lang w:eastAsia="en-US"/>
          <w14:ligatures w14:val="standardContextual"/>
        </w:rPr>
        <w:t xml:space="preserve">s názvem „Kvalitní zabezpečení sítí a ICT a s tím související ochrana digitalizátů Muzea umění Olomouc". </w:t>
      </w:r>
    </w:p>
    <w:p w14:paraId="120BDC7C"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Projekt je financován v rámci Národního plánu obnovy ČR, Výzva č. 42, Kybernetická bezpečnost, pilíř: Digitální transformace, komponenta: 1. 2 Digitální systémy veřejné správy. </w:t>
      </w:r>
    </w:p>
    <w:p w14:paraId="6C1645C1"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Audit kybernetické bezpečnosti potvrzující úspěšné testování a ověření souladu s požadavky na kybernetickou bezpečnost je hlavním monitorovacím indikátorem projektu. </w:t>
      </w:r>
    </w:p>
    <w:p w14:paraId="2D7EEC9C"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V rámci projektu již proběhlo výběrové řízení na dodávku technického vybavení. Sběr nabídek byl ukončen 20. 2. 2025. Kompletní dodání předmětu plnění očekáváme do čtyř měsíců od podpisu samotné smlouvy s vítězným dodavatelem (implementace 6 – 8 / 2025). </w:t>
      </w:r>
    </w:p>
    <w:p w14:paraId="7947DAEF"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Předmětem projektu je realizace technických bezpečnostních opatření podle § 5 odst. 3 zákona č. 181/2014 Sb., o kybernetické bezpečnosti, kdy v rámci projektu dojde k zajištění bezpečnosti IT infrastruktury a digitalizátů Muzea umění Olomouc, včetně související modernizace a rozšíření zastaralého HW a SW. Projekt bude mít kladný vliv na zvýšení efektivity procesů a dostupnosti poskytovaných služeb v rámci organizace. Hlavním cílem projektu je zajištění komplexní kybernetické bezpečnosti organizace. Projekt zabezpečí infrastrukturu ICT MUO tak, aby byla podstatně méně zranitelná před útoky zvenčí, a zajistí větší bezpečnost nejen digitalizátům ale také dalším cenným digitálním položkám MUO. Základem technického řešení jsou opatření, která umožní bezpečné provozování ICT, bezpečné poskytování služeb interním a externím uživatelům. Právě digitalizovaný materiál (digitalizáty) se v současnosti stává podstatnou částí diskového prostoru muzea a v digitálním prostoru představuje nejcennější položku MUO. Realizací dojde k zajištění komplexní kybernetické bezpečnosti, zabezpečení klíčových dat a informačních systémů. </w:t>
      </w:r>
    </w:p>
    <w:p w14:paraId="54A700DA" w14:textId="77777777" w:rsidR="00CD58F2" w:rsidRPr="004A544F" w:rsidRDefault="00CD58F2" w:rsidP="00CD58F2">
      <w:pPr>
        <w:suppressAutoHyphens w:val="0"/>
        <w:spacing w:after="160" w:line="259" w:lineRule="auto"/>
        <w:rPr>
          <w:rFonts w:ascii="Calibri" w:eastAsiaTheme="minorHAnsi" w:hAnsi="Calibri" w:cs="Calibri"/>
          <w:sz w:val="22"/>
          <w:szCs w:val="22"/>
          <w:lang w:eastAsia="en-US"/>
        </w:rPr>
      </w:pPr>
      <w:r w:rsidRPr="004A544F">
        <w:rPr>
          <w:rFonts w:ascii="Calibri" w:eastAsiaTheme="minorHAnsi" w:hAnsi="Calibri" w:cs="Calibri"/>
          <w:color w:val="000000"/>
          <w:kern w:val="2"/>
          <w:sz w:val="24"/>
          <w:szCs w:val="24"/>
          <w:lang w:eastAsia="en-US"/>
          <w14:ligatures w14:val="standardContextual"/>
        </w:rPr>
        <w:lastRenderedPageBreak/>
        <w:t>V rámci zabezpečení kyberbezpečnosti budou posílené IS MUSEION, PROMUZEUM + VADEMECUM, GINIS, HANWELL podle § 16, § 18, § 19, § 20, § 21, § 22, § 24, § 25, § 27 vyhlášky č. 82/2018 Sb., o kybernetické bezpečnosti.</w:t>
      </w:r>
    </w:p>
    <w:p w14:paraId="25D8991E" w14:textId="77777777" w:rsidR="00CD58F2" w:rsidRPr="004A544F" w:rsidRDefault="00CD58F2" w:rsidP="00CD58F2">
      <w:pPr>
        <w:suppressAutoHyphens w:val="0"/>
        <w:autoSpaceDE w:val="0"/>
        <w:autoSpaceDN w:val="0"/>
        <w:adjustRightInd w:val="0"/>
        <w:rPr>
          <w:rFonts w:ascii="Calibri" w:eastAsiaTheme="minorHAnsi" w:hAnsi="Calibri" w:cs="Calibri"/>
          <w:sz w:val="24"/>
          <w:szCs w:val="24"/>
          <w:lang w:eastAsia="en-US"/>
        </w:rPr>
      </w:pPr>
    </w:p>
    <w:p w14:paraId="0176D949"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Popis současného stavu síťové infrastruktury zadavatele a popis navrhovaného řešení pro Kvalitní zabezpečení sítí a ICT zadavatele je uveden příloze č. 2. </w:t>
      </w:r>
    </w:p>
    <w:p w14:paraId="477A80A3"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Podrobné informace ke stavu síťové infrastruktury zadavatele včetně informací o plánované dodávce a implementaci nových prvků do síťové infrastruktury zadavatele jsou také uvedeny v Národním elektronickém nástroji NEN pod systémovým číslem veřejné zakázky N006/24/V00040632 a názvem veřejné zakázky „Kvalitní zabezpečení sítí a ICT a s tím souvi-sející ochrana digitalizátů Muzea umění Olomouc“. </w:t>
      </w:r>
    </w:p>
    <w:p w14:paraId="41A5D31E" w14:textId="77777777" w:rsidR="00CD58F2" w:rsidRPr="004A544F"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4A544F">
        <w:rPr>
          <w:rFonts w:ascii="Calibri" w:hAnsi="Calibri" w:cs="Calibri"/>
          <w:color w:val="000000"/>
          <w:kern w:val="2"/>
          <w:szCs w:val="24"/>
          <w:lang w:eastAsia="en-US"/>
          <w14:ligatures w14:val="standardContextual"/>
        </w:rPr>
        <w:t xml:space="preserve">1.2 Základní specifikace služby auditu kybernetické bezpečnosti </w:t>
      </w:r>
    </w:p>
    <w:p w14:paraId="11A10C67"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6A659179"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Audit kybernetické bezpečnosti bude mít na konci realizace projektu za cíl posoudit a hodnotit úroveň bezpečnosti zavedených informačních technologií a kybernetických prostředí v organizaci. Cílem tohoto procesu bude ověřit, zda jsou implementovaná bezpečnostní opatření dostatečná k ochraně aktiv, dat a systémů před kybernetickými hrozbami. </w:t>
      </w:r>
    </w:p>
    <w:p w14:paraId="558AC8CA"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Audit kybernetické bezpečnosti bude proveden externím certifikovaným subjektem (nezávislým auditem nebo certifikačním orgánem). </w:t>
      </w:r>
    </w:p>
    <w:p w14:paraId="4845D48F"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Stanovení metodiky ponechává zadavatel v režii dodavatele, ale požaduje, aby audit byl proveden řádným způsobem a v souladu zákony, vyhláškami, doporučeními a normami, které se k danému předmětu plnění vztahují a jsou v době plnění aktuálně platné. </w:t>
      </w:r>
    </w:p>
    <w:p w14:paraId="39F8505C" w14:textId="77777777" w:rsidR="00CD58F2" w:rsidRPr="004A544F"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4A544F">
        <w:rPr>
          <w:rFonts w:ascii="Calibri" w:hAnsi="Calibri" w:cs="Calibri"/>
          <w:color w:val="000000"/>
          <w:kern w:val="2"/>
          <w:szCs w:val="24"/>
          <w:lang w:eastAsia="en-US"/>
          <w14:ligatures w14:val="standardContextual"/>
        </w:rPr>
        <w:t xml:space="preserve">1.3 Požadovaný rozsah auditu kybernetické bezpečnosti </w:t>
      </w:r>
    </w:p>
    <w:p w14:paraId="062FAE2B" w14:textId="77777777" w:rsidR="00CD58F2" w:rsidRDefault="00CD58F2" w:rsidP="00CD58F2">
      <w:pPr>
        <w:suppressAutoHyphens w:val="0"/>
        <w:autoSpaceDE w:val="0"/>
        <w:autoSpaceDN w:val="0"/>
        <w:adjustRightInd w:val="0"/>
        <w:rPr>
          <w:rFonts w:ascii="Calibri" w:eastAsiaTheme="minorHAnsi" w:hAnsi="Calibri" w:cs="Calibri"/>
          <w:sz w:val="23"/>
          <w:szCs w:val="23"/>
          <w:lang w:eastAsia="en-US"/>
        </w:rPr>
      </w:pPr>
    </w:p>
    <w:p w14:paraId="6E396BCE"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Audit kybernetické bezpečnosti bude posuzovat a hodnotit úroveň bezpečnosti posílených IS MUSEION, ProMuzeum + VadeMeCum, GINIS a HANWEL v rámci technických opatření podle § 16, § 18, § 19, § 20, § 21, § 22, § 24, § 25, § 27 vyhlášky č. 82/2018 Sb., o kybernetické bezpečnosti: </w:t>
      </w:r>
    </w:p>
    <w:p w14:paraId="2BE9A2EA"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 Pořízení a implementace nových virtualizačních serverů </w:t>
      </w:r>
    </w:p>
    <w:p w14:paraId="3D1BC632"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 Pořízení a implementace nového systému zálohování </w:t>
      </w:r>
    </w:p>
    <w:p w14:paraId="6D8F482C"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 Pořízení a implementace ochrany perimetru sítě </w:t>
      </w:r>
    </w:p>
    <w:p w14:paraId="2CD0C249"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 Modernizace VPN konektivity </w:t>
      </w:r>
    </w:p>
    <w:p w14:paraId="5FBA3F90"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 Sjednocení správy LAN, pořízení a implementace precizní segmentace sítě </w:t>
      </w:r>
    </w:p>
    <w:p w14:paraId="07255760"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lastRenderedPageBreak/>
        <w:t xml:space="preserve">• Pořízení a implementace logovacího systému </w:t>
      </w:r>
    </w:p>
    <w:p w14:paraId="3E95AC1B"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 Nasazení vícefaktorové autentizace a SSO </w:t>
      </w:r>
    </w:p>
    <w:p w14:paraId="0EF8646C"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Pořízení a implementace nového systému IDM</w:t>
      </w:r>
    </w:p>
    <w:p w14:paraId="6A314A30" w14:textId="77777777" w:rsidR="00CD58F2" w:rsidRPr="004A544F" w:rsidRDefault="00CD58F2" w:rsidP="00CD58F2">
      <w:pPr>
        <w:suppressAutoHyphens w:val="0"/>
        <w:autoSpaceDE w:val="0"/>
        <w:autoSpaceDN w:val="0"/>
        <w:adjustRightInd w:val="0"/>
        <w:rPr>
          <w:rFonts w:ascii="Calibri" w:eastAsiaTheme="minorHAnsi" w:hAnsi="Calibri" w:cs="Calibri"/>
          <w:sz w:val="24"/>
          <w:szCs w:val="24"/>
          <w:lang w:eastAsia="en-US"/>
        </w:rPr>
      </w:pPr>
    </w:p>
    <w:p w14:paraId="7FF81429" w14:textId="77777777" w:rsidR="00CD58F2" w:rsidRPr="004A544F"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4A544F">
        <w:rPr>
          <w:rFonts w:ascii="Calibri" w:hAnsi="Calibri" w:cs="Calibri"/>
          <w:color w:val="000000"/>
          <w:kern w:val="2"/>
          <w:szCs w:val="24"/>
          <w:lang w:eastAsia="en-US"/>
          <w14:ligatures w14:val="standardContextual"/>
        </w:rPr>
        <w:t xml:space="preserve">1.4 Popis technických opatření, která budou posilovat IS </w:t>
      </w:r>
    </w:p>
    <w:p w14:paraId="6B2A6B58" w14:textId="77777777" w:rsidR="00CD58F2" w:rsidRDefault="00CD58F2" w:rsidP="00CD58F2">
      <w:pPr>
        <w:suppressAutoHyphens w:val="0"/>
        <w:autoSpaceDE w:val="0"/>
        <w:autoSpaceDN w:val="0"/>
        <w:adjustRightInd w:val="0"/>
        <w:rPr>
          <w:rFonts w:ascii="Calibri" w:eastAsiaTheme="minorHAnsi" w:hAnsi="Calibri" w:cs="Calibri"/>
          <w:b/>
          <w:bCs/>
          <w:sz w:val="22"/>
          <w:szCs w:val="22"/>
          <w:lang w:eastAsia="en-US"/>
        </w:rPr>
      </w:pPr>
    </w:p>
    <w:p w14:paraId="5564F1F3"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Virtualizační servery s diskovým polem (lokalita Olomouc) </w:t>
      </w:r>
    </w:p>
    <w:p w14:paraId="1CA2CF2C"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Moderní, bezpečné a výkonné prostředí sloužící primárně k zajištění spolehlivého provozu bezpečnostních nástrojů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(IDM, logovací, zálohovací a antivirové systémy atp.) </w:t>
      </w:r>
    </w:p>
    <w:p w14:paraId="2CF280EF"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Pro zvýšení dostupnosti ICT služeb jsou servery navrženy dva (redundantní) </w:t>
      </w:r>
    </w:p>
    <w:p w14:paraId="6E492245"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Systémy muzea budou provozovány jako virtualizované, na platformě VMware vSphere </w:t>
      </w:r>
    </w:p>
    <w:p w14:paraId="06B49BEB"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Diskové pole má dostatečnou kapacitu a výkon pro provoz aplikací muzea a je v budoucnu rozšiřitelné o další kapacitu </w:t>
      </w:r>
    </w:p>
    <w:p w14:paraId="59CE3ABF"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Aplikační a systémové virtuální servery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budou provozovány na poslední verzi serverového OS Windows. Součástí bude i </w:t>
      </w:r>
    </w:p>
    <w:p w14:paraId="57B089F3" w14:textId="77777777" w:rsidR="00CD58F2" w:rsidRPr="004A544F" w:rsidRDefault="00CD58F2" w:rsidP="00CD58F2">
      <w:pPr>
        <w:suppressAutoHyphens w:val="0"/>
        <w:spacing w:after="160" w:line="259" w:lineRule="auto"/>
        <w:ind w:firstLine="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Vzdálený přístup RDS pro 30 uživatelů </w:t>
      </w:r>
    </w:p>
    <w:p w14:paraId="2AA923F1" w14:textId="77777777" w:rsidR="00CD58F2" w:rsidRPr="004A544F" w:rsidRDefault="00CD58F2" w:rsidP="00CD58F2">
      <w:pPr>
        <w:suppressAutoHyphens w:val="0"/>
        <w:spacing w:after="160" w:line="259" w:lineRule="auto"/>
        <w:ind w:firstLine="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Nová instance dB MS SQL </w:t>
      </w:r>
    </w:p>
    <w:p w14:paraId="35D4A746" w14:textId="77777777" w:rsidR="00CD58F2" w:rsidRPr="004A544F" w:rsidRDefault="00CD58F2" w:rsidP="00CD58F2">
      <w:pPr>
        <w:suppressAutoHyphens w:val="0"/>
        <w:autoSpaceDE w:val="0"/>
        <w:autoSpaceDN w:val="0"/>
        <w:adjustRightInd w:val="0"/>
        <w:rPr>
          <w:rFonts w:ascii="Calibri" w:eastAsiaTheme="minorHAnsi" w:hAnsi="Calibri" w:cs="Calibri"/>
          <w:sz w:val="22"/>
          <w:szCs w:val="22"/>
          <w:lang w:eastAsia="en-US"/>
        </w:rPr>
      </w:pPr>
      <w:r w:rsidRPr="004A544F">
        <w:rPr>
          <w:rFonts w:ascii="Calibri" w:eastAsiaTheme="minorHAnsi" w:hAnsi="Calibri" w:cs="Calibri"/>
          <w:sz w:val="22"/>
          <w:szCs w:val="22"/>
          <w:lang w:eastAsia="en-US"/>
        </w:rPr>
        <w:t xml:space="preserve">• Pro nasazení a následné rozšiřování bezpečnostních technologií bude potřeba zajištění disponibility dostatečného výkonu a kapacity produkčního prostředí, které bude hostovat virtuální servery pro logovací aplikace, aplikace související s identity managementem, zejména produkce informačního systému MUSEION, službami pro správu sítě LAN ad. </w:t>
      </w:r>
    </w:p>
    <w:p w14:paraId="3A21F049" w14:textId="77777777" w:rsidR="00CD58F2" w:rsidRDefault="00CD58F2" w:rsidP="00CD58F2">
      <w:pPr>
        <w:suppressAutoHyphens w:val="0"/>
        <w:autoSpaceDE w:val="0"/>
        <w:autoSpaceDN w:val="0"/>
        <w:adjustRightInd w:val="0"/>
        <w:rPr>
          <w:rFonts w:ascii="Calibri" w:eastAsiaTheme="minorHAnsi" w:hAnsi="Calibri" w:cs="Calibri"/>
          <w:b/>
          <w:bCs/>
          <w:sz w:val="22"/>
          <w:szCs w:val="22"/>
          <w:lang w:eastAsia="en-US"/>
        </w:rPr>
      </w:pPr>
    </w:p>
    <w:p w14:paraId="430C01C7"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Zálohování (Olomouc) </w:t>
      </w:r>
    </w:p>
    <w:p w14:paraId="3EAD004A"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Nový zálohovací server s dostatečným výkonem a kapacitou pro provádění záloh primárních virtualizovaných serverů a dat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v prostředí MS M365 </w:t>
      </w:r>
    </w:p>
    <w:p w14:paraId="0DF0FE4A"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Zálohovací SW pro zálohy prostředí VMware a M365 pro 150 uživatelů </w:t>
      </w:r>
    </w:p>
    <w:p w14:paraId="71580378"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Dostatečná kapacita pro uchování přiměřeného počtu „bodů obnovy“ pro zálohované servery a data uživatelů v M365 </w:t>
      </w:r>
    </w:p>
    <w:p w14:paraId="588A0156"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Ochrana perimetru sítě – Firewall (Olomouc) </w:t>
      </w:r>
    </w:p>
    <w:p w14:paraId="41622C10"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Perimetr sítě bude osazen druhým NGFW (next generation firewall) s pokročilými bezpečnostními vlastnostmi pro zajištění provozu s totožným stávajícím zařízením v HA klastru pro zajištění kontinuity provozu ochrany NGFW </w:t>
      </w:r>
    </w:p>
    <w:p w14:paraId="6E414A43"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Kromě ochrany perimetru sítě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budou mít ještě dvě role </w:t>
      </w:r>
    </w:p>
    <w:p w14:paraId="59CACE1F" w14:textId="77777777" w:rsidR="00CD58F2" w:rsidRPr="004A544F" w:rsidRDefault="00CD58F2" w:rsidP="00CD58F2">
      <w:pPr>
        <w:suppressAutoHyphens w:val="0"/>
        <w:spacing w:after="160" w:line="259" w:lineRule="auto"/>
        <w:ind w:firstLine="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o Provádět segmentaci vnitřní sítě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pro zvýšení bezpečnosti </w:t>
      </w:r>
    </w:p>
    <w:p w14:paraId="545256C0" w14:textId="77777777" w:rsidR="00CD58F2" w:rsidRPr="004A544F" w:rsidRDefault="00CD58F2" w:rsidP="00CD58F2">
      <w:pPr>
        <w:suppressAutoHyphens w:val="0"/>
        <w:spacing w:after="160" w:line="259" w:lineRule="auto"/>
        <w:ind w:firstLine="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lastRenderedPageBreak/>
        <w:t>o Propojovat lokality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 Olomouc a Kroměříž </w:t>
      </w:r>
    </w:p>
    <w:p w14:paraId="75D6D545"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VPN propojení Kroměříž – Olomouc </w:t>
      </w:r>
    </w:p>
    <w:p w14:paraId="4DC0A9E2"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Pro propojení lokalit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O budou nasazeny dva firewally v HA klastru do lokality Kroměříž</w:t>
      </w:r>
    </w:p>
    <w:p w14:paraId="734219A4" w14:textId="77777777" w:rsidR="00CD58F2" w:rsidRPr="004A544F" w:rsidRDefault="00CD58F2" w:rsidP="00CD58F2">
      <w:pPr>
        <w:suppressAutoHyphens w:val="0"/>
        <w:autoSpaceDE w:val="0"/>
        <w:autoSpaceDN w:val="0"/>
        <w:adjustRightInd w:val="0"/>
        <w:rPr>
          <w:rFonts w:ascii="Calibri" w:eastAsiaTheme="minorHAnsi" w:hAnsi="Calibri" w:cs="Calibri"/>
          <w:sz w:val="24"/>
          <w:szCs w:val="24"/>
          <w:lang w:eastAsia="en-US"/>
        </w:rPr>
      </w:pPr>
    </w:p>
    <w:p w14:paraId="49DEA0EA"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NGFW budou stejného výrobce, jen s menším výkonem, který bude dostačovat požadavkům na transparentní a bezpečné propojení lokalit </w:t>
      </w:r>
    </w:p>
    <w:p w14:paraId="7CD0000E"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LAN (obě lokality) </w:t>
      </w:r>
    </w:p>
    <w:p w14:paraId="529F0B20"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Součástí namyšleného řešení je sjednocení LAN a WiFi pod společnou centrální správu. </w:t>
      </w:r>
    </w:p>
    <w:p w14:paraId="3A7AB626"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Všechny LAN přepínače a WiFi přístupové body budou od jednoho výrobce a z pohledu správy, nasazení a konfigurace budou poskytovat homogenní prostředí s podporou výrobce. </w:t>
      </w:r>
    </w:p>
    <w:p w14:paraId="10AA9C62"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Část LAN přepínačů bude vybavena porty s PoE+ napájením WiFi přístupových bodů a dalších síťových prvků. </w:t>
      </w:r>
    </w:p>
    <w:p w14:paraId="7C3E2780"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Stávající systém Wifi je zastaralý a nedisponuje současnými standardy ověření a řízení přístupu do sítě, čímž se jeho další provoz stává z pohledu bezpečnosti značně rizikovým. </w:t>
      </w:r>
    </w:p>
    <w:p w14:paraId="777E59C6"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Síť bude opatřena 2 páteřními přepínači úrovně L3 s možností routování a směřování portů mezi větší počet VLAN. Tyto páteřní switche rovněž zajistí bezpečnou komunikaci jednotlivých skupin zařízení v různých subnetech. </w:t>
      </w:r>
    </w:p>
    <w:p w14:paraId="4546FFEF"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Logování událostí </w:t>
      </w:r>
    </w:p>
    <w:p w14:paraId="4FD5492B"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V obou lokalitách bude nasazen systém pro ukládání a korelaci logů v síti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(jeden v každé lokalitě) </w:t>
      </w:r>
    </w:p>
    <w:p w14:paraId="4464CC30"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Systém bude plně kompatibilní s navrženými NGFW a LAN přepínači </w:t>
      </w:r>
    </w:p>
    <w:p w14:paraId="69FA37E9"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Systém bude podporovat analýzu logů provozu v síti, dále musí poskytovat reporty nad logy a informovat správce systému o hrozbách, které byly v síti odhaleny </w:t>
      </w:r>
    </w:p>
    <w:p w14:paraId="3F3FC3C1"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Bude nasazena centralizovaná platforma pro agregaci a analýzu telemetrie v reálném čase, pro detekci hrozeb a dodržování bezpečnostních předpisů. Systém bude shromažďovat data o událostech z různých zdrojů, jako jsou koncové body, síťová zařízení, cloudové služby či aplikace pro zajištění širokého pokrytí síťového zabezpečení. </w:t>
      </w:r>
    </w:p>
    <w:p w14:paraId="0C45A25A"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Více-faktorová autentizace (MFA) </w:t>
      </w:r>
    </w:p>
    <w:p w14:paraId="66720500"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Pro zvýšení zabezpečení přihlašování vzdálených uživatelů k ICT prostředkům bude nasazen systém MFA (30 licencí) </w:t>
      </w:r>
    </w:p>
    <w:p w14:paraId="3F36B494"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Systém musí být možno rozšířit v budoucnu na všechny interní uživatele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 xml:space="preserve">O </w:t>
      </w:r>
    </w:p>
    <w:p w14:paraId="30BA7AF7"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Bude použit systém s autentizační aplikací v mobilním telefonu uživatele (možnost push notifikací, nebo opsání jednorázového hesla) </w:t>
      </w:r>
    </w:p>
    <w:p w14:paraId="7D0C3077"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Systém musí umožnit doplnění o HW tokeny </w:t>
      </w:r>
    </w:p>
    <w:p w14:paraId="57AC4428"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lastRenderedPageBreak/>
        <w:t xml:space="preserve">• MFA bude 100% kompatibilní s nasazenými NGFW </w:t>
      </w:r>
    </w:p>
    <w:p w14:paraId="06BFA759" w14:textId="77777777" w:rsidR="00CD58F2" w:rsidRPr="004A544F" w:rsidRDefault="00CD58F2" w:rsidP="00CD58F2">
      <w:pPr>
        <w:suppressAutoHyphens w:val="0"/>
        <w:spacing w:after="160" w:line="259" w:lineRule="auto"/>
        <w:rPr>
          <w:rFonts w:asciiTheme="minorHAnsi" w:eastAsiaTheme="minorHAnsi" w:hAnsiTheme="minorHAnsi" w:cstheme="minorBidi"/>
          <w:b/>
          <w:kern w:val="2"/>
          <w:sz w:val="22"/>
          <w:szCs w:val="22"/>
          <w:lang w:eastAsia="en-US"/>
          <w14:ligatures w14:val="standardContextual"/>
        </w:rPr>
      </w:pPr>
      <w:r w:rsidRPr="004A544F">
        <w:rPr>
          <w:rFonts w:asciiTheme="minorHAnsi" w:eastAsiaTheme="minorHAnsi" w:hAnsiTheme="minorHAnsi" w:cstheme="minorBidi"/>
          <w:b/>
          <w:kern w:val="2"/>
          <w:sz w:val="22"/>
          <w:szCs w:val="22"/>
          <w:lang w:eastAsia="en-US"/>
          <w14:ligatures w14:val="standardContextual"/>
        </w:rPr>
        <w:t xml:space="preserve">Identity management (IDM) </w:t>
      </w:r>
    </w:p>
    <w:p w14:paraId="0183BBA1" w14:textId="77777777" w:rsidR="00CD58F2" w:rsidRPr="004A544F" w:rsidRDefault="00CD58F2" w:rsidP="00CD58F2">
      <w:pPr>
        <w:suppressAutoHyphens w:val="0"/>
        <w:spacing w:after="160" w:line="259" w:lineRule="auto"/>
        <w:rPr>
          <w:rFonts w:ascii="Calibri" w:eastAsiaTheme="minorHAnsi" w:hAnsi="Calibri" w:cs="Calibri"/>
          <w:sz w:val="24"/>
          <w:szCs w:val="24"/>
          <w:lang w:eastAsia="en-US"/>
        </w:rPr>
      </w:pPr>
      <w:r w:rsidRPr="004A544F">
        <w:rPr>
          <w:rFonts w:asciiTheme="minorHAnsi" w:eastAsiaTheme="minorHAnsi" w:hAnsiTheme="minorHAnsi" w:cstheme="minorBidi"/>
          <w:kern w:val="2"/>
          <w:sz w:val="22"/>
          <w:szCs w:val="22"/>
          <w:lang w:eastAsia="en-US"/>
          <w14:ligatures w14:val="standardContextual"/>
        </w:rPr>
        <w:t>• Pro zefektivnění a automatizování procesů řízení identit v organizaci (M</w:t>
      </w:r>
      <w:r>
        <w:rPr>
          <w:rFonts w:asciiTheme="minorHAnsi" w:eastAsiaTheme="minorHAnsi" w:hAnsiTheme="minorHAnsi" w:cstheme="minorBidi"/>
          <w:kern w:val="2"/>
          <w:sz w:val="22"/>
          <w:szCs w:val="22"/>
          <w:lang w:eastAsia="en-US"/>
          <w14:ligatures w14:val="standardContextual"/>
        </w:rPr>
        <w:t>U</w:t>
      </w:r>
      <w:r w:rsidRPr="004A544F">
        <w:rPr>
          <w:rFonts w:asciiTheme="minorHAnsi" w:eastAsiaTheme="minorHAnsi" w:hAnsiTheme="minorHAnsi" w:cstheme="minorBidi"/>
          <w:kern w:val="2"/>
          <w:sz w:val="22"/>
          <w:szCs w:val="22"/>
          <w:lang w:eastAsia="en-US"/>
          <w14:ligatures w14:val="standardContextual"/>
        </w:rPr>
        <w:t>O) bude implementován systém IDM</w:t>
      </w:r>
    </w:p>
    <w:p w14:paraId="35C1CF1A"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Jde o centrální platformu pro řízení identit v organizaci – IDM (Identity Management Systém) </w:t>
      </w:r>
    </w:p>
    <w:p w14:paraId="6732FA73"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IDM umožní automatizovaně spravovat identity (uživatelské role a oprávnění) ve vybraných hlavních systémech organizace, a to zejména v návaznosti na personální systém a adresářové služby </w:t>
      </w:r>
    </w:p>
    <w:p w14:paraId="29BF0990"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Cílem je rovněž zavést samoobslužné procesy pro zadávání žádostí o oprávnění a přístupů samostatnými koncovými uživateli organizace. </w:t>
      </w:r>
    </w:p>
    <w:p w14:paraId="20DE8F7D"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V IDM je následně možné takovéto požadavky schválit a změny nastavení u identit automatizovaně předat (vypublikovat) do připojených systémů (integrovaných aplikací) </w:t>
      </w:r>
    </w:p>
    <w:p w14:paraId="15336E67" w14:textId="77777777" w:rsidR="00CD58F2" w:rsidRPr="004A544F" w:rsidRDefault="00CD58F2" w:rsidP="00CD58F2">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 Součástí implementace bude i napojení IDM na tyto provozované systémy </w:t>
      </w:r>
    </w:p>
    <w:p w14:paraId="711F1D89" w14:textId="77777777" w:rsidR="00CD58F2" w:rsidRPr="004A544F" w:rsidRDefault="00CD58F2" w:rsidP="00CD58F2">
      <w:pPr>
        <w:suppressAutoHyphens w:val="0"/>
        <w:spacing w:after="160" w:line="259" w:lineRule="auto"/>
        <w:ind w:left="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Konektor pro IS MUSEION </w:t>
      </w:r>
    </w:p>
    <w:p w14:paraId="51BD12D8" w14:textId="77777777" w:rsidR="00CD58F2" w:rsidRPr="004A544F" w:rsidRDefault="00CD58F2" w:rsidP="00CD58F2">
      <w:pPr>
        <w:suppressAutoHyphens w:val="0"/>
        <w:spacing w:after="160" w:line="259" w:lineRule="auto"/>
        <w:ind w:left="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Konektor MS Active Directory </w:t>
      </w:r>
    </w:p>
    <w:p w14:paraId="5D88CEE5" w14:textId="77777777" w:rsidR="00CD58F2" w:rsidRPr="004A544F" w:rsidRDefault="00CD58F2" w:rsidP="00CD58F2">
      <w:pPr>
        <w:suppressAutoHyphens w:val="0"/>
        <w:spacing w:after="160" w:line="259" w:lineRule="auto"/>
        <w:ind w:left="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Konektor O365 </w:t>
      </w:r>
    </w:p>
    <w:p w14:paraId="64760CA4" w14:textId="77777777" w:rsidR="00CD58F2" w:rsidRPr="004A544F" w:rsidRDefault="00CD58F2" w:rsidP="00CD58F2">
      <w:pPr>
        <w:suppressAutoHyphens w:val="0"/>
        <w:spacing w:after="160" w:line="259" w:lineRule="auto"/>
        <w:ind w:left="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Konektor Ginis </w:t>
      </w:r>
    </w:p>
    <w:p w14:paraId="1FCFED89" w14:textId="77777777" w:rsidR="00CD58F2" w:rsidRPr="004A544F" w:rsidRDefault="00CD58F2" w:rsidP="00CD58F2">
      <w:pPr>
        <w:suppressAutoHyphens w:val="0"/>
        <w:spacing w:after="160" w:line="259" w:lineRule="auto"/>
        <w:ind w:left="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Konektor Verbis </w:t>
      </w:r>
    </w:p>
    <w:p w14:paraId="06D86136" w14:textId="77777777" w:rsidR="00CD58F2" w:rsidRPr="004A544F" w:rsidRDefault="00CD58F2" w:rsidP="00CD58F2">
      <w:pPr>
        <w:suppressAutoHyphens w:val="0"/>
        <w:spacing w:after="160" w:line="259" w:lineRule="auto"/>
        <w:ind w:left="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Konektor ProMuzeum/ VadeMeCum </w:t>
      </w:r>
    </w:p>
    <w:p w14:paraId="36161030" w14:textId="77777777" w:rsidR="00CD58F2" w:rsidRPr="004A544F" w:rsidRDefault="00CD58F2" w:rsidP="00CD58F2">
      <w:pPr>
        <w:suppressAutoHyphens w:val="0"/>
        <w:spacing w:after="160" w:line="259" w:lineRule="auto"/>
        <w:ind w:left="708"/>
        <w:rPr>
          <w:rFonts w:asciiTheme="minorHAnsi" w:eastAsiaTheme="minorHAnsi" w:hAnsiTheme="minorHAnsi" w:cstheme="minorBidi"/>
          <w:kern w:val="2"/>
          <w:sz w:val="22"/>
          <w:szCs w:val="22"/>
          <w:lang w:eastAsia="en-US"/>
          <w14:ligatures w14:val="standardContextual"/>
        </w:rPr>
      </w:pPr>
      <w:r w:rsidRPr="004A544F">
        <w:rPr>
          <w:rFonts w:asciiTheme="minorHAnsi" w:eastAsiaTheme="minorHAnsi" w:hAnsiTheme="minorHAnsi" w:cstheme="minorBidi"/>
          <w:kern w:val="2"/>
          <w:sz w:val="22"/>
          <w:szCs w:val="22"/>
          <w:lang w:eastAsia="en-US"/>
          <w14:ligatures w14:val="standardContextual"/>
        </w:rPr>
        <w:t xml:space="preserve">o Konektor Hanwell </w:t>
      </w:r>
    </w:p>
    <w:p w14:paraId="0777C46D" w14:textId="77777777" w:rsidR="00CD58F2" w:rsidRPr="004A544F"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4A544F">
        <w:rPr>
          <w:rFonts w:ascii="Calibri" w:hAnsi="Calibri" w:cs="Calibri"/>
          <w:color w:val="000000"/>
          <w:kern w:val="2"/>
          <w:szCs w:val="24"/>
          <w:lang w:eastAsia="en-US"/>
          <w14:ligatures w14:val="standardContextual"/>
        </w:rPr>
        <w:t xml:space="preserve">1.5 Předpokládané termíny auditu kybernetické bezpečnosti </w:t>
      </w:r>
    </w:p>
    <w:p w14:paraId="18B74BE9"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4AE7F9F8"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Termín zahájení auditu kybernetické bezpečnosti: září 2025 </w:t>
      </w:r>
    </w:p>
    <w:p w14:paraId="406D6E25"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Termín dokončení auditu kybernetické bezpečnosti: nejpozději 12. 12. 2025 </w:t>
      </w:r>
    </w:p>
    <w:p w14:paraId="41274D1F"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(fakturace po dokončení auditu, nejpozději 15. 12. 2025) </w:t>
      </w:r>
    </w:p>
    <w:p w14:paraId="1BC66346" w14:textId="77777777" w:rsidR="00CD58F2" w:rsidRPr="004A544F"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4A544F">
        <w:rPr>
          <w:rFonts w:ascii="Calibri" w:hAnsi="Calibri" w:cs="Calibri"/>
          <w:color w:val="000000"/>
          <w:kern w:val="2"/>
          <w:szCs w:val="24"/>
          <w:lang w:eastAsia="en-US"/>
          <w14:ligatures w14:val="standardContextual"/>
        </w:rPr>
        <w:t xml:space="preserve">1.6 Požadované výstupy </w:t>
      </w:r>
    </w:p>
    <w:p w14:paraId="24DB3312" w14:textId="77777777" w:rsidR="00CD58F2" w:rsidRDefault="00CD58F2" w:rsidP="00CD58F2">
      <w:pPr>
        <w:suppressAutoHyphens w:val="0"/>
        <w:autoSpaceDE w:val="0"/>
        <w:autoSpaceDN w:val="0"/>
        <w:adjustRightInd w:val="0"/>
        <w:rPr>
          <w:rFonts w:ascii="Calibri" w:eastAsiaTheme="minorHAnsi" w:hAnsi="Calibri" w:cs="Calibri"/>
          <w:sz w:val="23"/>
          <w:szCs w:val="23"/>
          <w:lang w:eastAsia="en-US"/>
        </w:rPr>
      </w:pPr>
    </w:p>
    <w:p w14:paraId="08430DB0"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Výstupem bude certifikát (protokol nebo podobný dokument) podepsaný kompetentním orgánem vlastnící daný informační systém a dodavatelem potvrzující úspěšné a zdokumentované testování a ověření souladu s požadavky kybernetické bezpečnosti – tj. audit kybernetické bezpečnosti podle vyhlášky č. 82/2018 Sb., o kybernetické bezpečnosti v rozsahu plnění realizovaného v projektu.</w:t>
      </w:r>
    </w:p>
    <w:p w14:paraId="0F70CBBE" w14:textId="77777777" w:rsidR="00CD58F2" w:rsidRPr="004A544F" w:rsidRDefault="00CD58F2" w:rsidP="00CD58F2">
      <w:pPr>
        <w:suppressAutoHyphens w:val="0"/>
        <w:autoSpaceDE w:val="0"/>
        <w:autoSpaceDN w:val="0"/>
        <w:adjustRightInd w:val="0"/>
        <w:rPr>
          <w:rFonts w:ascii="Calibri" w:eastAsiaTheme="minorHAnsi" w:hAnsi="Calibri" w:cs="Calibri"/>
          <w:sz w:val="24"/>
          <w:szCs w:val="24"/>
          <w:lang w:eastAsia="en-US"/>
        </w:rPr>
      </w:pPr>
    </w:p>
    <w:p w14:paraId="7544F157" w14:textId="77777777" w:rsidR="00CD58F2" w:rsidRPr="004A544F" w:rsidRDefault="00CD58F2" w:rsidP="00CD58F2">
      <w:pPr>
        <w:pageBreakBefore/>
        <w:suppressAutoHyphens w:val="0"/>
        <w:autoSpaceDE w:val="0"/>
        <w:autoSpaceDN w:val="0"/>
        <w:adjustRightInd w:val="0"/>
        <w:rPr>
          <w:rFonts w:ascii="Calibri" w:eastAsiaTheme="minorHAnsi" w:hAnsi="Calibri" w:cs="Calibri"/>
          <w:sz w:val="28"/>
          <w:szCs w:val="28"/>
          <w:lang w:eastAsia="en-US"/>
        </w:rPr>
      </w:pPr>
      <w:r w:rsidRPr="004A544F">
        <w:rPr>
          <w:rFonts w:ascii="Calibri" w:eastAsiaTheme="minorHAnsi" w:hAnsi="Calibri" w:cs="Calibri"/>
          <w:b/>
          <w:bCs/>
          <w:sz w:val="28"/>
          <w:szCs w:val="28"/>
          <w:lang w:eastAsia="en-US"/>
        </w:rPr>
        <w:lastRenderedPageBreak/>
        <w:t xml:space="preserve">2. Specifikace služby AUDIT KYBERNETICKÉ BEZPEČNOSTI – řešení </w:t>
      </w:r>
    </w:p>
    <w:p w14:paraId="70EB9515" w14:textId="77777777" w:rsidR="00CD58F2" w:rsidRPr="004A544F" w:rsidRDefault="00CD58F2" w:rsidP="00CD58F2">
      <w:pPr>
        <w:suppressAutoHyphens w:val="0"/>
        <w:autoSpaceDE w:val="0"/>
        <w:autoSpaceDN w:val="0"/>
        <w:adjustRightInd w:val="0"/>
        <w:rPr>
          <w:rFonts w:ascii="Calibri" w:eastAsiaTheme="minorHAnsi" w:hAnsi="Calibri" w:cs="Calibri"/>
          <w:sz w:val="22"/>
          <w:szCs w:val="22"/>
          <w:lang w:eastAsia="en-US"/>
        </w:rPr>
      </w:pPr>
      <w:r w:rsidRPr="004A544F">
        <w:rPr>
          <w:rFonts w:ascii="Calibri" w:eastAsiaTheme="minorHAnsi" w:hAnsi="Calibri" w:cs="Calibri"/>
          <w:b/>
          <w:bCs/>
          <w:sz w:val="22"/>
          <w:szCs w:val="22"/>
          <w:lang w:eastAsia="en-US"/>
        </w:rPr>
        <w:t xml:space="preserve">(doplněno dodavatelem) </w:t>
      </w:r>
    </w:p>
    <w:p w14:paraId="18C337D9"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Dodavatel, jakožto nezávislý certifikovaný subjekt pro oblast kybernetické bezpečnosti, nabízí provedení služby „Zajištění finálního nezávislého auditu ověřujícího naplnění kybernetických požadavků“ v následujícím rozsahu, metodice a garantovaném výstupu: </w:t>
      </w:r>
    </w:p>
    <w:p w14:paraId="144244FE"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4D5D90DA"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198AC71A" w14:textId="77777777" w:rsidR="00CD58F2" w:rsidRPr="004A544F"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4A544F">
        <w:rPr>
          <w:rFonts w:ascii="Calibri" w:hAnsi="Calibri" w:cs="Calibri"/>
          <w:color w:val="000000"/>
          <w:kern w:val="2"/>
          <w:szCs w:val="24"/>
          <w:lang w:eastAsia="en-US"/>
          <w14:ligatures w14:val="standardContextual"/>
        </w:rPr>
        <w:t xml:space="preserve">2.1 Cíl a účel auditu </w:t>
      </w:r>
    </w:p>
    <w:p w14:paraId="7C04E3FE"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Hlavním cílem služby je provedení finálního nezávislého auditu zaměřeného na ověření naplnění kybernetických požadavků stanovených vyhláškou č. 82/2018 Sb., o kybernetické bezpečnosti, v návaznosti na realizovaná technická a organizační opatření implementovaná v rámci projektu Muzea umění Olomouc. Audit bude hodnotit úroveň bezpečnosti implementovaných řešení, identifikovat případné nesoulady a poskytnout zadavateli jednoznačný závěr o souladu s požadavky NÚKIB a zákona č. 181/2014 Sb., o kybernetické bezpečnosti.</w:t>
      </w:r>
    </w:p>
    <w:p w14:paraId="62AB8646"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694B2722" w14:textId="77777777" w:rsidR="00CD58F2" w:rsidRPr="004A544F"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 </w:t>
      </w:r>
    </w:p>
    <w:p w14:paraId="03293F49" w14:textId="77777777" w:rsidR="00CD58F2" w:rsidRPr="004A544F"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4A544F">
        <w:rPr>
          <w:rFonts w:ascii="Calibri" w:hAnsi="Calibri" w:cs="Calibri"/>
          <w:color w:val="000000"/>
          <w:kern w:val="2"/>
          <w:szCs w:val="24"/>
          <w:lang w:eastAsia="en-US"/>
          <w14:ligatures w14:val="standardContextual"/>
        </w:rPr>
        <w:t xml:space="preserve">2.2 Metodika provedení auditu </w:t>
      </w:r>
    </w:p>
    <w:p w14:paraId="606D97A1"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675ED999"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4A544F">
        <w:rPr>
          <w:rFonts w:ascii="Calibri" w:eastAsiaTheme="minorHAnsi" w:hAnsi="Calibri" w:cs="Calibri"/>
          <w:color w:val="000000"/>
          <w:kern w:val="2"/>
          <w:sz w:val="24"/>
          <w:szCs w:val="24"/>
          <w:lang w:eastAsia="en-US"/>
          <w14:ligatures w14:val="standardContextual"/>
        </w:rPr>
        <w:t xml:space="preserve">Audit bude proveden v souladu s následujícími principy: </w:t>
      </w:r>
    </w:p>
    <w:p w14:paraId="3CCEB8D2" w14:textId="77777777" w:rsidR="00CD58F2"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61951BE4" w14:textId="77777777" w:rsidR="00CD58F2" w:rsidRDefault="00CD58F2" w:rsidP="00CD58F2">
      <w:pPr>
        <w:pStyle w:val="Odstavecseseznamem"/>
        <w:numPr>
          <w:ilvl w:val="0"/>
          <w:numId w:val="14"/>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8959ED">
        <w:rPr>
          <w:rFonts w:ascii="Calibri" w:eastAsiaTheme="minorHAnsi" w:hAnsi="Calibri" w:cs="Calibri"/>
          <w:b/>
          <w:bCs/>
          <w:color w:val="000000"/>
          <w:kern w:val="2"/>
          <w:sz w:val="24"/>
          <w:szCs w:val="24"/>
          <w:lang w:eastAsia="en-US"/>
          <w14:ligatures w14:val="standardContextual"/>
        </w:rPr>
        <w:t>Zohlednění právního rámce</w:t>
      </w:r>
      <w:r w:rsidRPr="008959ED">
        <w:rPr>
          <w:rFonts w:ascii="Calibri" w:eastAsiaTheme="minorHAnsi" w:hAnsi="Calibri" w:cs="Calibri"/>
          <w:color w:val="000000"/>
          <w:kern w:val="2"/>
          <w:sz w:val="24"/>
          <w:szCs w:val="24"/>
          <w:lang w:eastAsia="en-US"/>
          <w14:ligatures w14:val="standardContextual"/>
        </w:rPr>
        <w:t>: zákon č. 181/2014 Sb., vyhláška č. 82/2018 Sb., včetně návazných předpisů a doporučení NÚKIB.</w:t>
      </w:r>
    </w:p>
    <w:p w14:paraId="305BDE3C" w14:textId="77777777" w:rsidR="00CD58F2" w:rsidRDefault="00CD58F2" w:rsidP="00CD58F2">
      <w:pPr>
        <w:rPr>
          <w:rFonts w:ascii="Calibri" w:eastAsiaTheme="minorHAnsi" w:hAnsi="Calibri" w:cs="Calibri"/>
          <w:color w:val="000000"/>
          <w:kern w:val="2"/>
          <w:sz w:val="24"/>
          <w:szCs w:val="24"/>
          <w:lang w:eastAsia="en-US"/>
          <w14:ligatures w14:val="standardContextual"/>
        </w:rPr>
      </w:pPr>
      <w:r>
        <w:rPr>
          <w:rFonts w:ascii="Calibri" w:eastAsiaTheme="minorHAnsi" w:hAnsi="Calibri" w:cs="Calibri"/>
          <w:color w:val="000000"/>
          <w:kern w:val="2"/>
          <w:sz w:val="24"/>
          <w:szCs w:val="24"/>
          <w:lang w:eastAsia="en-US"/>
          <w14:ligatures w14:val="standardContextual"/>
        </w:rPr>
        <w:br w:type="page"/>
      </w:r>
    </w:p>
    <w:p w14:paraId="4F69668F" w14:textId="77777777" w:rsidR="00CD58F2" w:rsidRPr="008959ED" w:rsidRDefault="00CD58F2" w:rsidP="00CD58F2">
      <w:pPr>
        <w:pStyle w:val="Odstavecseseznamem"/>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19904FB9" w14:textId="77777777" w:rsidR="00CD58F2" w:rsidRPr="008959ED" w:rsidRDefault="00CD58F2" w:rsidP="00CD58F2">
      <w:pPr>
        <w:pStyle w:val="Odstavecseseznamem"/>
        <w:numPr>
          <w:ilvl w:val="0"/>
          <w:numId w:val="14"/>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8959ED">
        <w:rPr>
          <w:rFonts w:ascii="Calibri" w:eastAsiaTheme="minorHAnsi" w:hAnsi="Calibri" w:cs="Calibri"/>
          <w:b/>
          <w:bCs/>
          <w:color w:val="000000"/>
          <w:kern w:val="2"/>
          <w:sz w:val="24"/>
          <w:szCs w:val="24"/>
          <w:lang w:eastAsia="en-US"/>
          <w14:ligatures w14:val="standardContextual"/>
        </w:rPr>
        <w:t>Použití standardizovaných rámců a metodik</w:t>
      </w:r>
      <w:r w:rsidRPr="008959ED">
        <w:rPr>
          <w:rFonts w:ascii="Calibri" w:eastAsiaTheme="minorHAnsi" w:hAnsi="Calibri" w:cs="Calibri"/>
          <w:color w:val="000000"/>
          <w:kern w:val="2"/>
          <w:sz w:val="24"/>
          <w:szCs w:val="24"/>
          <w:lang w:eastAsia="en-US"/>
          <w14:ligatures w14:val="standardContextual"/>
        </w:rPr>
        <w:t>: zejména metodika NÚKIB v návaznosti na metodiky COBIT, ISO/IEC 27001/2, NIST CSF, ISACA</w:t>
      </w:r>
    </w:p>
    <w:p w14:paraId="504F2288" w14:textId="77777777" w:rsidR="00CD58F2" w:rsidRPr="008959ED" w:rsidRDefault="00CD58F2" w:rsidP="00CD58F2">
      <w:pPr>
        <w:pStyle w:val="Odstavecseseznamem"/>
        <w:numPr>
          <w:ilvl w:val="0"/>
          <w:numId w:val="14"/>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8959ED">
        <w:rPr>
          <w:rFonts w:ascii="Calibri" w:eastAsiaTheme="minorHAnsi" w:hAnsi="Calibri" w:cs="Calibri"/>
          <w:b/>
          <w:bCs/>
          <w:color w:val="000000"/>
          <w:kern w:val="2"/>
          <w:sz w:val="24"/>
          <w:szCs w:val="24"/>
          <w:lang w:eastAsia="en-US"/>
          <w14:ligatures w14:val="standardContextual"/>
        </w:rPr>
        <w:t>Nástroje a analytické postupy</w:t>
      </w:r>
      <w:r w:rsidRPr="008959ED">
        <w:rPr>
          <w:rFonts w:ascii="Calibri" w:eastAsiaTheme="minorHAnsi" w:hAnsi="Calibri" w:cs="Calibri"/>
          <w:color w:val="000000"/>
          <w:kern w:val="2"/>
          <w:sz w:val="24"/>
          <w:szCs w:val="24"/>
          <w:lang w:eastAsia="en-US"/>
          <w14:ligatures w14:val="standardContextual"/>
        </w:rPr>
        <w:t>: analýza bezpečnostní dokumentace, rozhovory s odpovědnými pracovníky.</w:t>
      </w:r>
    </w:p>
    <w:p w14:paraId="06EC8956" w14:textId="77777777" w:rsidR="00CD58F2" w:rsidRDefault="00CD58F2" w:rsidP="00CD58F2">
      <w:pPr>
        <w:pStyle w:val="Odstavecseseznamem"/>
        <w:numPr>
          <w:ilvl w:val="0"/>
          <w:numId w:val="14"/>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8959ED">
        <w:rPr>
          <w:rFonts w:ascii="Calibri" w:eastAsiaTheme="minorHAnsi" w:hAnsi="Calibri" w:cs="Calibri"/>
          <w:b/>
          <w:bCs/>
          <w:color w:val="000000"/>
          <w:kern w:val="2"/>
          <w:sz w:val="24"/>
          <w:szCs w:val="24"/>
          <w:lang w:eastAsia="en-US"/>
          <w14:ligatures w14:val="standardContextual"/>
        </w:rPr>
        <w:t>Řízení projektu auditu</w:t>
      </w:r>
      <w:r w:rsidRPr="008959ED">
        <w:rPr>
          <w:rFonts w:ascii="Calibri" w:eastAsiaTheme="minorHAnsi" w:hAnsi="Calibri" w:cs="Calibri"/>
          <w:color w:val="000000"/>
          <w:kern w:val="2"/>
          <w:sz w:val="24"/>
          <w:szCs w:val="24"/>
          <w:lang w:eastAsia="en-US"/>
          <w14:ligatures w14:val="standardContextual"/>
        </w:rPr>
        <w:t>: audit bude řízen dle metodiky projektového řízení IPMA s definovanými milníky (převzetí podkladů, úvodní konzultace, provedení testování, předložení návrhu výstupů, závěrečná zpráva).</w:t>
      </w:r>
    </w:p>
    <w:p w14:paraId="3B5D581F" w14:textId="77777777" w:rsidR="00CD58F2" w:rsidRDefault="00CD58F2" w:rsidP="00CD58F2">
      <w:pPr>
        <w:suppressAutoHyphens w:val="0"/>
        <w:spacing w:after="160" w:line="259" w:lineRule="auto"/>
        <w:rPr>
          <w:rFonts w:ascii="Calibri" w:eastAsiaTheme="minorHAnsi" w:hAnsi="Calibri" w:cs="Calibri"/>
          <w:sz w:val="24"/>
          <w:szCs w:val="24"/>
          <w:lang w:eastAsia="en-US"/>
        </w:rPr>
      </w:pPr>
    </w:p>
    <w:p w14:paraId="070A79BA" w14:textId="77777777" w:rsidR="00CD58F2"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030C59">
        <w:rPr>
          <w:rFonts w:ascii="Calibri" w:hAnsi="Calibri" w:cs="Calibri"/>
          <w:color w:val="000000"/>
          <w:kern w:val="2"/>
          <w:szCs w:val="24"/>
          <w:lang w:eastAsia="en-US"/>
          <w14:ligatures w14:val="standardContextual"/>
        </w:rPr>
        <w:t>2.3 Rozsah auditu</w:t>
      </w:r>
    </w:p>
    <w:p w14:paraId="37EC8D97" w14:textId="77777777" w:rsidR="00CD58F2" w:rsidRDefault="00CD58F2" w:rsidP="00CD58F2">
      <w:pPr>
        <w:rPr>
          <w:rFonts w:eastAsiaTheme="minorHAnsi"/>
          <w:lang w:eastAsia="en-US"/>
        </w:rPr>
      </w:pPr>
    </w:p>
    <w:tbl>
      <w:tblPr>
        <w:tblW w:w="0" w:type="auto"/>
        <w:tblInd w:w="-168" w:type="dxa"/>
        <w:tblLayout w:type="fixed"/>
        <w:tblLook w:val="0000" w:firstRow="0" w:lastRow="0" w:firstColumn="0" w:lastColumn="0" w:noHBand="0" w:noVBand="0"/>
      </w:tblPr>
      <w:tblGrid>
        <w:gridCol w:w="4476"/>
        <w:gridCol w:w="4476"/>
      </w:tblGrid>
      <w:tr w:rsidR="00CD58F2" w:rsidRPr="00030C59" w14:paraId="052A75F4" w14:textId="77777777" w:rsidTr="000E353C">
        <w:trPr>
          <w:trHeight w:val="255"/>
        </w:trPr>
        <w:tc>
          <w:tcPr>
            <w:tcW w:w="4476" w:type="dxa"/>
          </w:tcPr>
          <w:p w14:paraId="0900BC77"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Oblast bezpečnostního opatření </w:t>
            </w:r>
          </w:p>
        </w:tc>
        <w:tc>
          <w:tcPr>
            <w:tcW w:w="4476" w:type="dxa"/>
          </w:tcPr>
          <w:p w14:paraId="7C4AD634" w14:textId="77777777" w:rsidR="00CD58F2" w:rsidRPr="00030C59" w:rsidRDefault="00CD58F2" w:rsidP="000E353C">
            <w:pPr>
              <w:suppressAutoHyphens w:val="0"/>
              <w:autoSpaceDE w:val="0"/>
              <w:autoSpaceDN w:val="0"/>
              <w:adjustRightInd w:val="0"/>
              <w:rPr>
                <w:rFonts w:ascii="Calibri" w:eastAsiaTheme="minorHAnsi" w:hAnsi="Calibri" w:cs="Calibri"/>
                <w:b/>
                <w:bCs/>
                <w:color w:val="000000"/>
                <w:sz w:val="24"/>
                <w:szCs w:val="24"/>
                <w:lang w:eastAsia="en-US"/>
              </w:rPr>
            </w:pPr>
            <w:r w:rsidRPr="00030C59">
              <w:rPr>
                <w:rFonts w:ascii="Calibri" w:eastAsiaTheme="minorHAnsi" w:hAnsi="Calibri" w:cs="Calibri"/>
                <w:b/>
                <w:bCs/>
                <w:color w:val="000000"/>
                <w:sz w:val="24"/>
                <w:szCs w:val="24"/>
                <w:lang w:eastAsia="en-US"/>
              </w:rPr>
              <w:t>Specifikace předmětu hodnocení</w:t>
            </w:r>
          </w:p>
          <w:p w14:paraId="5E0872D6"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 </w:t>
            </w:r>
          </w:p>
        </w:tc>
      </w:tr>
      <w:tr w:rsidR="00CD58F2" w:rsidRPr="00030C59" w14:paraId="04DE8FC1" w14:textId="77777777" w:rsidTr="00871F5B">
        <w:trPr>
          <w:trHeight w:val="73"/>
        </w:trPr>
        <w:tc>
          <w:tcPr>
            <w:tcW w:w="4476" w:type="dxa"/>
          </w:tcPr>
          <w:p w14:paraId="48FBCEEF"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Virtualizační servery </w:t>
            </w:r>
          </w:p>
        </w:tc>
        <w:tc>
          <w:tcPr>
            <w:tcW w:w="4476" w:type="dxa"/>
          </w:tcPr>
          <w:p w14:paraId="7F3E70A0" w14:textId="3F4DE76D"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p>
          <w:p w14:paraId="1973A71C"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color w:val="000000"/>
                <w:sz w:val="24"/>
                <w:szCs w:val="24"/>
                <w:lang w:eastAsia="en-US"/>
              </w:rPr>
              <w:t xml:space="preserve"> </w:t>
            </w:r>
          </w:p>
        </w:tc>
      </w:tr>
      <w:tr w:rsidR="00CD58F2" w:rsidRPr="00030C59" w14:paraId="4E7117CB" w14:textId="77777777" w:rsidTr="000E353C">
        <w:trPr>
          <w:trHeight w:val="110"/>
        </w:trPr>
        <w:tc>
          <w:tcPr>
            <w:tcW w:w="4476" w:type="dxa"/>
          </w:tcPr>
          <w:p w14:paraId="693D8387"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Zálohování a obnova dat </w:t>
            </w:r>
          </w:p>
        </w:tc>
        <w:tc>
          <w:tcPr>
            <w:tcW w:w="4476" w:type="dxa"/>
          </w:tcPr>
          <w:p w14:paraId="77EBB685" w14:textId="077A4B23"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p>
          <w:p w14:paraId="28C5FC69"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color w:val="000000"/>
                <w:sz w:val="24"/>
                <w:szCs w:val="24"/>
                <w:lang w:eastAsia="en-US"/>
              </w:rPr>
              <w:t xml:space="preserve"> </w:t>
            </w:r>
          </w:p>
        </w:tc>
      </w:tr>
      <w:tr w:rsidR="00CD58F2" w:rsidRPr="00030C59" w14:paraId="076B0741" w14:textId="77777777" w:rsidTr="000E353C">
        <w:trPr>
          <w:trHeight w:val="110"/>
        </w:trPr>
        <w:tc>
          <w:tcPr>
            <w:tcW w:w="4476" w:type="dxa"/>
          </w:tcPr>
          <w:p w14:paraId="63AAA3CE"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Ochrana perimetru (NGFW) </w:t>
            </w:r>
          </w:p>
        </w:tc>
        <w:tc>
          <w:tcPr>
            <w:tcW w:w="4476" w:type="dxa"/>
          </w:tcPr>
          <w:p w14:paraId="245B069B" w14:textId="354574DD"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r w:rsidR="00CD58F2" w:rsidRPr="00030C59">
              <w:rPr>
                <w:rFonts w:ascii="Calibri" w:eastAsiaTheme="minorHAnsi" w:hAnsi="Calibri" w:cs="Calibri"/>
                <w:color w:val="000000"/>
                <w:sz w:val="24"/>
                <w:szCs w:val="24"/>
                <w:lang w:eastAsia="en-US"/>
              </w:rPr>
              <w:t>.</w:t>
            </w:r>
          </w:p>
          <w:p w14:paraId="531929F2"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color w:val="000000"/>
                <w:sz w:val="24"/>
                <w:szCs w:val="24"/>
                <w:lang w:eastAsia="en-US"/>
              </w:rPr>
              <w:t xml:space="preserve"> </w:t>
            </w:r>
          </w:p>
        </w:tc>
      </w:tr>
      <w:tr w:rsidR="00CD58F2" w:rsidRPr="00030C59" w14:paraId="2C60DD8A" w14:textId="77777777" w:rsidTr="000E353C">
        <w:trPr>
          <w:trHeight w:val="110"/>
        </w:trPr>
        <w:tc>
          <w:tcPr>
            <w:tcW w:w="4476" w:type="dxa"/>
          </w:tcPr>
          <w:p w14:paraId="3001F007"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VPN konektivita </w:t>
            </w:r>
          </w:p>
        </w:tc>
        <w:tc>
          <w:tcPr>
            <w:tcW w:w="4476" w:type="dxa"/>
          </w:tcPr>
          <w:p w14:paraId="556204D9" w14:textId="7519B9C6"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p>
        </w:tc>
      </w:tr>
      <w:tr w:rsidR="00CD58F2" w:rsidRPr="00030C59" w14:paraId="6AA5265C" w14:textId="77777777" w:rsidTr="000E353C">
        <w:trPr>
          <w:trHeight w:val="254"/>
        </w:trPr>
        <w:tc>
          <w:tcPr>
            <w:tcW w:w="4476" w:type="dxa"/>
          </w:tcPr>
          <w:p w14:paraId="1B1FAF68"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LAN/WiFi správa a segmentace </w:t>
            </w:r>
          </w:p>
        </w:tc>
        <w:tc>
          <w:tcPr>
            <w:tcW w:w="4476" w:type="dxa"/>
          </w:tcPr>
          <w:p w14:paraId="2998EC12" w14:textId="5323252A"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r w:rsidR="00CD58F2" w:rsidRPr="00030C59">
              <w:rPr>
                <w:rFonts w:ascii="Calibri" w:eastAsiaTheme="minorHAnsi" w:hAnsi="Calibri" w:cs="Calibri"/>
                <w:color w:val="000000"/>
                <w:sz w:val="24"/>
                <w:szCs w:val="24"/>
                <w:lang w:eastAsia="en-US"/>
              </w:rPr>
              <w:t xml:space="preserve">, </w:t>
            </w:r>
            <w:r>
              <w:rPr>
                <w:rFonts w:ascii="Calibri" w:eastAsiaTheme="minorHAnsi" w:hAnsi="Calibri" w:cs="Calibri"/>
                <w:color w:val="000000"/>
                <w:sz w:val="24"/>
                <w:szCs w:val="24"/>
                <w:lang w:eastAsia="en-US"/>
              </w:rPr>
              <w:t>x</w:t>
            </w:r>
            <w:r w:rsidR="00CD58F2" w:rsidRPr="00030C59">
              <w:rPr>
                <w:rFonts w:ascii="Calibri" w:eastAsiaTheme="minorHAnsi" w:hAnsi="Calibri" w:cs="Calibri"/>
                <w:color w:val="000000"/>
                <w:sz w:val="24"/>
                <w:szCs w:val="24"/>
                <w:lang w:eastAsia="en-US"/>
              </w:rPr>
              <w:t xml:space="preserve">. </w:t>
            </w:r>
          </w:p>
        </w:tc>
      </w:tr>
      <w:tr w:rsidR="00CD58F2" w:rsidRPr="00030C59" w14:paraId="66903170" w14:textId="77777777" w:rsidTr="000E353C">
        <w:trPr>
          <w:trHeight w:val="110"/>
        </w:trPr>
        <w:tc>
          <w:tcPr>
            <w:tcW w:w="4476" w:type="dxa"/>
          </w:tcPr>
          <w:p w14:paraId="5CBD7D9F"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Logování a monitoring </w:t>
            </w:r>
          </w:p>
        </w:tc>
        <w:tc>
          <w:tcPr>
            <w:tcW w:w="4476" w:type="dxa"/>
          </w:tcPr>
          <w:p w14:paraId="6C8933AC" w14:textId="1C1B9261"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r w:rsidR="00CD58F2" w:rsidRPr="00030C59">
              <w:rPr>
                <w:rFonts w:ascii="Calibri" w:eastAsiaTheme="minorHAnsi" w:hAnsi="Calibri" w:cs="Calibri"/>
                <w:color w:val="000000"/>
                <w:sz w:val="24"/>
                <w:szCs w:val="24"/>
                <w:lang w:eastAsia="en-US"/>
              </w:rPr>
              <w:t xml:space="preserve"> </w:t>
            </w:r>
          </w:p>
        </w:tc>
      </w:tr>
      <w:tr w:rsidR="00CD58F2" w:rsidRPr="00030C59" w14:paraId="5CEAF760" w14:textId="77777777" w:rsidTr="000E353C">
        <w:trPr>
          <w:trHeight w:val="255"/>
        </w:trPr>
        <w:tc>
          <w:tcPr>
            <w:tcW w:w="4476" w:type="dxa"/>
          </w:tcPr>
          <w:p w14:paraId="44C57B84"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Vícefaktorová autentizace (MFA) </w:t>
            </w:r>
          </w:p>
        </w:tc>
        <w:tc>
          <w:tcPr>
            <w:tcW w:w="4476" w:type="dxa"/>
          </w:tcPr>
          <w:p w14:paraId="67204B05" w14:textId="595EEC69"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r w:rsidR="00CD58F2" w:rsidRPr="00030C59">
              <w:rPr>
                <w:rFonts w:ascii="Calibri" w:eastAsiaTheme="minorHAnsi" w:hAnsi="Calibri" w:cs="Calibri"/>
                <w:color w:val="000000"/>
                <w:sz w:val="24"/>
                <w:szCs w:val="24"/>
                <w:lang w:eastAsia="en-US"/>
              </w:rPr>
              <w:t xml:space="preserve"> </w:t>
            </w:r>
          </w:p>
        </w:tc>
      </w:tr>
      <w:tr w:rsidR="00CD58F2" w:rsidRPr="00030C59" w14:paraId="5AB72A04" w14:textId="77777777" w:rsidTr="000E353C">
        <w:trPr>
          <w:trHeight w:val="254"/>
        </w:trPr>
        <w:tc>
          <w:tcPr>
            <w:tcW w:w="4476" w:type="dxa"/>
          </w:tcPr>
          <w:p w14:paraId="3D2101AE" w14:textId="77777777" w:rsidR="00CD58F2" w:rsidRPr="00030C59" w:rsidRDefault="00CD58F2" w:rsidP="000E353C">
            <w:pPr>
              <w:suppressAutoHyphens w:val="0"/>
              <w:autoSpaceDE w:val="0"/>
              <w:autoSpaceDN w:val="0"/>
              <w:adjustRightInd w:val="0"/>
              <w:rPr>
                <w:rFonts w:ascii="Calibri" w:eastAsiaTheme="minorHAnsi" w:hAnsi="Calibri" w:cs="Calibri"/>
                <w:color w:val="000000"/>
                <w:sz w:val="24"/>
                <w:szCs w:val="24"/>
                <w:lang w:eastAsia="en-US"/>
              </w:rPr>
            </w:pPr>
            <w:r w:rsidRPr="00030C59">
              <w:rPr>
                <w:rFonts w:ascii="Calibri" w:eastAsiaTheme="minorHAnsi" w:hAnsi="Calibri" w:cs="Calibri"/>
                <w:b/>
                <w:bCs/>
                <w:color w:val="000000"/>
                <w:sz w:val="24"/>
                <w:szCs w:val="24"/>
                <w:lang w:eastAsia="en-US"/>
              </w:rPr>
              <w:t xml:space="preserve">IDM systém </w:t>
            </w:r>
          </w:p>
        </w:tc>
        <w:tc>
          <w:tcPr>
            <w:tcW w:w="4476" w:type="dxa"/>
          </w:tcPr>
          <w:p w14:paraId="364A47F4" w14:textId="07A0F4C6" w:rsidR="00CD58F2" w:rsidRPr="00030C59" w:rsidRDefault="00871F5B" w:rsidP="000E353C">
            <w:pPr>
              <w:suppressAutoHyphens w:val="0"/>
              <w:autoSpaceDE w:val="0"/>
              <w:autoSpaceDN w:val="0"/>
              <w:adjustRightInd w:val="0"/>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x</w:t>
            </w:r>
            <w:r w:rsidR="00CD58F2" w:rsidRPr="00030C59">
              <w:rPr>
                <w:rFonts w:ascii="Calibri" w:eastAsiaTheme="minorHAnsi" w:hAnsi="Calibri" w:cs="Calibri"/>
                <w:color w:val="000000"/>
                <w:sz w:val="24"/>
                <w:szCs w:val="24"/>
                <w:lang w:eastAsia="en-US"/>
              </w:rPr>
              <w:t xml:space="preserve"> </w:t>
            </w:r>
          </w:p>
        </w:tc>
      </w:tr>
    </w:tbl>
    <w:p w14:paraId="3FD3B525" w14:textId="77777777" w:rsidR="00CD58F2" w:rsidRDefault="00CD58F2" w:rsidP="00CD58F2">
      <w:pPr>
        <w:rPr>
          <w:rFonts w:eastAsiaTheme="minorHAnsi"/>
          <w:lang w:eastAsia="en-US"/>
        </w:rPr>
      </w:pPr>
    </w:p>
    <w:p w14:paraId="37D9102D" w14:textId="77777777" w:rsidR="00CD58F2" w:rsidRDefault="00CD58F2" w:rsidP="00CD58F2">
      <w:pPr>
        <w:rPr>
          <w:rFonts w:eastAsiaTheme="minorHAnsi"/>
          <w:lang w:eastAsia="en-US"/>
        </w:rPr>
      </w:pPr>
    </w:p>
    <w:p w14:paraId="1D4E6FFB" w14:textId="77777777" w:rsidR="00CD58F2" w:rsidRPr="00030C59"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030C59">
        <w:rPr>
          <w:rFonts w:ascii="Calibri" w:hAnsi="Calibri" w:cs="Calibri"/>
          <w:color w:val="000000"/>
          <w:kern w:val="2"/>
          <w:szCs w:val="24"/>
          <w:lang w:eastAsia="en-US"/>
          <w14:ligatures w14:val="standardContextual"/>
        </w:rPr>
        <w:t>2.4 Harmonogram realizace</w:t>
      </w:r>
    </w:p>
    <w:p w14:paraId="652ABDA8" w14:textId="77777777" w:rsidR="00CD58F2" w:rsidRPr="00030C59" w:rsidRDefault="00CD58F2" w:rsidP="00CD58F2">
      <w:pPr>
        <w:rPr>
          <w:rFonts w:eastAsiaTheme="minorHAnsi"/>
          <w:lang w:eastAsia="en-US"/>
        </w:rPr>
      </w:pPr>
    </w:p>
    <w:p w14:paraId="33BACF31" w14:textId="77777777" w:rsidR="00CD58F2" w:rsidRPr="00030C59" w:rsidRDefault="00CD58F2" w:rsidP="00CD58F2">
      <w:pPr>
        <w:pStyle w:val="Odstavecseseznamem"/>
        <w:numPr>
          <w:ilvl w:val="0"/>
          <w:numId w:val="15"/>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030C59">
        <w:rPr>
          <w:rFonts w:ascii="Calibri" w:eastAsiaTheme="minorHAnsi" w:hAnsi="Calibri" w:cs="Calibri"/>
          <w:b/>
          <w:bCs/>
          <w:color w:val="000000"/>
          <w:kern w:val="2"/>
          <w:sz w:val="24"/>
          <w:szCs w:val="24"/>
          <w:lang w:eastAsia="en-US"/>
          <w14:ligatures w14:val="standardContextual"/>
        </w:rPr>
        <w:t>Zahájení činnosti</w:t>
      </w:r>
      <w:r w:rsidRPr="00030C59">
        <w:rPr>
          <w:rFonts w:ascii="Calibri" w:eastAsiaTheme="minorHAnsi" w:hAnsi="Calibri" w:cs="Calibri"/>
          <w:color w:val="000000"/>
          <w:kern w:val="2"/>
          <w:sz w:val="24"/>
          <w:szCs w:val="24"/>
          <w:lang w:eastAsia="en-US"/>
          <w14:ligatures w14:val="standardContextual"/>
        </w:rPr>
        <w:t>: září 2025</w:t>
      </w:r>
    </w:p>
    <w:p w14:paraId="20AB59A1" w14:textId="77777777" w:rsidR="00CD58F2" w:rsidRPr="00030C59" w:rsidRDefault="00CD58F2" w:rsidP="00CD58F2">
      <w:pPr>
        <w:pStyle w:val="Odstavecseseznamem"/>
        <w:numPr>
          <w:ilvl w:val="0"/>
          <w:numId w:val="15"/>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030C59">
        <w:rPr>
          <w:rFonts w:ascii="Calibri" w:eastAsiaTheme="minorHAnsi" w:hAnsi="Calibri" w:cs="Calibri"/>
          <w:b/>
          <w:bCs/>
          <w:color w:val="000000"/>
          <w:kern w:val="2"/>
          <w:sz w:val="24"/>
          <w:szCs w:val="24"/>
          <w:lang w:eastAsia="en-US"/>
          <w14:ligatures w14:val="standardContextual"/>
        </w:rPr>
        <w:t>Provedení auditu v terénu</w:t>
      </w:r>
      <w:r w:rsidRPr="00030C59">
        <w:rPr>
          <w:rFonts w:ascii="Calibri" w:eastAsiaTheme="minorHAnsi" w:hAnsi="Calibri" w:cs="Calibri"/>
          <w:color w:val="000000"/>
          <w:kern w:val="2"/>
          <w:sz w:val="24"/>
          <w:szCs w:val="24"/>
          <w:lang w:eastAsia="en-US"/>
          <w14:ligatures w14:val="standardContextual"/>
        </w:rPr>
        <w:t>: září – listopad 2025</w:t>
      </w:r>
    </w:p>
    <w:p w14:paraId="689A2C42" w14:textId="77777777" w:rsidR="00CD58F2" w:rsidRPr="00030C59" w:rsidRDefault="00CD58F2" w:rsidP="00CD58F2">
      <w:pPr>
        <w:pStyle w:val="Odstavecseseznamem"/>
        <w:numPr>
          <w:ilvl w:val="0"/>
          <w:numId w:val="15"/>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030C59">
        <w:rPr>
          <w:rFonts w:ascii="Calibri" w:eastAsiaTheme="minorHAnsi" w:hAnsi="Calibri" w:cs="Calibri"/>
          <w:b/>
          <w:bCs/>
          <w:color w:val="000000"/>
          <w:kern w:val="2"/>
          <w:sz w:val="24"/>
          <w:szCs w:val="24"/>
          <w:lang w:eastAsia="en-US"/>
          <w14:ligatures w14:val="standardContextual"/>
        </w:rPr>
        <w:t>Dodání návrhu zprávy</w:t>
      </w:r>
      <w:r w:rsidRPr="00030C59">
        <w:rPr>
          <w:rFonts w:ascii="Calibri" w:eastAsiaTheme="minorHAnsi" w:hAnsi="Calibri" w:cs="Calibri"/>
          <w:color w:val="000000"/>
          <w:kern w:val="2"/>
          <w:sz w:val="24"/>
          <w:szCs w:val="24"/>
          <w:lang w:eastAsia="en-US"/>
          <w14:ligatures w14:val="standardContextual"/>
        </w:rPr>
        <w:t>: do 30. 11. 2025</w:t>
      </w:r>
    </w:p>
    <w:p w14:paraId="7DA0D7B5" w14:textId="77777777" w:rsidR="00CD58F2" w:rsidRPr="00030C59" w:rsidRDefault="00CD58F2" w:rsidP="00CD58F2">
      <w:pPr>
        <w:pStyle w:val="Odstavecseseznamem"/>
        <w:numPr>
          <w:ilvl w:val="0"/>
          <w:numId w:val="15"/>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030C59">
        <w:rPr>
          <w:rFonts w:ascii="Calibri" w:eastAsiaTheme="minorHAnsi" w:hAnsi="Calibri" w:cs="Calibri"/>
          <w:b/>
          <w:bCs/>
          <w:color w:val="000000"/>
          <w:kern w:val="2"/>
          <w:sz w:val="24"/>
          <w:szCs w:val="24"/>
          <w:lang w:eastAsia="en-US"/>
          <w14:ligatures w14:val="standardContextual"/>
        </w:rPr>
        <w:t>Závěrečné schválení</w:t>
      </w:r>
      <w:r w:rsidRPr="00030C59">
        <w:rPr>
          <w:rFonts w:ascii="Calibri" w:eastAsiaTheme="minorHAnsi" w:hAnsi="Calibri" w:cs="Calibri"/>
          <w:color w:val="000000"/>
          <w:kern w:val="2"/>
          <w:sz w:val="24"/>
          <w:szCs w:val="24"/>
          <w:lang w:eastAsia="en-US"/>
          <w14:ligatures w14:val="standardContextual"/>
        </w:rPr>
        <w:t>, předání certifikátu: do 1. 12. 2025</w:t>
      </w:r>
    </w:p>
    <w:p w14:paraId="1E804500" w14:textId="77777777" w:rsidR="00CD58F2" w:rsidRDefault="00CD58F2" w:rsidP="00CD58F2">
      <w:pPr>
        <w:pStyle w:val="Odstavecseseznamem"/>
        <w:numPr>
          <w:ilvl w:val="0"/>
          <w:numId w:val="15"/>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030C59">
        <w:rPr>
          <w:rFonts w:ascii="Calibri" w:eastAsiaTheme="minorHAnsi" w:hAnsi="Calibri" w:cs="Calibri"/>
          <w:b/>
          <w:bCs/>
          <w:color w:val="000000"/>
          <w:kern w:val="2"/>
          <w:sz w:val="24"/>
          <w:szCs w:val="24"/>
          <w:lang w:eastAsia="en-US"/>
          <w14:ligatures w14:val="standardContextual"/>
        </w:rPr>
        <w:t>Fakturace</w:t>
      </w:r>
      <w:r w:rsidRPr="00030C59">
        <w:rPr>
          <w:rFonts w:ascii="Calibri" w:eastAsiaTheme="minorHAnsi" w:hAnsi="Calibri" w:cs="Calibri"/>
          <w:color w:val="000000"/>
          <w:kern w:val="2"/>
          <w:sz w:val="24"/>
          <w:szCs w:val="24"/>
          <w:lang w:eastAsia="en-US"/>
          <w14:ligatures w14:val="standardContextual"/>
        </w:rPr>
        <w:t>: po schválení výstupní zprávy, nejpozději 10. 12. 2025</w:t>
      </w:r>
    </w:p>
    <w:p w14:paraId="39E3C96C" w14:textId="77777777" w:rsidR="00CD58F2"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244B7A">
        <w:rPr>
          <w:rFonts w:ascii="Calibri" w:hAnsi="Calibri" w:cs="Calibri"/>
          <w:color w:val="000000"/>
          <w:kern w:val="2"/>
          <w:szCs w:val="24"/>
          <w:lang w:eastAsia="en-US"/>
          <w14:ligatures w14:val="standardContextual"/>
        </w:rPr>
        <w:t>2.5 Dodávané výstupy</w:t>
      </w:r>
    </w:p>
    <w:p w14:paraId="72B30574" w14:textId="77777777" w:rsidR="00CD58F2" w:rsidRDefault="00CD58F2" w:rsidP="00CD58F2">
      <w:pPr>
        <w:rPr>
          <w:rFonts w:eastAsiaTheme="minorHAnsi"/>
          <w:lang w:eastAsia="en-US"/>
        </w:rPr>
      </w:pPr>
    </w:p>
    <w:p w14:paraId="58E52F72" w14:textId="77777777" w:rsidR="00CD58F2" w:rsidRPr="00244B7A" w:rsidRDefault="00CD58F2" w:rsidP="00CD58F2">
      <w:p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244B7A">
        <w:rPr>
          <w:rFonts w:ascii="Calibri" w:eastAsiaTheme="minorHAnsi" w:hAnsi="Calibri" w:cs="Calibri"/>
          <w:color w:val="000000"/>
          <w:kern w:val="2"/>
          <w:sz w:val="24"/>
          <w:szCs w:val="24"/>
          <w:lang w:eastAsia="en-US"/>
          <w14:ligatures w14:val="standardContextual"/>
        </w:rPr>
        <w:t>Výstupem auditu bude:</w:t>
      </w:r>
    </w:p>
    <w:p w14:paraId="6B5A0F70" w14:textId="77777777" w:rsidR="00CD58F2" w:rsidRPr="00244B7A" w:rsidRDefault="00CD58F2" w:rsidP="00CD58F2">
      <w:pPr>
        <w:pStyle w:val="Odstavecseseznamem"/>
        <w:numPr>
          <w:ilvl w:val="0"/>
          <w:numId w:val="16"/>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244B7A">
        <w:rPr>
          <w:rFonts w:ascii="Calibri" w:eastAsiaTheme="minorHAnsi" w:hAnsi="Calibri" w:cs="Calibri"/>
          <w:b/>
          <w:bCs/>
          <w:color w:val="000000"/>
          <w:kern w:val="2"/>
          <w:sz w:val="24"/>
          <w:szCs w:val="24"/>
          <w:lang w:eastAsia="en-US"/>
          <w14:ligatures w14:val="standardContextual"/>
        </w:rPr>
        <w:t>Závěrečná zpráva o provedení auditu</w:t>
      </w:r>
      <w:r w:rsidRPr="00244B7A">
        <w:rPr>
          <w:rFonts w:ascii="Calibri" w:eastAsiaTheme="minorHAnsi" w:hAnsi="Calibri" w:cs="Calibri"/>
          <w:color w:val="000000"/>
          <w:kern w:val="2"/>
          <w:sz w:val="24"/>
          <w:szCs w:val="24"/>
          <w:lang w:eastAsia="en-US"/>
          <w14:ligatures w14:val="standardContextual"/>
        </w:rPr>
        <w:t xml:space="preserve"> – dokument shrnující metodiku, průběh, zjištění, nápravná opatření (pokud budou relevantní), potvrzení souladu s požadavky.</w:t>
      </w:r>
    </w:p>
    <w:p w14:paraId="790F3285" w14:textId="77777777" w:rsidR="00CD58F2" w:rsidRDefault="00CD58F2" w:rsidP="00CD58F2">
      <w:pPr>
        <w:pStyle w:val="Odstavecseseznamem"/>
        <w:numPr>
          <w:ilvl w:val="0"/>
          <w:numId w:val="16"/>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244B7A">
        <w:rPr>
          <w:rFonts w:ascii="Calibri" w:eastAsiaTheme="minorHAnsi" w:hAnsi="Calibri" w:cs="Calibri"/>
          <w:b/>
          <w:bCs/>
          <w:color w:val="000000"/>
          <w:kern w:val="2"/>
          <w:sz w:val="24"/>
          <w:szCs w:val="24"/>
          <w:lang w:eastAsia="en-US"/>
          <w14:ligatures w14:val="standardContextual"/>
        </w:rPr>
        <w:lastRenderedPageBreak/>
        <w:t>Protokol / certifikát</w:t>
      </w:r>
      <w:r w:rsidRPr="00244B7A">
        <w:rPr>
          <w:rFonts w:ascii="Calibri" w:eastAsiaTheme="minorHAnsi" w:hAnsi="Calibri" w:cs="Calibri"/>
          <w:color w:val="000000"/>
          <w:kern w:val="2"/>
          <w:sz w:val="24"/>
          <w:szCs w:val="24"/>
          <w:lang w:eastAsia="en-US"/>
          <w14:ligatures w14:val="standardContextual"/>
        </w:rPr>
        <w:t xml:space="preserve"> – potvrzující úspěšné ověření souladu se zákonem č. 181/2014 Sb. a vyhláškou č. 82/2018 Sb., podepsaný auditní autoritou a kompetentní osobou zadavatele.</w:t>
      </w:r>
    </w:p>
    <w:p w14:paraId="57121BD1" w14:textId="77777777" w:rsidR="00CD58F2" w:rsidRDefault="00CD58F2" w:rsidP="00CD58F2">
      <w:pPr>
        <w:pStyle w:val="Nadpis3"/>
        <w:widowControl w:val="0"/>
        <w:suppressAutoHyphens w:val="0"/>
        <w:autoSpaceDE w:val="0"/>
        <w:autoSpaceDN w:val="0"/>
        <w:spacing w:before="40"/>
        <w:ind w:hanging="360"/>
        <w:rPr>
          <w:rFonts w:ascii="Calibri" w:hAnsi="Calibri" w:cs="Calibri"/>
          <w:color w:val="000000"/>
          <w:kern w:val="2"/>
          <w:szCs w:val="24"/>
          <w:lang w:eastAsia="en-US"/>
          <w14:ligatures w14:val="standardContextual"/>
        </w:rPr>
      </w:pPr>
      <w:r w:rsidRPr="00244B7A">
        <w:rPr>
          <w:rFonts w:ascii="Calibri" w:hAnsi="Calibri" w:cs="Calibri"/>
          <w:color w:val="000000"/>
          <w:kern w:val="2"/>
          <w:szCs w:val="24"/>
          <w:lang w:eastAsia="en-US"/>
          <w14:ligatures w14:val="standardContextual"/>
        </w:rPr>
        <w:t>2.6 Garance kvality</w:t>
      </w:r>
    </w:p>
    <w:p w14:paraId="6CC1F25F" w14:textId="77777777" w:rsidR="00CD58F2" w:rsidRDefault="00CD58F2" w:rsidP="00CD58F2">
      <w:pPr>
        <w:rPr>
          <w:rFonts w:eastAsiaTheme="minorHAnsi"/>
          <w:lang w:eastAsia="en-US"/>
        </w:rPr>
      </w:pPr>
    </w:p>
    <w:p w14:paraId="677C115B" w14:textId="77777777" w:rsidR="00CD58F2" w:rsidRPr="00244B7A" w:rsidRDefault="00CD58F2" w:rsidP="00CD58F2">
      <w:pPr>
        <w:pStyle w:val="Odstavecseseznamem"/>
        <w:numPr>
          <w:ilvl w:val="0"/>
          <w:numId w:val="16"/>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244B7A">
        <w:rPr>
          <w:rFonts w:ascii="Calibri" w:eastAsiaTheme="minorHAnsi" w:hAnsi="Calibri" w:cs="Calibri"/>
          <w:color w:val="000000"/>
          <w:kern w:val="2"/>
          <w:sz w:val="24"/>
          <w:szCs w:val="24"/>
          <w:lang w:eastAsia="en-US"/>
          <w14:ligatures w14:val="standardContextual"/>
        </w:rPr>
        <w:t>Audit bude proveden výhradně odborníky</w:t>
      </w:r>
      <w:r>
        <w:rPr>
          <w:rFonts w:ascii="Calibri" w:eastAsiaTheme="minorHAnsi" w:hAnsi="Calibri" w:cs="Calibri"/>
          <w:color w:val="000000"/>
          <w:kern w:val="2"/>
          <w:sz w:val="24"/>
          <w:szCs w:val="24"/>
          <w:lang w:eastAsia="en-US"/>
          <w14:ligatures w14:val="standardContextual"/>
        </w:rPr>
        <w:t>,</w:t>
      </w:r>
      <w:r w:rsidRPr="00244B7A">
        <w:rPr>
          <w:rFonts w:ascii="Calibri" w:eastAsiaTheme="minorHAnsi" w:hAnsi="Calibri" w:cs="Calibri"/>
          <w:color w:val="000000"/>
          <w:kern w:val="2"/>
          <w:sz w:val="24"/>
          <w:szCs w:val="24"/>
          <w:lang w:eastAsia="en-US"/>
          <w14:ligatures w14:val="standardContextual"/>
        </w:rPr>
        <w:t xml:space="preserve"> kteří splňují požadavky vyhlášky </w:t>
      </w:r>
      <w:r w:rsidRPr="00244B7A">
        <w:rPr>
          <w:rFonts w:ascii="Calibri" w:eastAsiaTheme="minorHAnsi" w:hAnsi="Calibri" w:cs="Calibri"/>
          <w:b/>
          <w:bCs/>
          <w:color w:val="000000"/>
          <w:kern w:val="2"/>
          <w:sz w:val="24"/>
          <w:szCs w:val="24"/>
          <w:lang w:eastAsia="en-US"/>
          <w14:ligatures w14:val="standardContextual"/>
        </w:rPr>
        <w:t>č. 82/20</w:t>
      </w:r>
      <w:r>
        <w:rPr>
          <w:rFonts w:ascii="Calibri" w:eastAsiaTheme="minorHAnsi" w:hAnsi="Calibri" w:cs="Calibri"/>
          <w:b/>
          <w:bCs/>
          <w:color w:val="000000"/>
          <w:kern w:val="2"/>
          <w:sz w:val="24"/>
          <w:szCs w:val="24"/>
          <w:lang w:eastAsia="en-US"/>
          <w14:ligatures w14:val="standardContextual"/>
        </w:rPr>
        <w:t>1</w:t>
      </w:r>
      <w:r w:rsidRPr="00244B7A">
        <w:rPr>
          <w:rFonts w:ascii="Calibri" w:eastAsiaTheme="minorHAnsi" w:hAnsi="Calibri" w:cs="Calibri"/>
          <w:b/>
          <w:bCs/>
          <w:color w:val="000000"/>
          <w:kern w:val="2"/>
          <w:sz w:val="24"/>
          <w:szCs w:val="24"/>
          <w:lang w:eastAsia="en-US"/>
          <w14:ligatures w14:val="standardContextual"/>
        </w:rPr>
        <w:t>8 Sb</w:t>
      </w:r>
      <w:r>
        <w:rPr>
          <w:rFonts w:ascii="Calibri" w:eastAsiaTheme="minorHAnsi" w:hAnsi="Calibri" w:cs="Calibri"/>
          <w:b/>
          <w:bCs/>
          <w:color w:val="000000"/>
          <w:kern w:val="2"/>
          <w:sz w:val="24"/>
          <w:szCs w:val="24"/>
          <w:lang w:eastAsia="en-US"/>
          <w14:ligatures w14:val="standardContextual"/>
        </w:rPr>
        <w:t>.</w:t>
      </w:r>
      <w:r w:rsidRPr="00244B7A">
        <w:rPr>
          <w:rFonts w:ascii="Calibri" w:eastAsiaTheme="minorHAnsi" w:hAnsi="Calibri" w:cs="Calibri"/>
          <w:b/>
          <w:bCs/>
          <w:color w:val="000000"/>
          <w:kern w:val="2"/>
          <w:sz w:val="24"/>
          <w:szCs w:val="24"/>
          <w:lang w:eastAsia="en-US"/>
          <w14:ligatures w14:val="standardContextual"/>
        </w:rPr>
        <w:t xml:space="preserve"> na funkci Interní auditor</w:t>
      </w:r>
      <w:r w:rsidRPr="00244B7A">
        <w:rPr>
          <w:rFonts w:ascii="Calibri" w:eastAsiaTheme="minorHAnsi" w:hAnsi="Calibri" w:cs="Calibri"/>
          <w:color w:val="000000"/>
          <w:kern w:val="2"/>
          <w:sz w:val="24"/>
          <w:szCs w:val="24"/>
          <w:lang w:eastAsia="en-US"/>
          <w14:ligatures w14:val="standardContextual"/>
        </w:rPr>
        <w:t>.</w:t>
      </w:r>
    </w:p>
    <w:p w14:paraId="1DB2D12A" w14:textId="77777777" w:rsidR="00CD58F2" w:rsidRDefault="00CD58F2" w:rsidP="00CD58F2">
      <w:pPr>
        <w:pStyle w:val="Odstavecseseznamem"/>
        <w:numPr>
          <w:ilvl w:val="0"/>
          <w:numId w:val="16"/>
        </w:numPr>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244B7A">
        <w:rPr>
          <w:rFonts w:ascii="Calibri" w:eastAsiaTheme="minorHAnsi" w:hAnsi="Calibri" w:cs="Calibri"/>
          <w:color w:val="000000"/>
          <w:kern w:val="2"/>
          <w:sz w:val="24"/>
          <w:szCs w:val="24"/>
          <w:lang w:eastAsia="en-US"/>
          <w14:ligatures w14:val="standardContextual"/>
        </w:rPr>
        <w:t>Odpovědnost za výsledek nese garant auditu uvedený ve smlouvě, který zajistí také kontrolu souladu všech výstupů s podmínkami veřejné zakázky.</w:t>
      </w:r>
    </w:p>
    <w:p w14:paraId="700EEA75" w14:textId="77777777" w:rsidR="00CD58F2" w:rsidRDefault="00CD58F2" w:rsidP="00CD58F2">
      <w:pPr>
        <w:pStyle w:val="Odstavecseseznamem"/>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07457F2C" w14:textId="77777777" w:rsidR="00CD58F2" w:rsidRDefault="00CD58F2" w:rsidP="00CD58F2">
      <w:pPr>
        <w:rPr>
          <w:rFonts w:ascii="Calibri" w:eastAsiaTheme="minorHAnsi" w:hAnsi="Calibri" w:cs="Calibri"/>
          <w:color w:val="000000"/>
          <w:kern w:val="2"/>
          <w:sz w:val="24"/>
          <w:szCs w:val="24"/>
          <w:lang w:eastAsia="en-US"/>
          <w14:ligatures w14:val="standardContextual"/>
        </w:rPr>
      </w:pPr>
      <w:r>
        <w:rPr>
          <w:rFonts w:ascii="Calibri" w:eastAsiaTheme="minorHAnsi" w:hAnsi="Calibri" w:cs="Calibri"/>
          <w:color w:val="000000"/>
          <w:kern w:val="2"/>
          <w:sz w:val="24"/>
          <w:szCs w:val="24"/>
          <w:lang w:eastAsia="en-US"/>
          <w14:ligatures w14:val="standardContextual"/>
        </w:rPr>
        <w:br w:type="page"/>
      </w:r>
    </w:p>
    <w:p w14:paraId="102C676C" w14:textId="77777777" w:rsidR="00CD58F2" w:rsidRPr="004A544F" w:rsidRDefault="00CD58F2" w:rsidP="00CD58F2">
      <w:pPr>
        <w:pStyle w:val="Nadpis1"/>
        <w:spacing w:line="276" w:lineRule="auto"/>
        <w:rPr>
          <w:rFonts w:ascii="Tahoma" w:hAnsi="Tahoma" w:cs="Tahoma"/>
          <w:b/>
          <w:caps/>
          <w:sz w:val="20"/>
        </w:rPr>
      </w:pPr>
      <w:r w:rsidRPr="004A544F">
        <w:rPr>
          <w:rFonts w:ascii="Tahoma" w:hAnsi="Tahoma" w:cs="Tahoma"/>
          <w:b/>
          <w:caps/>
          <w:sz w:val="20"/>
        </w:rPr>
        <w:lastRenderedPageBreak/>
        <w:t xml:space="preserve">Příloha č. </w:t>
      </w:r>
      <w:r>
        <w:rPr>
          <w:rFonts w:ascii="Tahoma" w:hAnsi="Tahoma" w:cs="Tahoma"/>
          <w:b/>
          <w:caps/>
          <w:sz w:val="20"/>
        </w:rPr>
        <w:t>2</w:t>
      </w:r>
      <w:r w:rsidRPr="004A544F">
        <w:rPr>
          <w:rFonts w:ascii="Tahoma" w:hAnsi="Tahoma" w:cs="Tahoma"/>
          <w:b/>
          <w:caps/>
          <w:sz w:val="20"/>
        </w:rPr>
        <w:t>:</w:t>
      </w:r>
      <w:r w:rsidRPr="004A544F">
        <w:rPr>
          <w:rFonts w:ascii="Tahoma" w:hAnsi="Tahoma" w:cs="Tahoma"/>
          <w:b/>
          <w:caps/>
          <w:sz w:val="20"/>
        </w:rPr>
        <w:tab/>
      </w:r>
      <w:r w:rsidRPr="00533C48">
        <w:rPr>
          <w:rFonts w:ascii="Tahoma" w:hAnsi="Tahoma" w:cs="Tahoma"/>
          <w:b/>
          <w:caps/>
          <w:sz w:val="20"/>
        </w:rPr>
        <w:t>Položkový rozpočet</w:t>
      </w:r>
    </w:p>
    <w:p w14:paraId="128842B3" w14:textId="77777777" w:rsidR="00CD58F2" w:rsidRDefault="00CD58F2" w:rsidP="00CD58F2">
      <w:pPr>
        <w:pStyle w:val="Odstavecseseznamem"/>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107383CE" w14:textId="77777777" w:rsidR="00CD58F2" w:rsidRDefault="00CD58F2" w:rsidP="00CD58F2">
      <w:pPr>
        <w:pStyle w:val="Odstavecseseznamem"/>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3A9420D8" w14:textId="77777777" w:rsidR="00CD58F2" w:rsidRPr="00533C48" w:rsidRDefault="00CD58F2" w:rsidP="00CD58F2">
      <w:pPr>
        <w:pStyle w:val="Odstavecseseznamem"/>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533C48">
        <w:rPr>
          <w:rFonts w:asciiTheme="minorHAnsi" w:eastAsiaTheme="minorHAnsi" w:hAnsiTheme="minorHAnsi" w:cstheme="minorBidi"/>
          <w:b/>
          <w:bCs/>
          <w:kern w:val="2"/>
          <w:sz w:val="36"/>
          <w:szCs w:val="36"/>
          <w:lang w:eastAsia="en-US"/>
          <w14:ligatures w14:val="standardContextual"/>
        </w:rPr>
        <w:t>Položkový rozpočet veřejné zakázky „Zajištění finálního nezávislého auditu ověřujícího naplnění kybernetických požadavků“ (dále jen audit kybernetické bezpečnosti)</w:t>
      </w:r>
      <w:r w:rsidRPr="00533C48">
        <w:rPr>
          <w:rFonts w:ascii="Calibri" w:eastAsiaTheme="minorHAnsi" w:hAnsi="Calibri" w:cs="Calibri"/>
          <w:color w:val="000000"/>
          <w:kern w:val="2"/>
          <w:sz w:val="24"/>
          <w:szCs w:val="24"/>
          <w:lang w:eastAsia="en-US"/>
          <w14:ligatures w14:val="standardContextual"/>
        </w:rPr>
        <w:t xml:space="preserve"> </w:t>
      </w:r>
    </w:p>
    <w:p w14:paraId="5FBCE259" w14:textId="77777777" w:rsidR="00CD58F2" w:rsidRDefault="00CD58F2" w:rsidP="00CD58F2">
      <w:pPr>
        <w:pStyle w:val="Odstavecseseznamem"/>
        <w:suppressAutoHyphens w:val="0"/>
        <w:spacing w:after="160" w:line="259" w:lineRule="auto"/>
        <w:rPr>
          <w:rFonts w:ascii="Calibri" w:eastAsiaTheme="minorHAnsi" w:hAnsi="Calibri" w:cs="Calibri"/>
          <w:color w:val="000000"/>
          <w:kern w:val="2"/>
          <w:sz w:val="24"/>
          <w:szCs w:val="24"/>
          <w:lang w:eastAsia="en-US"/>
          <w14:ligatures w14:val="standardContextual"/>
        </w:rPr>
      </w:pPr>
    </w:p>
    <w:p w14:paraId="6C444F0A" w14:textId="77777777" w:rsidR="00CD58F2" w:rsidRPr="00244B7A" w:rsidRDefault="00CD58F2" w:rsidP="00CD58F2">
      <w:pPr>
        <w:pStyle w:val="Odstavecseseznamem"/>
        <w:suppressAutoHyphens w:val="0"/>
        <w:spacing w:after="160" w:line="259" w:lineRule="auto"/>
        <w:rPr>
          <w:rFonts w:ascii="Calibri" w:eastAsiaTheme="minorHAnsi" w:hAnsi="Calibri" w:cs="Calibri"/>
          <w:color w:val="000000"/>
          <w:kern w:val="2"/>
          <w:sz w:val="24"/>
          <w:szCs w:val="24"/>
          <w:lang w:eastAsia="en-US"/>
          <w14:ligatures w14:val="standardContextual"/>
        </w:rPr>
      </w:pPr>
      <w:r w:rsidRPr="00533C48">
        <w:rPr>
          <w:rFonts w:ascii="Calibri" w:eastAsiaTheme="minorHAnsi" w:hAnsi="Calibri" w:cs="Calibri"/>
          <w:color w:val="000000"/>
          <w:kern w:val="2"/>
          <w:sz w:val="24"/>
          <w:szCs w:val="24"/>
          <w:lang w:eastAsia="en-US"/>
          <w14:ligatures w14:val="standardContextual"/>
        </w:rPr>
        <w:t>Celková cena za kompletní plnění veřejné zakázky dle dokumentu „Specifikace služby“, bod 2. „Specifikace služby AUDIT KYBERNETICKÉ BEZPEČNOSTI – řešení “ činí 168 000 Kč bez DPH, tj. 203 280 Kč s DPH, DPH činí 21 % tj. 35 280 Kč.</w:t>
      </w:r>
    </w:p>
    <w:p w14:paraId="5D30C187" w14:textId="77777777" w:rsidR="00CE229A" w:rsidRDefault="00CE229A"/>
    <w:sectPr w:rsidR="00CE229A" w:rsidSect="00CD58F2">
      <w:headerReference w:type="default" r:id="rId7"/>
      <w:headerReference w:type="first" r:id="rId8"/>
      <w:pgSz w:w="11906" w:h="16838"/>
      <w:pgMar w:top="1417"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EEE7" w14:textId="77777777" w:rsidR="009D6B7D" w:rsidRDefault="009D6B7D">
      <w:r>
        <w:separator/>
      </w:r>
    </w:p>
  </w:endnote>
  <w:endnote w:type="continuationSeparator" w:id="0">
    <w:p w14:paraId="0D1612E1" w14:textId="77777777" w:rsidR="009D6B7D" w:rsidRDefault="009D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BA26" w14:textId="77777777" w:rsidR="009D6B7D" w:rsidRDefault="009D6B7D">
      <w:r>
        <w:separator/>
      </w:r>
    </w:p>
  </w:footnote>
  <w:footnote w:type="continuationSeparator" w:id="0">
    <w:p w14:paraId="23969A4E" w14:textId="77777777" w:rsidR="009D6B7D" w:rsidRDefault="009D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2341" w14:textId="77777777" w:rsidR="00CD58F2" w:rsidRDefault="00CD58F2" w:rsidP="00631BB3">
    <w:pPr>
      <w:pStyle w:val="Zhlav"/>
    </w:pPr>
    <w:r>
      <w:rPr>
        <w:noProof/>
        <w:lang w:eastAsia="cs-CZ"/>
      </w:rPr>
      <w:drawing>
        <wp:inline distT="0" distB="0" distL="0" distR="0" wp14:anchorId="3A3DFC9A" wp14:editId="77107BBB">
          <wp:extent cx="2359660" cy="786765"/>
          <wp:effectExtent l="0" t="0" r="2540" b="0"/>
          <wp:docPr id="1827396215"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96215"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786765"/>
                  </a:xfrm>
                  <a:prstGeom prst="rect">
                    <a:avLst/>
                  </a:prstGeom>
                  <a:noFill/>
                </pic:spPr>
              </pic:pic>
            </a:graphicData>
          </a:graphic>
        </wp:inline>
      </w:drawing>
    </w:r>
    <w:r>
      <w:t xml:space="preserve">                               </w:t>
    </w:r>
    <w:r>
      <w:rPr>
        <w:noProof/>
        <w:lang w:eastAsia="cs-CZ"/>
      </w:rPr>
      <w:drawing>
        <wp:inline distT="0" distB="0" distL="0" distR="0" wp14:anchorId="4E67A254" wp14:editId="78CB51D8">
          <wp:extent cx="2139950" cy="792480"/>
          <wp:effectExtent l="0" t="0" r="0" b="7620"/>
          <wp:docPr id="657708161" name="Obrázek 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8161" name="Obrázek 2" descr="Obsah obrázku text, Písmo, Grafika, logo&#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792480"/>
                  </a:xfrm>
                  <a:prstGeom prst="rect">
                    <a:avLst/>
                  </a:prstGeom>
                  <a:noFill/>
                </pic:spPr>
              </pic:pic>
            </a:graphicData>
          </a:graphic>
        </wp:inline>
      </w:drawing>
    </w:r>
  </w:p>
  <w:p w14:paraId="74EA2863" w14:textId="77777777" w:rsidR="00CD58F2" w:rsidRDefault="00CD58F2" w:rsidP="00631BB3">
    <w:pPr>
      <w:pStyle w:val="Zhlav"/>
    </w:pPr>
  </w:p>
  <w:p w14:paraId="561C4B82" w14:textId="77777777" w:rsidR="00CD58F2" w:rsidRDefault="00CD58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C9CD" w14:textId="77777777" w:rsidR="00CD58F2" w:rsidRDefault="00CD58F2">
    <w:pPr>
      <w:pStyle w:val="Zhlav"/>
    </w:pPr>
    <w:r>
      <w:rPr>
        <w:noProof/>
      </w:rPr>
      <w:drawing>
        <wp:anchor distT="0" distB="0" distL="0" distR="0" simplePos="0" relativeHeight="251659264" behindDoc="0" locked="0" layoutInCell="0" allowOverlap="1" wp14:anchorId="5B12DB65" wp14:editId="7D7794AB">
          <wp:simplePos x="0" y="0"/>
          <wp:positionH relativeFrom="column">
            <wp:posOffset>0</wp:posOffset>
          </wp:positionH>
          <wp:positionV relativeFrom="paragraph">
            <wp:posOffset>-85725</wp:posOffset>
          </wp:positionV>
          <wp:extent cx="2362200" cy="790575"/>
          <wp:effectExtent l="0" t="0" r="0" b="0"/>
          <wp:wrapTopAndBottom/>
          <wp:docPr id="1" name="Obrázek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1 kopie 1"/>
                  <pic:cNvPicPr>
                    <a:picLocks noChangeAspect="1" noChangeArrowheads="1"/>
                  </pic:cNvPicPr>
                </pic:nvPicPr>
                <pic:blipFill>
                  <a:blip r:embed="rId1"/>
                  <a:stretch>
                    <a:fillRect/>
                  </a:stretch>
                </pic:blipFill>
                <pic:spPr bwMode="auto">
                  <a:xfrm>
                    <a:off x="0" y="0"/>
                    <a:ext cx="2362200" cy="790575"/>
                  </a:xfrm>
                  <a:prstGeom prst="rect">
                    <a:avLst/>
                  </a:prstGeom>
                  <a:noFill/>
                </pic:spPr>
              </pic:pic>
            </a:graphicData>
          </a:graphic>
        </wp:anchor>
      </w:drawing>
    </w:r>
    <w:r>
      <w:rPr>
        <w:noProof/>
      </w:rPr>
      <w:drawing>
        <wp:anchor distT="0" distB="0" distL="0" distR="0" simplePos="0" relativeHeight="251660288" behindDoc="0" locked="0" layoutInCell="0" allowOverlap="1" wp14:anchorId="6F8F624C" wp14:editId="6ABAF950">
          <wp:simplePos x="0" y="0"/>
          <wp:positionH relativeFrom="column">
            <wp:posOffset>3609340</wp:posOffset>
          </wp:positionH>
          <wp:positionV relativeFrom="paragraph">
            <wp:posOffset>-76200</wp:posOffset>
          </wp:positionV>
          <wp:extent cx="2143125" cy="790575"/>
          <wp:effectExtent l="0" t="0" r="0" b="0"/>
          <wp:wrapSquare wrapText="largest"/>
          <wp:docPr id="2" name="Obrázek2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kopie 1 kopie 1"/>
                  <pic:cNvPicPr>
                    <a:picLocks noChangeAspect="1" noChangeArrowheads="1"/>
                  </pic:cNvPicPr>
                </pic:nvPicPr>
                <pic:blipFill>
                  <a:blip r:embed="rId2"/>
                  <a:stretch>
                    <a:fillRect/>
                  </a:stretch>
                </pic:blipFill>
                <pic:spPr bwMode="auto">
                  <a:xfrm>
                    <a:off x="0" y="0"/>
                    <a:ext cx="2143125" cy="790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D7"/>
    <w:multiLevelType w:val="multilevel"/>
    <w:tmpl w:val="B14AEC50"/>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27646075"/>
    <w:multiLevelType w:val="hybridMultilevel"/>
    <w:tmpl w:val="8CD07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3E6034"/>
    <w:multiLevelType w:val="multilevel"/>
    <w:tmpl w:val="EB747376"/>
    <w:lvl w:ilvl="0">
      <w:start w:val="9"/>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8.%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3D4D6F48"/>
    <w:multiLevelType w:val="hybridMultilevel"/>
    <w:tmpl w:val="BE78B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AF7C85"/>
    <w:multiLevelType w:val="multilevel"/>
    <w:tmpl w:val="B83A084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82D3588"/>
    <w:multiLevelType w:val="multilevel"/>
    <w:tmpl w:val="CCB4A2E6"/>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C90E1D"/>
    <w:multiLevelType w:val="multilevel"/>
    <w:tmpl w:val="515EE88A"/>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lowerRoman"/>
      <w:lvlText w:val="(%4)"/>
      <w:lvlJc w:val="left"/>
      <w:pPr>
        <w:tabs>
          <w:tab w:val="num" w:pos="0"/>
        </w:tabs>
        <w:ind w:left="3240" w:hanging="720"/>
      </w:pPr>
    </w:lvl>
    <w:lvl w:ilvl="4">
      <w:start w:val="1"/>
      <w:numFmt w:val="lowerLetter"/>
      <w:lvlText w:val="%5."/>
      <w:lvlJc w:val="left"/>
      <w:pPr>
        <w:tabs>
          <w:tab w:val="num" w:pos="0"/>
        </w:tabs>
        <w:ind w:left="3600" w:hanging="360"/>
      </w:pPr>
    </w:lvl>
    <w:lvl w:ilvl="5">
      <w:start w:val="13"/>
      <w:numFmt w:val="bullet"/>
      <w:lvlText w:val="-"/>
      <w:lvlJc w:val="left"/>
      <w:pPr>
        <w:tabs>
          <w:tab w:val="num" w:pos="0"/>
        </w:tabs>
        <w:ind w:left="4500" w:hanging="360"/>
      </w:pPr>
      <w:rPr>
        <w:rFonts w:ascii="Palatino Linotype" w:hAnsi="Palatino Linotype" w:cs="Palatino Linotype"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6DE586E"/>
    <w:multiLevelType w:val="multilevel"/>
    <w:tmpl w:val="766A592C"/>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5F7D0FC2"/>
    <w:multiLevelType w:val="multilevel"/>
    <w:tmpl w:val="894A4DAA"/>
    <w:lvl w:ilvl="0">
      <w:start w:val="7"/>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62B202F4"/>
    <w:multiLevelType w:val="multilevel"/>
    <w:tmpl w:val="076AC1C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6A3654D8"/>
    <w:multiLevelType w:val="hybridMultilevel"/>
    <w:tmpl w:val="123863B6"/>
    <w:lvl w:ilvl="0" w:tplc="D912283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ECD013E"/>
    <w:multiLevelType w:val="multilevel"/>
    <w:tmpl w:val="BD5605A4"/>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792" w:hanging="432"/>
      </w:pPr>
      <w:rPr>
        <w:i w:val="0"/>
        <w:sz w:val="20"/>
        <w:szCs w:val="20"/>
        <w:u w:val="none"/>
      </w:rPr>
    </w:lvl>
    <w:lvl w:ilvl="2">
      <w:start w:val="1"/>
      <w:numFmt w:val="bullet"/>
      <w:lvlText w:val=""/>
      <w:lvlJc w:val="left"/>
      <w:pPr>
        <w:tabs>
          <w:tab w:val="num" w:pos="0"/>
        </w:tabs>
        <w:ind w:left="1224" w:hanging="504"/>
      </w:pPr>
      <w:rPr>
        <w:rFonts w:ascii="Wingdings" w:hAnsi="Wingdings" w:cs="Wingdings" w:hint="default"/>
        <w:b w:val="0"/>
        <w:sz w:val="22"/>
        <w:szCs w:val="22"/>
      </w:rPr>
    </w:lvl>
    <w:lvl w:ilvl="3">
      <w:start w:val="1"/>
      <w:numFmt w:val="decimal"/>
      <w:lvlText w:val="%1.%2.%3.%4."/>
      <w:lvlJc w:val="left"/>
      <w:pPr>
        <w:tabs>
          <w:tab w:val="num" w:pos="0"/>
        </w:tabs>
        <w:ind w:left="1728" w:hanging="648"/>
      </w:pPr>
      <w:rPr>
        <w:sz w:val="22"/>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9021131"/>
    <w:multiLevelType w:val="multilevel"/>
    <w:tmpl w:val="873456BA"/>
    <w:lvl w:ilvl="0">
      <w:start w:val="13"/>
      <w:numFmt w:val="bullet"/>
      <w:lvlText w:val="-"/>
      <w:lvlJc w:val="left"/>
      <w:pPr>
        <w:tabs>
          <w:tab w:val="num" w:pos="0"/>
        </w:tabs>
        <w:ind w:left="1080" w:hanging="360"/>
      </w:pPr>
      <w:rPr>
        <w:rFonts w:ascii="Palatino Linotype" w:hAnsi="Palatino Linotype" w:cs="Palatino Linotype"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7A124ABE"/>
    <w:multiLevelType w:val="hybridMultilevel"/>
    <w:tmpl w:val="1A7C8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C7F687C"/>
    <w:multiLevelType w:val="multilevel"/>
    <w:tmpl w:val="71A08460"/>
    <w:lvl w:ilvl="0">
      <w:start w:val="12"/>
      <w:numFmt w:val="decimal"/>
      <w:lvlText w:val="%1"/>
      <w:lvlJc w:val="left"/>
      <w:pPr>
        <w:tabs>
          <w:tab w:val="num" w:pos="0"/>
        </w:tabs>
        <w:ind w:left="600" w:hanging="600"/>
      </w:pPr>
    </w:lvl>
    <w:lvl w:ilvl="1">
      <w:start w:val="2"/>
      <w:numFmt w:val="decimal"/>
      <w:lvlText w:val="%1.%2"/>
      <w:lvlJc w:val="left"/>
      <w:pPr>
        <w:tabs>
          <w:tab w:val="num" w:pos="0"/>
        </w:tabs>
        <w:ind w:left="741" w:hanging="600"/>
      </w:pPr>
    </w:lvl>
    <w:lvl w:ilvl="2">
      <w:start w:val="1"/>
      <w:numFmt w:val="decimal"/>
      <w:lvlText w:val="1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1926" w:hanging="108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568" w:hanging="1440"/>
      </w:pPr>
    </w:lvl>
  </w:abstractNum>
  <w:num w:numId="1" w16cid:durableId="1260601880">
    <w:abstractNumId w:val="11"/>
  </w:num>
  <w:num w:numId="2" w16cid:durableId="50009765">
    <w:abstractNumId w:val="9"/>
  </w:num>
  <w:num w:numId="3" w16cid:durableId="1741171360">
    <w:abstractNumId w:val="4"/>
  </w:num>
  <w:num w:numId="4" w16cid:durableId="1890066333">
    <w:abstractNumId w:val="8"/>
  </w:num>
  <w:num w:numId="5" w16cid:durableId="714935911">
    <w:abstractNumId w:val="14"/>
  </w:num>
  <w:num w:numId="6" w16cid:durableId="2141679896">
    <w:abstractNumId w:val="7"/>
  </w:num>
  <w:num w:numId="7" w16cid:durableId="1439522068">
    <w:abstractNumId w:val="6"/>
  </w:num>
  <w:num w:numId="8" w16cid:durableId="969166703">
    <w:abstractNumId w:val="2"/>
  </w:num>
  <w:num w:numId="9" w16cid:durableId="819004253">
    <w:abstractNumId w:val="0"/>
  </w:num>
  <w:num w:numId="10" w16cid:durableId="1719206145">
    <w:abstractNumId w:val="5"/>
  </w:num>
  <w:num w:numId="11" w16cid:durableId="571890958">
    <w:abstractNumId w:val="12"/>
  </w:num>
  <w:num w:numId="12" w16cid:durableId="572853739">
    <w:abstractNumId w:val="5"/>
    <w:lvlOverride w:ilvl="0">
      <w:lvl w:ilvl="0">
        <w:start w:val="1"/>
        <w:numFmt w:val="decimal"/>
        <w:lvlText w:val="%1."/>
        <w:lvlJc w:val="left"/>
        <w:pPr>
          <w:tabs>
            <w:tab w:val="num" w:pos="0"/>
          </w:tabs>
          <w:ind w:left="360" w:hanging="360"/>
        </w:pPr>
        <w:rPr>
          <w:b/>
          <w:i w:val="0"/>
        </w:rPr>
      </w:lvl>
    </w:lvlOverride>
  </w:num>
  <w:num w:numId="13" w16cid:durableId="637035162">
    <w:abstractNumId w:val="10"/>
  </w:num>
  <w:num w:numId="14" w16cid:durableId="1520967113">
    <w:abstractNumId w:val="3"/>
  </w:num>
  <w:num w:numId="15" w16cid:durableId="681853882">
    <w:abstractNumId w:val="1"/>
  </w:num>
  <w:num w:numId="16" w16cid:durableId="1981572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A1"/>
    <w:rsid w:val="002167CE"/>
    <w:rsid w:val="00406E2C"/>
    <w:rsid w:val="007C07A1"/>
    <w:rsid w:val="00871F5B"/>
    <w:rsid w:val="009D6B7D"/>
    <w:rsid w:val="00CD58F2"/>
    <w:rsid w:val="00CE229A"/>
    <w:rsid w:val="00E63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DE87"/>
  <w15:chartTrackingRefBased/>
  <w15:docId w15:val="{FF6BA25D-EA7F-4D58-A552-777E5855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58F2"/>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7C0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C0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C07A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C07A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C07A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C07A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07A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07A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07A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7C07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C07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qFormat/>
    <w:rsid w:val="007C07A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C07A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C07A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C07A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07A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07A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07A1"/>
    <w:rPr>
      <w:rFonts w:eastAsiaTheme="majorEastAsia" w:cstheme="majorBidi"/>
      <w:color w:val="272727" w:themeColor="text1" w:themeTint="D8"/>
    </w:rPr>
  </w:style>
  <w:style w:type="paragraph" w:styleId="Nzev">
    <w:name w:val="Title"/>
    <w:basedOn w:val="Normln"/>
    <w:next w:val="Normln"/>
    <w:link w:val="NzevChar"/>
    <w:uiPriority w:val="10"/>
    <w:qFormat/>
    <w:rsid w:val="007C07A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07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07A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07A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07A1"/>
    <w:pPr>
      <w:spacing w:before="160"/>
      <w:jc w:val="center"/>
    </w:pPr>
    <w:rPr>
      <w:i/>
      <w:iCs/>
      <w:color w:val="404040" w:themeColor="text1" w:themeTint="BF"/>
    </w:rPr>
  </w:style>
  <w:style w:type="character" w:customStyle="1" w:styleId="CittChar">
    <w:name w:val="Citát Char"/>
    <w:basedOn w:val="Standardnpsmoodstavce"/>
    <w:link w:val="Citt"/>
    <w:uiPriority w:val="29"/>
    <w:rsid w:val="007C07A1"/>
    <w:rPr>
      <w:i/>
      <w:iCs/>
      <w:color w:val="404040" w:themeColor="text1" w:themeTint="BF"/>
    </w:rPr>
  </w:style>
  <w:style w:type="paragraph" w:styleId="Odstavecseseznamem">
    <w:name w:val="List Paragraph"/>
    <w:basedOn w:val="Normln"/>
    <w:link w:val="OdstavecseseznamemChar"/>
    <w:uiPriority w:val="34"/>
    <w:qFormat/>
    <w:rsid w:val="007C07A1"/>
    <w:pPr>
      <w:ind w:left="720"/>
      <w:contextualSpacing/>
    </w:pPr>
  </w:style>
  <w:style w:type="character" w:styleId="Zdraznnintenzivn">
    <w:name w:val="Intense Emphasis"/>
    <w:basedOn w:val="Standardnpsmoodstavce"/>
    <w:uiPriority w:val="21"/>
    <w:qFormat/>
    <w:rsid w:val="007C07A1"/>
    <w:rPr>
      <w:i/>
      <w:iCs/>
      <w:color w:val="0F4761" w:themeColor="accent1" w:themeShade="BF"/>
    </w:rPr>
  </w:style>
  <w:style w:type="paragraph" w:styleId="Vrazncitt">
    <w:name w:val="Intense Quote"/>
    <w:basedOn w:val="Normln"/>
    <w:next w:val="Normln"/>
    <w:link w:val="VrazncittChar"/>
    <w:uiPriority w:val="30"/>
    <w:qFormat/>
    <w:rsid w:val="007C0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C07A1"/>
    <w:rPr>
      <w:i/>
      <w:iCs/>
      <w:color w:val="0F4761" w:themeColor="accent1" w:themeShade="BF"/>
    </w:rPr>
  </w:style>
  <w:style w:type="character" w:styleId="Odkazintenzivn">
    <w:name w:val="Intense Reference"/>
    <w:basedOn w:val="Standardnpsmoodstavce"/>
    <w:uiPriority w:val="32"/>
    <w:qFormat/>
    <w:rsid w:val="007C07A1"/>
    <w:rPr>
      <w:b/>
      <w:bCs/>
      <w:smallCaps/>
      <w:color w:val="0F4761" w:themeColor="accent1" w:themeShade="BF"/>
      <w:spacing w:val="5"/>
    </w:rPr>
  </w:style>
  <w:style w:type="character" w:customStyle="1" w:styleId="ZhlavChar">
    <w:name w:val="Záhlaví Char"/>
    <w:basedOn w:val="Standardnpsmoodstavce"/>
    <w:link w:val="Zhlav"/>
    <w:uiPriority w:val="99"/>
    <w:qFormat/>
    <w:rsid w:val="00CD58F2"/>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BodyTextIndented"/>
    <w:uiPriority w:val="99"/>
    <w:qFormat/>
    <w:rsid w:val="00CD58F2"/>
    <w:rPr>
      <w:rFonts w:ascii="Times New Roman" w:eastAsia="Times New Roman" w:hAnsi="Times New Roman" w:cs="Times New Roman"/>
      <w:sz w:val="24"/>
      <w:szCs w:val="24"/>
      <w:lang w:val="en-GB" w:eastAsia="en-GB"/>
    </w:rPr>
  </w:style>
  <w:style w:type="character" w:customStyle="1" w:styleId="normaltextrun">
    <w:name w:val="normaltextrun"/>
    <w:basedOn w:val="Standardnpsmoodstavce"/>
    <w:qFormat/>
    <w:rsid w:val="00CD58F2"/>
  </w:style>
  <w:style w:type="character" w:customStyle="1" w:styleId="OdstavecseseznamemChar">
    <w:name w:val="Odstavec se seznamem Char"/>
    <w:link w:val="Odstavecseseznamem"/>
    <w:uiPriority w:val="34"/>
    <w:qFormat/>
    <w:locked/>
    <w:rsid w:val="00CD58F2"/>
  </w:style>
  <w:style w:type="character" w:customStyle="1" w:styleId="Zkladntextodsazen3Char">
    <w:name w:val="Základní text odsazený 3 Char"/>
    <w:basedOn w:val="Standardnpsmoodstavce"/>
    <w:link w:val="Zkladntextodsazen3"/>
    <w:uiPriority w:val="99"/>
    <w:semiHidden/>
    <w:qFormat/>
    <w:rsid w:val="00CD58F2"/>
    <w:rPr>
      <w:rFonts w:ascii="Calibri" w:eastAsia="Calibri" w:hAnsi="Calibri" w:cs="Times New Roman"/>
      <w:sz w:val="16"/>
      <w:szCs w:val="16"/>
      <w:lang w:val="x-none"/>
    </w:rPr>
  </w:style>
  <w:style w:type="paragraph" w:styleId="Zhlav">
    <w:name w:val="header"/>
    <w:basedOn w:val="Normln"/>
    <w:link w:val="ZhlavChar"/>
    <w:uiPriority w:val="99"/>
    <w:unhideWhenUsed/>
    <w:rsid w:val="00CD58F2"/>
    <w:pPr>
      <w:tabs>
        <w:tab w:val="center" w:pos="4536"/>
        <w:tab w:val="right" w:pos="9072"/>
      </w:tabs>
    </w:pPr>
    <w:rPr>
      <w:kern w:val="2"/>
      <w:lang w:val="x-none" w:eastAsia="x-none"/>
      <w14:ligatures w14:val="standardContextual"/>
    </w:rPr>
  </w:style>
  <w:style w:type="character" w:customStyle="1" w:styleId="ZhlavChar1">
    <w:name w:val="Záhlaví Char1"/>
    <w:basedOn w:val="Standardnpsmoodstavce"/>
    <w:uiPriority w:val="99"/>
    <w:semiHidden/>
    <w:rsid w:val="00CD58F2"/>
    <w:rPr>
      <w:rFonts w:ascii="Times New Roman" w:eastAsia="Times New Roman" w:hAnsi="Times New Roman" w:cs="Times New Roman"/>
      <w:kern w:val="0"/>
      <w:sz w:val="20"/>
      <w:szCs w:val="20"/>
      <w:lang w:eastAsia="cs-CZ"/>
      <w14:ligatures w14:val="none"/>
    </w:rPr>
  </w:style>
  <w:style w:type="paragraph" w:customStyle="1" w:styleId="BodyTextIndented">
    <w:name w:val="Body Text;Indented"/>
    <w:basedOn w:val="Normln"/>
    <w:link w:val="ZkladntextodsazenChar"/>
    <w:uiPriority w:val="99"/>
    <w:unhideWhenUsed/>
    <w:qFormat/>
    <w:rsid w:val="00CD58F2"/>
    <w:pPr>
      <w:spacing w:after="120"/>
      <w:ind w:left="283"/>
    </w:pPr>
    <w:rPr>
      <w:kern w:val="2"/>
      <w:sz w:val="24"/>
      <w:szCs w:val="24"/>
      <w:lang w:val="en-GB" w:eastAsia="en-GB"/>
      <w14:ligatures w14:val="standardContextual"/>
    </w:rPr>
  </w:style>
  <w:style w:type="paragraph" w:customStyle="1" w:styleId="Smlouva-slo">
    <w:name w:val="Smlouva-číslo"/>
    <w:basedOn w:val="Normln"/>
    <w:qFormat/>
    <w:rsid w:val="00CD58F2"/>
    <w:pPr>
      <w:widowControl w:val="0"/>
      <w:spacing w:before="120" w:line="240" w:lineRule="atLeast"/>
      <w:jc w:val="both"/>
    </w:pPr>
    <w:rPr>
      <w:sz w:val="24"/>
    </w:rPr>
  </w:style>
  <w:style w:type="paragraph" w:styleId="Zkladntextodsazen3">
    <w:name w:val="Body Text Indent 3"/>
    <w:basedOn w:val="Normln"/>
    <w:link w:val="Zkladntextodsazen3Char"/>
    <w:uiPriority w:val="99"/>
    <w:semiHidden/>
    <w:unhideWhenUsed/>
    <w:qFormat/>
    <w:rsid w:val="00CD58F2"/>
    <w:pPr>
      <w:spacing w:after="120" w:line="276" w:lineRule="auto"/>
      <w:ind w:left="283"/>
    </w:pPr>
    <w:rPr>
      <w:rFonts w:ascii="Calibri" w:eastAsia="Calibri" w:hAnsi="Calibri"/>
      <w:kern w:val="2"/>
      <w:sz w:val="16"/>
      <w:szCs w:val="16"/>
      <w:lang w:val="x-none" w:eastAsia="en-US"/>
      <w14:ligatures w14:val="standardContextual"/>
    </w:rPr>
  </w:style>
  <w:style w:type="character" w:customStyle="1" w:styleId="Zkladntextodsazen3Char1">
    <w:name w:val="Základní text odsazený 3 Char1"/>
    <w:basedOn w:val="Standardnpsmoodstavce"/>
    <w:uiPriority w:val="99"/>
    <w:semiHidden/>
    <w:rsid w:val="00CD58F2"/>
    <w:rPr>
      <w:rFonts w:ascii="Times New Roman" w:eastAsia="Times New Roman" w:hAnsi="Times New Roman" w:cs="Times New Roman"/>
      <w:kern w:val="0"/>
      <w:sz w:val="16"/>
      <w:szCs w:val="16"/>
      <w:lang w:eastAsia="cs-CZ"/>
      <w14:ligatures w14:val="none"/>
    </w:rPr>
  </w:style>
  <w:style w:type="paragraph" w:styleId="Bezmezer">
    <w:name w:val="No Spacing"/>
    <w:uiPriority w:val="1"/>
    <w:qFormat/>
    <w:rsid w:val="00CD58F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7088</Words>
  <Characters>41824</Characters>
  <Application>Microsoft Office Word</Application>
  <DocSecurity>0</DocSecurity>
  <Lines>348</Lines>
  <Paragraphs>97</Paragraphs>
  <ScaleCrop>false</ScaleCrop>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Blahová Jana</dc:creator>
  <cp:keywords/>
  <dc:description/>
  <cp:lastModifiedBy>Blahová Jana</cp:lastModifiedBy>
  <cp:revision>5</cp:revision>
  <dcterms:created xsi:type="dcterms:W3CDTF">2025-08-20T09:11:00Z</dcterms:created>
  <dcterms:modified xsi:type="dcterms:W3CDTF">2025-08-20T11:25:00Z</dcterms:modified>
</cp:coreProperties>
</file>