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836912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B6EDF07" w:rsidR="004B6664" w:rsidRPr="00836912" w:rsidRDefault="004B6664" w:rsidP="00836912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OBJEDNÁVKOVÝ FORMULÁŘ</w:t>
            </w:r>
            <w:r w:rsidR="00836912"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/ ORDER FORM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676F18E2" w:rsidR="004B6664" w:rsidRPr="00836912" w:rsidRDefault="004B6664" w:rsidP="00836912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73D5AF2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0D2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BD23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2322C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BC576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178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6196E3D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C57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  <w:r w:rsidR="00BD23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.08.2025</w:t>
            </w:r>
          </w:p>
        </w:tc>
      </w:tr>
      <w:tr w:rsidR="004B6664" w:rsidRPr="004B6664" w14:paraId="36B127FB" w14:textId="77777777" w:rsidTr="00BA61F3">
        <w:trPr>
          <w:trHeight w:hRule="exact" w:val="11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4670" w14:textId="54FA850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BA61F3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D9AB2D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</w:t>
            </w:r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/</w:t>
            </w:r>
            <w:proofErr w:type="spellStart"/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Supplier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2CC316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</w:t>
            </w:r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/</w:t>
            </w:r>
            <w:proofErr w:type="spellStart"/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Client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4B6664" w:rsidRPr="004B6664" w14:paraId="1CE30A22" w14:textId="77777777" w:rsidTr="00A00828">
        <w:trPr>
          <w:trHeight w:val="20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201C19E4" w:rsidR="004B6664" w:rsidRPr="004B6664" w:rsidRDefault="006B5602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B560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B&amp;B </w:t>
            </w:r>
            <w:proofErr w:type="spellStart"/>
            <w:r w:rsidRPr="006B560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Hotels</w:t>
            </w:r>
            <w:proofErr w:type="spellEnd"/>
            <w:r w:rsidRPr="006B560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B560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Austria</w:t>
            </w:r>
            <w:proofErr w:type="spellEnd"/>
            <w:r w:rsidRPr="006B560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B560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GmbH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2AE84A67" w:rsidR="004B6664" w:rsidRPr="004B6664" w:rsidRDefault="00975AF7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CCFA,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Am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Heumarkt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05A04A60" w:rsidR="004B6664" w:rsidRPr="004B6664" w:rsidRDefault="006B5602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56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1030 </w:t>
            </w:r>
            <w:proofErr w:type="spellStart"/>
            <w:r w:rsidRPr="006B56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Wien</w:t>
            </w:r>
            <w:proofErr w:type="spellEnd"/>
            <w:r w:rsidRPr="006B56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Austria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25263EC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r w:rsidR="00836912"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– město</w:t>
            </w:r>
          </w:p>
        </w:tc>
      </w:tr>
      <w:tr w:rsidR="004B6664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0854C166" w:rsidR="004B6664" w:rsidRPr="004B6664" w:rsidRDefault="006B560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FN 461990y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2C7B1155" w:rsidR="004B6664" w:rsidRPr="004B6664" w:rsidRDefault="006B560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ATU71730157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FACD57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CA58C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6C97E4EC" w:rsidR="004B6664" w:rsidRPr="004B6664" w:rsidRDefault="006B560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IBAN: AT802011182935878902,‎ BIC: GIBAATWWXXX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6161C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1A3626A0" w:rsidR="004B6664" w:rsidRPr="004B6664" w:rsidRDefault="004B6664" w:rsidP="009474A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6161C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610B78EE" w:rsidR="004B6664" w:rsidRPr="006B5602" w:rsidRDefault="006B560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B&amp;B Hotel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Wien-Hbf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505C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E9139C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Předmět objednávky</w:t>
            </w:r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/</w:t>
            </w:r>
            <w:r w:rsidR="00836912" w:rsidRP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Order </w:t>
            </w:r>
            <w:proofErr w:type="spellStart"/>
            <w:r w:rsidR="00836912" w:rsidRP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specification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E9593B" w14:textId="2B68791C" w:rsidR="00492066" w:rsidRDefault="006B5602" w:rsidP="00836912">
            <w:pPr>
              <w:pStyle w:val="Vchoz"/>
              <w:spacing w:before="12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On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behalf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Brno City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Chief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Architect's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Office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we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ordering</w:t>
            </w:r>
            <w:proofErr w:type="spellEnd"/>
            <w:r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accomodation</w:t>
            </w:r>
            <w:proofErr w:type="spellEnd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including</w:t>
            </w:r>
            <w:proofErr w:type="spellEnd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breakfast</w:t>
            </w:r>
            <w:proofErr w:type="spellEnd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date</w:t>
            </w:r>
            <w:proofErr w:type="spellEnd"/>
            <w:r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D7330"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22.10.-24.10.2025 in B&amp;B Hotel </w:t>
            </w:r>
            <w:proofErr w:type="spellStart"/>
            <w:r w:rsidR="004D7330"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Wien-Hbf</w:t>
            </w:r>
            <w:proofErr w:type="spellEnd"/>
            <w:r w:rsidR="004D7330" w:rsidRPr="008369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6161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161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="004D733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Specification</w:t>
            </w:r>
            <w:proofErr w:type="spellEnd"/>
            <w:r w:rsidR="004D733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22.10.-24.10.2025 (2 </w:t>
            </w:r>
            <w:proofErr w:type="spellStart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nights</w:t>
            </w:r>
            <w:proofErr w:type="spellEnd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), 41 person, </w:t>
            </w:r>
            <w:proofErr w:type="spellStart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ideally</w:t>
            </w:r>
            <w:proofErr w:type="spellEnd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single </w:t>
            </w:r>
            <w:proofErr w:type="spellStart"/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beds</w:t>
            </w:r>
            <w:proofErr w:type="spellEnd"/>
          </w:p>
          <w:p w14:paraId="7E7C5307" w14:textId="150F0891" w:rsidR="004D7330" w:rsidRDefault="004D7330" w:rsidP="004D7330">
            <w:pPr>
              <w:pStyle w:val="Vchoz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1*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twin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bed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Breakfast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€ 99 per night and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</w:t>
            </w:r>
            <w:proofErr w:type="spellEnd"/>
          </w:p>
          <w:p w14:paraId="0213A464" w14:textId="202D7A25" w:rsidR="004D7330" w:rsidRDefault="004D7330" w:rsidP="004D7330">
            <w:pPr>
              <w:pStyle w:val="Vchoz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13* triple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Breakfast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€ 141 per night and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</w:t>
            </w:r>
            <w:proofErr w:type="spellEnd"/>
          </w:p>
          <w:p w14:paraId="78DFD4E1" w14:textId="77777777" w:rsidR="00FD5408" w:rsidRDefault="00FD5408" w:rsidP="00FD5408">
            <w:pPr>
              <w:pStyle w:val="Vchoz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9674EA2" w14:textId="51290C6D" w:rsidR="004D7330" w:rsidRPr="004D7330" w:rsidRDefault="004D7330" w:rsidP="004D7330">
            <w:pPr>
              <w:pStyle w:val="Vchoz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Price</w:t>
            </w:r>
            <w:proofErr w:type="spellEnd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accomodation</w:t>
            </w:r>
            <w:proofErr w:type="spellEnd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including</w:t>
            </w:r>
            <w:proofErr w:type="spellEnd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breakfast</w:t>
            </w:r>
            <w:proofErr w:type="spellEnd"/>
            <w:r w:rsidR="00EF175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and VAT</w:t>
            </w:r>
            <w:r w:rsidRPr="004D73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:</w:t>
            </w:r>
            <w:r w:rsidRPr="004D733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D733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€ 3.864</w:t>
            </w:r>
            <w:r w:rsidR="00EF17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75A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="00EF17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local</w:t>
            </w:r>
            <w:proofErr w:type="spellEnd"/>
            <w:r w:rsidR="00EF17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tax </w:t>
            </w:r>
            <w:r w:rsidR="00975A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68,75</w:t>
            </w:r>
            <w:r w:rsidR="00975AF7" w:rsidRPr="004D733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€</w:t>
            </w:r>
            <w:r w:rsidR="00975A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975A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included</w:t>
            </w:r>
            <w:proofErr w:type="spellEnd"/>
            <w:r w:rsidR="00975A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  <w:p w14:paraId="2F27C6C2" w14:textId="370CE6C6" w:rsidR="00EF175D" w:rsidRDefault="004D7330" w:rsidP="00EF175D">
            <w:pPr>
              <w:pStyle w:val="Vchoz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Arrival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departure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Check</w:t>
            </w:r>
            <w:proofErr w:type="spellEnd"/>
            <w:r w:rsidRP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-in </w:t>
            </w:r>
            <w:proofErr w:type="spellStart"/>
            <w:r w:rsidRP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3 </w:t>
            </w:r>
            <w:proofErr w:type="spellStart"/>
            <w:r w:rsidRP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p.m</w:t>
            </w:r>
            <w:proofErr w:type="spellEnd"/>
            <w:r w:rsidRP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Check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-out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until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12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noon</w:t>
            </w:r>
            <w:proofErr w:type="spellEnd"/>
            <w:r w:rsid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="00741E47" w:rsidRP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Modification</w:t>
            </w:r>
            <w:proofErr w:type="spellEnd"/>
            <w:r w:rsidR="00741E47" w:rsidRP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="00741E47" w:rsidRP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cancellation</w:t>
            </w:r>
            <w:proofErr w:type="spellEnd"/>
            <w:r w:rsidR="00741E47" w:rsidRP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41E47" w:rsidRP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="00741E47" w:rsidRP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41E47" w:rsidRP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reservation</w:t>
            </w:r>
            <w:proofErr w:type="spellEnd"/>
            <w:r w:rsidR="00741E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21662875" w14:textId="77777777" w:rsidR="00EF175D" w:rsidRDefault="00741E47" w:rsidP="00EF175D">
            <w:pPr>
              <w:pStyle w:val="Vchoz"/>
              <w:numPr>
                <w:ilvl w:val="0"/>
                <w:numId w:val="10"/>
              </w:numPr>
              <w:tabs>
                <w:tab w:val="clear" w:pos="720"/>
                <w:tab w:val="left" w:pos="708"/>
              </w:tabs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Fewer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than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40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rooms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-&gt; free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charge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until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12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noon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4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weeks</w:t>
            </w:r>
            <w:proofErr w:type="spellEnd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prior to </w:t>
            </w:r>
            <w:proofErr w:type="spellStart"/>
            <w:r w:rsidRPr="00741E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arrival</w:t>
            </w:r>
            <w:proofErr w:type="spellEnd"/>
          </w:p>
          <w:p w14:paraId="08ABA548" w14:textId="7167C66D" w:rsidR="00EF175D" w:rsidRDefault="00EF175D" w:rsidP="00EF175D">
            <w:pPr>
              <w:pStyle w:val="Vchoz"/>
              <w:numPr>
                <w:ilvl w:val="0"/>
                <w:numId w:val="10"/>
              </w:numPr>
              <w:tabs>
                <w:tab w:val="clear" w:pos="720"/>
                <w:tab w:val="left" w:pos="708"/>
              </w:tabs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Regardless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number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rooms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reserved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travel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group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can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cancel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free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charge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 maximum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2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rooms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until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3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days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before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day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arrival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  <w:p w14:paraId="0EF9EAE3" w14:textId="461EC26D" w:rsidR="007F1DBE" w:rsidRPr="00EF175D" w:rsidRDefault="00EF175D" w:rsidP="00EF175D">
            <w:pPr>
              <w:pStyle w:val="Vchoz"/>
              <w:numPr>
                <w:ilvl w:val="0"/>
                <w:numId w:val="10"/>
              </w:numPr>
              <w:tabs>
                <w:tab w:val="clear" w:pos="720"/>
                <w:tab w:val="left" w:pos="708"/>
              </w:tabs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event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late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cancellations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no-show,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accommodation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costs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cancelled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unused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rooms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have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paid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cancellation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/ no-show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fee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entire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booking</w:t>
            </w:r>
            <w:proofErr w:type="spellEnd"/>
            <w:r w:rsidRP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period.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1F9578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Termín dodání</w:t>
            </w:r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/</w:t>
            </w:r>
            <w:proofErr w:type="spellStart"/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Delivery</w:t>
            </w:r>
            <w:proofErr w:type="spellEnd"/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3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date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  <w:r w:rsidR="009155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D73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22.10.-24.10.2025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3A21CDF1" w:rsidR="004B6664" w:rsidRPr="004B6664" w:rsidRDefault="00836912" w:rsidP="006B09B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Místo plnění /</w:t>
            </w:r>
            <w:r w:rsid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Place </w:t>
            </w:r>
            <w:proofErr w:type="spellStart"/>
            <w:r w:rsid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supply</w:t>
            </w:r>
            <w:proofErr w:type="spellEnd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4D7330"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B&amp;B Hotel </w:t>
            </w:r>
            <w:proofErr w:type="spellStart"/>
            <w:r w:rsidR="004D7330" w:rsidRPr="006B56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Wien-Hbf</w:t>
            </w:r>
            <w:proofErr w:type="spellEnd"/>
            <w:r w:rsid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Bloch</w:t>
            </w:r>
            <w:proofErr w:type="spellEnd"/>
            <w:r w:rsid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-Bauer-</w:t>
            </w:r>
            <w:proofErr w:type="spellStart"/>
            <w:r w:rsid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Promenade</w:t>
            </w:r>
            <w:proofErr w:type="spellEnd"/>
            <w:r w:rsid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5, 1100 </w:t>
            </w:r>
            <w:proofErr w:type="spellStart"/>
            <w:r w:rsidR="00EF175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Wien</w:t>
            </w:r>
            <w:proofErr w:type="spellEnd"/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7AC988A8" w:rsidR="004B6664" w:rsidRPr="004B6664" w:rsidRDefault="00EF175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Price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without</w:t>
            </w:r>
            <w:proofErr w:type="spellEnd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975A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FA3C0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VAT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  </w:t>
            </w:r>
            <w:proofErr w:type="gramEnd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€ </w:t>
            </w:r>
            <w:r w:rsidR="00975A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3.512,73</w:t>
            </w:r>
            <w:r w:rsidR="007E19DF" w:rsidRPr="007E19D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C185C" w:rsidRPr="004B6664" w14:paraId="2640561C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3004" w14:textId="77777777" w:rsidR="006C185C" w:rsidRPr="004B6664" w:rsidRDefault="006C185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E88B" w14:textId="77777777" w:rsidR="006C185C" w:rsidRPr="004B6664" w:rsidRDefault="006C185C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BCDE" w14:textId="104062F6" w:rsidR="006C185C" w:rsidRPr="004B6664" w:rsidRDefault="00EF175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975A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VAT:</w:t>
            </w:r>
            <w:r w:rsidR="005974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proofErr w:type="gramEnd"/>
            <w:r w:rsidR="005974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</w:t>
            </w:r>
            <w:r w:rsidR="00BA61F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D75F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75A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€ </w:t>
            </w:r>
            <w:r w:rsidR="00975A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351,27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3A7CEA8D" w:rsidR="004B6664" w:rsidRPr="004B6664" w:rsidRDefault="00836912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Total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price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€ </w:t>
            </w:r>
            <w:r w:rsidR="00975A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3.864,00</w:t>
            </w:r>
          </w:p>
        </w:tc>
      </w:tr>
      <w:tr w:rsidR="007F1DBE" w:rsidRPr="004B6664" w14:paraId="1BDC1CE3" w14:textId="77777777" w:rsidTr="00D73E9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3571" w14:textId="77777777" w:rsidR="007F1DBE" w:rsidRPr="004B6664" w:rsidRDefault="007F1DBE" w:rsidP="00D73E9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2DF68" w14:textId="77777777" w:rsidR="007F1DBE" w:rsidRPr="004B6664" w:rsidRDefault="007F1DBE" w:rsidP="00D73E9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6AD3" w14:textId="77777777" w:rsidR="007F1DBE" w:rsidRDefault="007F1DBE" w:rsidP="00D73E9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145170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9812C42" w:rsidR="004B6664" w:rsidRPr="004B6664" w:rsidRDefault="002322C0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6025958" w:rsidR="004B6664" w:rsidRPr="004B6664" w:rsidRDefault="0059749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BC57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 w:rsidR="006161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BC57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1039B936" w:rsidR="004B6664" w:rsidRPr="00BE7EE1" w:rsidRDefault="00505CC0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505CC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e-mail:</w:t>
            </w:r>
            <w:r w:rsidRPr="00505CC0">
              <w:rPr>
                <w:rStyle w:val="Hypertextovodkaz"/>
                <w:rFonts w:ascii="Tahoma" w:eastAsia="Times New Roman" w:hAnsi="Tahoma" w:cs="Tahoma"/>
                <w:color w:val="auto"/>
                <w:sz w:val="20"/>
                <w:szCs w:val="20"/>
                <w:u w:val="none"/>
                <w:lang w:eastAsia="cs-CZ"/>
              </w:rPr>
              <w:t xml:space="preserve"> 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0B122F1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505C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B6664" w:rsidRPr="004B6664" w14:paraId="6A19CB2A" w14:textId="77777777" w:rsidTr="00145170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14F5896B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03620" w:rsidRPr="004B6664" w14:paraId="534E7C81" w14:textId="77777777" w:rsidTr="00BC5766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A83A" w14:textId="77777777" w:rsidR="00803620" w:rsidRDefault="00803620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060A50F3" w14:textId="77777777" w:rsidTr="00BC5766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0332D1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Přijetí objednávky dodavatelem dne</w:t>
            </w:r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/ </w:t>
            </w:r>
            <w:proofErr w:type="spellStart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Acceptance</w:t>
            </w:r>
            <w:proofErr w:type="spellEnd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order</w:t>
            </w:r>
            <w:proofErr w:type="spellEnd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by </w:t>
            </w:r>
            <w:proofErr w:type="spellStart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="002D1A02" w:rsidRPr="002D1A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supplier on:</w:t>
            </w:r>
          </w:p>
        </w:tc>
      </w:tr>
      <w:tr w:rsidR="00975AF7" w:rsidRPr="004B6664" w14:paraId="0A30FE36" w14:textId="77777777" w:rsidTr="00BC5766">
        <w:trPr>
          <w:trHeight w:val="260"/>
        </w:trPr>
        <w:tc>
          <w:tcPr>
            <w:tcW w:w="10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0155" w14:textId="77777777" w:rsidR="00975AF7" w:rsidRDefault="00975AF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A00828" w:rsidRPr="004B6664" w14:paraId="335CF169" w14:textId="77777777" w:rsidTr="00BC5766">
        <w:trPr>
          <w:trHeight w:val="260"/>
        </w:trPr>
        <w:tc>
          <w:tcPr>
            <w:tcW w:w="10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5AE6" w14:textId="0369FE28" w:rsidR="00A00828" w:rsidRDefault="00505CC0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19.8.2025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60654" w:rsidRPr="004B6664" w14:paraId="4FEE4881" w14:textId="77777777" w:rsidTr="00BC5766">
        <w:trPr>
          <w:trHeight w:val="260"/>
        </w:trPr>
        <w:tc>
          <w:tcPr>
            <w:tcW w:w="10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2D8C8E92" w:rsidR="00460654" w:rsidRPr="00BC5766" w:rsidRDefault="00460654" w:rsidP="00111584"/>
        </w:tc>
      </w:tr>
    </w:tbl>
    <w:p w14:paraId="14BBDA99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5E8A75CB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2480B68B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6F7A1DB5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3B78357B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13D660B1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472AE9C3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1C8C8E80" w14:textId="77777777" w:rsidR="00BC5766" w:rsidRDefault="00BC5766" w:rsidP="00460654">
      <w:pPr>
        <w:rPr>
          <w:rFonts w:ascii="Tahoma" w:hAnsi="Tahoma" w:cs="Tahoma"/>
          <w:sz w:val="20"/>
          <w:szCs w:val="20"/>
        </w:rPr>
      </w:pPr>
    </w:p>
    <w:p w14:paraId="2C61ACAC" w14:textId="6F8C974E" w:rsidR="00460654" w:rsidRDefault="00BC5766" w:rsidP="0046065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</w:r>
      <w:r w:rsidR="00505CC0">
        <w:rPr>
          <w:rFonts w:ascii="Tahoma" w:hAnsi="Tahoma" w:cs="Tahoma"/>
          <w:sz w:val="20"/>
          <w:szCs w:val="20"/>
        </w:rPr>
        <w:br/>
      </w:r>
    </w:p>
    <w:p w14:paraId="28E82C0E" w14:textId="07E4CCAC" w:rsidR="00505CC0" w:rsidRPr="00505CC0" w:rsidRDefault="00505CC0" w:rsidP="00460654">
      <w:pPr>
        <w:rPr>
          <w:rFonts w:ascii="Tahoma" w:hAnsi="Tahoma" w:cs="Tahoma"/>
          <w:sz w:val="20"/>
          <w:szCs w:val="20"/>
        </w:rPr>
      </w:pPr>
      <w:proofErr w:type="spellStart"/>
      <w:r w:rsidRPr="00505CC0">
        <w:rPr>
          <w:rFonts w:ascii="Tahoma" w:hAnsi="Tahoma" w:cs="Tahoma"/>
          <w:sz w:val="20"/>
          <w:szCs w:val="20"/>
        </w:rPr>
        <w:t>Both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contracting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parties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are </w:t>
      </w:r>
      <w:proofErr w:type="spellStart"/>
      <w:r w:rsidRPr="00505CC0">
        <w:rPr>
          <w:rFonts w:ascii="Tahoma" w:hAnsi="Tahoma" w:cs="Tahoma"/>
          <w:sz w:val="20"/>
          <w:szCs w:val="20"/>
        </w:rPr>
        <w:t>informed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about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the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necesslty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of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publishing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the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order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505CC0">
        <w:rPr>
          <w:rFonts w:ascii="Tahoma" w:hAnsi="Tahoma" w:cs="Tahoma"/>
          <w:sz w:val="20"/>
          <w:szCs w:val="20"/>
        </w:rPr>
        <w:t>the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contract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register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505CC0">
        <w:rPr>
          <w:rFonts w:ascii="Tahoma" w:hAnsi="Tahoma" w:cs="Tahoma"/>
          <w:sz w:val="20"/>
          <w:szCs w:val="20"/>
        </w:rPr>
        <w:t>The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supplier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hereby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agrees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505CC0">
        <w:rPr>
          <w:rFonts w:ascii="Tahoma" w:hAnsi="Tahoma" w:cs="Tahoma"/>
          <w:sz w:val="20"/>
          <w:szCs w:val="20"/>
        </w:rPr>
        <w:t>the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publication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of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the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order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505CC0">
        <w:rPr>
          <w:rFonts w:ascii="Tahoma" w:hAnsi="Tahoma" w:cs="Tahoma"/>
          <w:sz w:val="20"/>
          <w:szCs w:val="20"/>
        </w:rPr>
        <w:t>the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contract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register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505CC0">
        <w:rPr>
          <w:rFonts w:ascii="Tahoma" w:hAnsi="Tahoma" w:cs="Tahoma"/>
          <w:sz w:val="20"/>
          <w:szCs w:val="20"/>
        </w:rPr>
        <w:t>declares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that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this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publication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will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not </w:t>
      </w:r>
      <w:proofErr w:type="spellStart"/>
      <w:r w:rsidRPr="00505CC0">
        <w:rPr>
          <w:rFonts w:ascii="Tahoma" w:hAnsi="Tahoma" w:cs="Tahoma"/>
          <w:sz w:val="20"/>
          <w:szCs w:val="20"/>
        </w:rPr>
        <w:t>interfere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with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its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right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505CC0">
        <w:rPr>
          <w:rFonts w:ascii="Tahoma" w:hAnsi="Tahoma" w:cs="Tahoma"/>
          <w:sz w:val="20"/>
          <w:szCs w:val="20"/>
        </w:rPr>
        <w:t>protect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trade</w:t>
      </w:r>
      <w:proofErr w:type="spellEnd"/>
      <w:r w:rsidRPr="00505C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5CC0">
        <w:rPr>
          <w:rFonts w:ascii="Tahoma" w:hAnsi="Tahoma" w:cs="Tahoma"/>
          <w:sz w:val="20"/>
          <w:szCs w:val="20"/>
        </w:rPr>
        <w:t>secrets</w:t>
      </w:r>
      <w:proofErr w:type="spellEnd"/>
      <w:r w:rsidRPr="00505CC0">
        <w:rPr>
          <w:rFonts w:ascii="Tahoma" w:hAnsi="Tahoma" w:cs="Tahoma"/>
          <w:sz w:val="20"/>
          <w:szCs w:val="20"/>
        </w:rPr>
        <w:t>.</w:t>
      </w:r>
    </w:p>
    <w:sectPr w:rsidR="00505CC0" w:rsidRPr="00505CC0" w:rsidSect="00BC5766">
      <w:headerReference w:type="default" r:id="rId7"/>
      <w:pgSz w:w="11900" w:h="16840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CB1"/>
    <w:multiLevelType w:val="hybridMultilevel"/>
    <w:tmpl w:val="A04AC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B4F"/>
    <w:multiLevelType w:val="multilevel"/>
    <w:tmpl w:val="600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90CFE"/>
    <w:multiLevelType w:val="hybridMultilevel"/>
    <w:tmpl w:val="35F42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620C"/>
    <w:multiLevelType w:val="hybridMultilevel"/>
    <w:tmpl w:val="173CC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6E88"/>
    <w:multiLevelType w:val="hybridMultilevel"/>
    <w:tmpl w:val="70446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64F0"/>
    <w:multiLevelType w:val="multilevel"/>
    <w:tmpl w:val="600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16C7E"/>
    <w:multiLevelType w:val="hybridMultilevel"/>
    <w:tmpl w:val="CD421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65505"/>
    <w:multiLevelType w:val="hybridMultilevel"/>
    <w:tmpl w:val="CAC2F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3A88"/>
    <w:multiLevelType w:val="hybridMultilevel"/>
    <w:tmpl w:val="6C94D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01EE5"/>
    <w:multiLevelType w:val="hybridMultilevel"/>
    <w:tmpl w:val="FFF6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45809">
    <w:abstractNumId w:val="9"/>
  </w:num>
  <w:num w:numId="2" w16cid:durableId="1479959882">
    <w:abstractNumId w:val="0"/>
  </w:num>
  <w:num w:numId="3" w16cid:durableId="195197516">
    <w:abstractNumId w:val="4"/>
  </w:num>
  <w:num w:numId="4" w16cid:durableId="471554942">
    <w:abstractNumId w:val="3"/>
  </w:num>
  <w:num w:numId="5" w16cid:durableId="964697363">
    <w:abstractNumId w:val="2"/>
  </w:num>
  <w:num w:numId="6" w16cid:durableId="412701886">
    <w:abstractNumId w:val="6"/>
  </w:num>
  <w:num w:numId="7" w16cid:durableId="1768886658">
    <w:abstractNumId w:val="8"/>
  </w:num>
  <w:num w:numId="8" w16cid:durableId="1992557776">
    <w:abstractNumId w:val="7"/>
  </w:num>
  <w:num w:numId="9" w16cid:durableId="841121518">
    <w:abstractNumId w:val="1"/>
  </w:num>
  <w:num w:numId="10" w16cid:durableId="846364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45AAC"/>
    <w:rsid w:val="000D2772"/>
    <w:rsid w:val="000E1D0F"/>
    <w:rsid w:val="000E51DA"/>
    <w:rsid w:val="000F692B"/>
    <w:rsid w:val="00100D8E"/>
    <w:rsid w:val="001114A6"/>
    <w:rsid w:val="00130F50"/>
    <w:rsid w:val="00145170"/>
    <w:rsid w:val="002322C0"/>
    <w:rsid w:val="002B1AE5"/>
    <w:rsid w:val="002C5E88"/>
    <w:rsid w:val="002D1A02"/>
    <w:rsid w:val="00313B15"/>
    <w:rsid w:val="00330AD4"/>
    <w:rsid w:val="00342986"/>
    <w:rsid w:val="00460654"/>
    <w:rsid w:val="00492066"/>
    <w:rsid w:val="004A74FC"/>
    <w:rsid w:val="004B4311"/>
    <w:rsid w:val="004B6664"/>
    <w:rsid w:val="004D7330"/>
    <w:rsid w:val="004E3BCD"/>
    <w:rsid w:val="00505CC0"/>
    <w:rsid w:val="00543E82"/>
    <w:rsid w:val="00566ACA"/>
    <w:rsid w:val="0058034B"/>
    <w:rsid w:val="0059749D"/>
    <w:rsid w:val="006161C2"/>
    <w:rsid w:val="006711E8"/>
    <w:rsid w:val="006B01EB"/>
    <w:rsid w:val="006B09B0"/>
    <w:rsid w:val="006B5602"/>
    <w:rsid w:val="006C185C"/>
    <w:rsid w:val="006C2D3B"/>
    <w:rsid w:val="006E265C"/>
    <w:rsid w:val="006F7B16"/>
    <w:rsid w:val="00741E47"/>
    <w:rsid w:val="007728F6"/>
    <w:rsid w:val="00783D37"/>
    <w:rsid w:val="007A7E0E"/>
    <w:rsid w:val="007B1AAD"/>
    <w:rsid w:val="007E19DF"/>
    <w:rsid w:val="007E19E5"/>
    <w:rsid w:val="007F1DBE"/>
    <w:rsid w:val="00803620"/>
    <w:rsid w:val="00805DD8"/>
    <w:rsid w:val="00827C1F"/>
    <w:rsid w:val="00836912"/>
    <w:rsid w:val="00866593"/>
    <w:rsid w:val="008844B0"/>
    <w:rsid w:val="008F0248"/>
    <w:rsid w:val="009056FE"/>
    <w:rsid w:val="0091554A"/>
    <w:rsid w:val="009474AD"/>
    <w:rsid w:val="00975AF7"/>
    <w:rsid w:val="00984C0E"/>
    <w:rsid w:val="009C2FC7"/>
    <w:rsid w:val="009C5040"/>
    <w:rsid w:val="00A00828"/>
    <w:rsid w:val="00A4650B"/>
    <w:rsid w:val="00A76753"/>
    <w:rsid w:val="00AF6D28"/>
    <w:rsid w:val="00B074BA"/>
    <w:rsid w:val="00B44A01"/>
    <w:rsid w:val="00B52E9C"/>
    <w:rsid w:val="00BA61F3"/>
    <w:rsid w:val="00BC5766"/>
    <w:rsid w:val="00BD2124"/>
    <w:rsid w:val="00BD23EC"/>
    <w:rsid w:val="00BD4D3E"/>
    <w:rsid w:val="00BE7EE1"/>
    <w:rsid w:val="00C07ABF"/>
    <w:rsid w:val="00CA5865"/>
    <w:rsid w:val="00CA58C9"/>
    <w:rsid w:val="00CA72CF"/>
    <w:rsid w:val="00CB2D48"/>
    <w:rsid w:val="00D0235D"/>
    <w:rsid w:val="00D03CEF"/>
    <w:rsid w:val="00D75F11"/>
    <w:rsid w:val="00D832D0"/>
    <w:rsid w:val="00DB65DC"/>
    <w:rsid w:val="00DC0C41"/>
    <w:rsid w:val="00DE7384"/>
    <w:rsid w:val="00E301A7"/>
    <w:rsid w:val="00E52E7D"/>
    <w:rsid w:val="00E7408C"/>
    <w:rsid w:val="00ED2F0B"/>
    <w:rsid w:val="00EF175D"/>
    <w:rsid w:val="00F005B6"/>
    <w:rsid w:val="00F03ECC"/>
    <w:rsid w:val="00F12AB7"/>
    <w:rsid w:val="00F14DFF"/>
    <w:rsid w:val="00F206D9"/>
    <w:rsid w:val="00FA0A1A"/>
    <w:rsid w:val="00FA3C00"/>
    <w:rsid w:val="00FC4313"/>
    <w:rsid w:val="00F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2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2352</Characters>
  <Application>Microsoft Office Word</Application>
  <DocSecurity>2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2025-08-14T13:33:00Z</cp:lastPrinted>
  <dcterms:created xsi:type="dcterms:W3CDTF">2025-08-19T13:15:00Z</dcterms:created>
  <dcterms:modified xsi:type="dcterms:W3CDTF">2025-08-19T13:15:00Z</dcterms:modified>
</cp:coreProperties>
</file>