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08" w:rsidRDefault="00974624" w:rsidP="00746A08">
      <w:pPr>
        <w:pStyle w:val="Nadpis"/>
      </w:pPr>
      <w:r>
        <w:t>Příkaz</w:t>
      </w:r>
      <w:bookmarkStart w:id="0" w:name="_GoBack"/>
      <w:bookmarkEnd w:id="0"/>
      <w:r>
        <w:t xml:space="preserve">ní </w:t>
      </w:r>
      <w:r w:rsidR="00746A08" w:rsidRPr="00C715FE">
        <w:t>Smlouva</w:t>
      </w:r>
    </w:p>
    <w:p w:rsidR="00211011" w:rsidRPr="00211011" w:rsidRDefault="00BD0C25" w:rsidP="00746A08">
      <w:pPr>
        <w:pStyle w:val="Nadpis"/>
        <w:rPr>
          <w:sz w:val="22"/>
        </w:rPr>
      </w:pPr>
      <w:r>
        <w:rPr>
          <w:caps w:val="0"/>
          <w:sz w:val="22"/>
        </w:rPr>
        <w:t>číslo</w:t>
      </w:r>
      <w:r w:rsidR="00211011">
        <w:rPr>
          <w:sz w:val="22"/>
        </w:rPr>
        <w:t>:</w:t>
      </w:r>
      <w:r w:rsidR="0082048C">
        <w:rPr>
          <w:sz w:val="22"/>
        </w:rPr>
        <w:t xml:space="preserve"> </w:t>
      </w:r>
      <w:r w:rsidR="00131FBC">
        <w:rPr>
          <w:sz w:val="22"/>
        </w:rPr>
        <w:t>2</w:t>
      </w:r>
      <w:r w:rsidR="00535218">
        <w:rPr>
          <w:sz w:val="22"/>
        </w:rPr>
        <w:t>5</w:t>
      </w:r>
      <w:r w:rsidR="00893BA1" w:rsidRPr="00893BA1">
        <w:rPr>
          <w:sz w:val="22"/>
        </w:rPr>
        <w:t>0</w:t>
      </w:r>
      <w:r w:rsidR="00BD489B">
        <w:rPr>
          <w:sz w:val="22"/>
        </w:rPr>
        <w:t>0</w:t>
      </w:r>
      <w:r w:rsidR="00535218">
        <w:rPr>
          <w:sz w:val="22"/>
        </w:rPr>
        <w:t>9</w:t>
      </w:r>
    </w:p>
    <w:p w:rsidR="00746A08" w:rsidRDefault="00746A08" w:rsidP="00746A08">
      <w:r w:rsidRPr="009619F3">
        <w:t>uzavřená v souladu s §</w:t>
      </w:r>
      <w:r>
        <w:t> </w:t>
      </w:r>
      <w:r w:rsidR="00562F30">
        <w:t>2430</w:t>
      </w:r>
      <w:r>
        <w:t xml:space="preserve"> </w:t>
      </w:r>
      <w:r w:rsidRPr="009619F3">
        <w:t xml:space="preserve">zákona č. </w:t>
      </w:r>
      <w:r w:rsidR="00562F30">
        <w:t>89</w:t>
      </w:r>
      <w:r w:rsidRPr="009619F3">
        <w:t>/</w:t>
      </w:r>
      <w:r w:rsidR="00562F30">
        <w:t>2012</w:t>
      </w:r>
      <w:r w:rsidRPr="009619F3">
        <w:t xml:space="preserve"> Sb., Ob</w:t>
      </w:r>
      <w:r w:rsidR="00562F30">
        <w:t>čanského</w:t>
      </w:r>
      <w:r w:rsidRPr="009619F3">
        <w:t xml:space="preserve"> zákoníku mezi stranami</w:t>
      </w:r>
    </w:p>
    <w:p w:rsidR="00CE421D" w:rsidRDefault="00CE421D" w:rsidP="00562F30">
      <w:pPr>
        <w:tabs>
          <w:tab w:val="left" w:pos="2127"/>
          <w:tab w:val="left" w:leader="dot" w:pos="7371"/>
        </w:tabs>
        <w:rPr>
          <w:b/>
        </w:rPr>
      </w:pPr>
    </w:p>
    <w:p w:rsidR="00ED6909" w:rsidRPr="009619F3" w:rsidRDefault="00535218" w:rsidP="00ED6909">
      <w:pPr>
        <w:tabs>
          <w:tab w:val="left" w:pos="2127"/>
          <w:tab w:val="left" w:leader="dot" w:pos="7371"/>
        </w:tabs>
      </w:pPr>
      <w:r w:rsidRPr="00535218">
        <w:rPr>
          <w:b/>
        </w:rPr>
        <w:t>Střední škola pedagogická, hotelnictví a služeb, Litoměřice, příspěvková organizace</w:t>
      </w:r>
    </w:p>
    <w:p w:rsidR="00ED6909" w:rsidRDefault="00ED6909" w:rsidP="00ED6909">
      <w:pPr>
        <w:tabs>
          <w:tab w:val="left" w:pos="2127"/>
          <w:tab w:val="left" w:leader="dot" w:pos="7371"/>
        </w:tabs>
      </w:pPr>
      <w:r w:rsidRPr="009619F3">
        <w:t>sídlem</w:t>
      </w:r>
      <w:r>
        <w:tab/>
      </w:r>
      <w:r w:rsidR="00535218" w:rsidRPr="00535218">
        <w:t>Komenského 754/3, 412 01 Litoměřice</w:t>
      </w:r>
    </w:p>
    <w:p w:rsidR="00ED6909" w:rsidRDefault="00ED6909" w:rsidP="00ED6909">
      <w:pPr>
        <w:tabs>
          <w:tab w:val="left" w:pos="2127"/>
          <w:tab w:val="left" w:leader="dot" w:pos="7371"/>
        </w:tabs>
      </w:pPr>
      <w:r w:rsidRPr="00F308DC">
        <w:t>IČ</w:t>
      </w:r>
      <w:r w:rsidRPr="00F308DC">
        <w:tab/>
      </w:r>
      <w:r w:rsidR="00535218" w:rsidRPr="00535218">
        <w:t>46773495</w:t>
      </w:r>
    </w:p>
    <w:p w:rsidR="00ED6909" w:rsidRDefault="00ED6909" w:rsidP="00ED6909">
      <w:pPr>
        <w:tabs>
          <w:tab w:val="left" w:pos="2127"/>
          <w:tab w:val="left" w:leader="dot" w:pos="7371"/>
        </w:tabs>
      </w:pPr>
      <w:r>
        <w:t>jednající</w:t>
      </w:r>
      <w:r w:rsidRPr="009619F3">
        <w:tab/>
      </w:r>
      <w:proofErr w:type="spellStart"/>
      <w:r w:rsidR="00E92879">
        <w:t>xxxxxxxxxxxxxxxxxxxxxxxxxxxxxxxxxxxxxxxxxxxxxxx</w:t>
      </w:r>
      <w:proofErr w:type="spellEnd"/>
    </w:p>
    <w:p w:rsidR="00E11BB4" w:rsidRDefault="00ED6909" w:rsidP="00ED6909">
      <w:pPr>
        <w:tabs>
          <w:tab w:val="left" w:pos="2127"/>
          <w:tab w:val="left" w:leader="dot" w:pos="7371"/>
        </w:tabs>
      </w:pPr>
      <w:r>
        <w:t>Bankovní spojení</w:t>
      </w:r>
      <w:r w:rsidR="00535218">
        <w:t>:</w:t>
      </w:r>
      <w:r>
        <w:tab/>
      </w:r>
      <w:proofErr w:type="spellStart"/>
      <w:r w:rsidR="00E92879">
        <w:t>xxxxxxxxxxxxxxxxxxxxxxxxxxxxxxxxxxxxxxxxxxxxxxxx</w:t>
      </w:r>
      <w:proofErr w:type="spellEnd"/>
    </w:p>
    <w:p w:rsidR="00562F30" w:rsidRPr="00183889" w:rsidRDefault="00562F30" w:rsidP="00562F30">
      <w:pPr>
        <w:pStyle w:val="Normln-Kurzva"/>
        <w:tabs>
          <w:tab w:val="clear" w:pos="2127"/>
        </w:tabs>
        <w:ind w:firstLine="454"/>
        <w:rPr>
          <w:sz w:val="18"/>
        </w:rPr>
      </w:pPr>
      <w:r w:rsidRPr="00C715FE">
        <w:t>(dále jen „</w:t>
      </w:r>
      <w:r>
        <w:rPr>
          <w:b/>
        </w:rPr>
        <w:t>Příkazce</w:t>
      </w:r>
      <w:r w:rsidRPr="00C715FE">
        <w:t>“)</w:t>
      </w:r>
    </w:p>
    <w:p w:rsidR="00562F30" w:rsidRPr="009619F3" w:rsidRDefault="00562F30" w:rsidP="00746A08">
      <w:r>
        <w:t>a</w:t>
      </w:r>
    </w:p>
    <w:p w:rsidR="00746A08" w:rsidRPr="009619F3" w:rsidRDefault="00746A08" w:rsidP="00746A08">
      <w:pPr>
        <w:tabs>
          <w:tab w:val="left" w:pos="2127"/>
          <w:tab w:val="left" w:leader="dot" w:pos="7371"/>
        </w:tabs>
      </w:pPr>
      <w:r w:rsidRPr="009619F3">
        <w:t>Společnost:</w:t>
      </w:r>
      <w:r>
        <w:tab/>
      </w:r>
      <w:proofErr w:type="spellStart"/>
      <w:r>
        <w:rPr>
          <w:b/>
        </w:rPr>
        <w:t>E</w:t>
      </w:r>
      <w:r w:rsidR="008602DC">
        <w:rPr>
          <w:b/>
        </w:rPr>
        <w:t>urokom</w:t>
      </w:r>
      <w:proofErr w:type="spellEnd"/>
      <w:r w:rsidR="008602DC">
        <w:rPr>
          <w:b/>
        </w:rPr>
        <w:t xml:space="preserve"> </w:t>
      </w:r>
      <w:r>
        <w:rPr>
          <w:b/>
        </w:rPr>
        <w:t>plus</w:t>
      </w:r>
      <w:r w:rsidRPr="003E2B2E">
        <w:rPr>
          <w:b/>
        </w:rPr>
        <w:t>, s.r.o.</w:t>
      </w:r>
    </w:p>
    <w:p w:rsidR="00746A08" w:rsidRDefault="00746A08" w:rsidP="00746A08">
      <w:pPr>
        <w:tabs>
          <w:tab w:val="left" w:pos="2127"/>
          <w:tab w:val="left" w:leader="dot" w:pos="7371"/>
        </w:tabs>
      </w:pPr>
      <w:r w:rsidRPr="009619F3">
        <w:t>sídlem</w:t>
      </w:r>
      <w:r>
        <w:tab/>
      </w:r>
      <w:r w:rsidR="00B37EBD" w:rsidRPr="00B37EBD">
        <w:t>Politických vězňů 912/10, Praha 1 – Nové Město, 110 00</w:t>
      </w:r>
    </w:p>
    <w:p w:rsidR="00746A08" w:rsidRDefault="00746A08" w:rsidP="00746A08">
      <w:pPr>
        <w:tabs>
          <w:tab w:val="left" w:pos="2127"/>
          <w:tab w:val="left" w:leader="dot" w:pos="7371"/>
        </w:tabs>
      </w:pPr>
      <w:r>
        <w:t>IČ</w:t>
      </w:r>
      <w:r>
        <w:tab/>
        <w:t>24698172</w:t>
      </w:r>
    </w:p>
    <w:p w:rsidR="00746A08" w:rsidRPr="009619F3" w:rsidRDefault="00746A08" w:rsidP="00746A08">
      <w:pPr>
        <w:tabs>
          <w:tab w:val="left" w:pos="2127"/>
          <w:tab w:val="left" w:leader="dot" w:pos="7371"/>
        </w:tabs>
      </w:pPr>
      <w:r>
        <w:t>DIČ</w:t>
      </w:r>
      <w:r>
        <w:tab/>
        <w:t>CZ</w:t>
      </w:r>
      <w:r w:rsidR="00C11B87">
        <w:t>24698172</w:t>
      </w:r>
    </w:p>
    <w:p w:rsidR="00746A08" w:rsidRDefault="00746A08" w:rsidP="00746A08">
      <w:pPr>
        <w:tabs>
          <w:tab w:val="left" w:pos="2127"/>
          <w:tab w:val="left" w:leader="dot" w:pos="7371"/>
        </w:tabs>
      </w:pPr>
      <w:r>
        <w:t>jednající</w:t>
      </w:r>
      <w:r w:rsidRPr="009619F3">
        <w:tab/>
      </w:r>
      <w:proofErr w:type="spellStart"/>
      <w:r w:rsidR="00E92879">
        <w:t>xxxxxxxxxxxxxxxxxxxxxxxxxxxxxxxxxxxxx</w:t>
      </w:r>
      <w:proofErr w:type="spellEnd"/>
    </w:p>
    <w:p w:rsidR="002360F7" w:rsidRPr="009619F3" w:rsidRDefault="002360F7" w:rsidP="00746A08">
      <w:pPr>
        <w:tabs>
          <w:tab w:val="left" w:pos="2127"/>
          <w:tab w:val="left" w:leader="dot" w:pos="7371"/>
        </w:tabs>
      </w:pPr>
      <w:r>
        <w:t>Bankovní spojení</w:t>
      </w:r>
      <w:r>
        <w:tab/>
      </w:r>
      <w:proofErr w:type="spellStart"/>
      <w:r w:rsidR="00E92879">
        <w:t>xxxxxxxxxxxxxxxxxxxxxxxxxxxxxxxxxxxxxxxx</w:t>
      </w:r>
      <w:proofErr w:type="spellEnd"/>
    </w:p>
    <w:p w:rsidR="00746A08" w:rsidRPr="00C11B87" w:rsidRDefault="00746A08" w:rsidP="00746A08">
      <w:pPr>
        <w:pStyle w:val="Normln-Kurzva"/>
        <w:tabs>
          <w:tab w:val="left" w:leader="dot" w:pos="7371"/>
        </w:tabs>
        <w:rPr>
          <w:sz w:val="18"/>
        </w:rPr>
      </w:pPr>
      <w:r w:rsidRPr="00C11B87">
        <w:rPr>
          <w:sz w:val="18"/>
        </w:rPr>
        <w:t>Společnost je zapsaná v obchodním rejstříku vedeném Městským soudem v Praze, oddíl C, vložka 166970</w:t>
      </w:r>
    </w:p>
    <w:p w:rsidR="00183889" w:rsidRPr="00562F30" w:rsidRDefault="00746A08" w:rsidP="00562F30">
      <w:pPr>
        <w:tabs>
          <w:tab w:val="left" w:pos="2127"/>
          <w:tab w:val="left" w:leader="dot" w:pos="7371"/>
        </w:tabs>
      </w:pPr>
      <w:r w:rsidRPr="00C715FE">
        <w:t xml:space="preserve">(dále jen </w:t>
      </w:r>
      <w:r w:rsidRPr="00562F30">
        <w:rPr>
          <w:rFonts w:ascii="Verdana" w:hAnsi="Verdana"/>
          <w:b/>
          <w:i/>
          <w:color w:val="333333"/>
          <w:spacing w:val="-4"/>
          <w:sz w:val="20"/>
          <w:szCs w:val="20"/>
        </w:rPr>
        <w:t>„</w:t>
      </w:r>
      <w:r w:rsidR="00562F30" w:rsidRPr="00562F30">
        <w:rPr>
          <w:rFonts w:ascii="Verdana" w:hAnsi="Verdana"/>
          <w:b/>
          <w:i/>
          <w:color w:val="333333"/>
          <w:spacing w:val="-4"/>
          <w:sz w:val="20"/>
          <w:szCs w:val="20"/>
        </w:rPr>
        <w:t>Příkazník</w:t>
      </w:r>
      <w:r w:rsidRPr="00562F30">
        <w:rPr>
          <w:rFonts w:ascii="Verdana" w:hAnsi="Verdana"/>
          <w:b/>
          <w:i/>
          <w:color w:val="333333"/>
          <w:spacing w:val="-4"/>
          <w:sz w:val="20"/>
          <w:szCs w:val="20"/>
        </w:rPr>
        <w:t>“</w:t>
      </w:r>
      <w:r w:rsidRPr="00C715FE">
        <w:t>)</w:t>
      </w:r>
    </w:p>
    <w:p w:rsidR="00746A08" w:rsidRDefault="00746A08" w:rsidP="005B629E">
      <w:pPr>
        <w:pStyle w:val="lnek"/>
        <w:spacing w:before="200" w:after="60"/>
      </w:pPr>
      <w:r>
        <w:t>I. Preambule</w:t>
      </w:r>
    </w:p>
    <w:p w:rsidR="002D2FB2" w:rsidRPr="00535218" w:rsidRDefault="00562F30" w:rsidP="003D612A">
      <w:pPr>
        <w:pStyle w:val="Odstavec"/>
        <w:numPr>
          <w:ilvl w:val="0"/>
          <w:numId w:val="4"/>
        </w:numPr>
        <w:rPr>
          <w:color w:val="auto"/>
        </w:rPr>
      </w:pPr>
      <w:r>
        <w:t>P</w:t>
      </w:r>
      <w:r w:rsidRPr="0056360A">
        <w:rPr>
          <w:color w:val="auto"/>
        </w:rPr>
        <w:t>říkazce</w:t>
      </w:r>
      <w:r w:rsidR="00746A08" w:rsidRPr="0056360A">
        <w:rPr>
          <w:color w:val="auto"/>
        </w:rPr>
        <w:t xml:space="preserve"> má zájem </w:t>
      </w:r>
      <w:r w:rsidR="002E2D28" w:rsidRPr="0056360A">
        <w:rPr>
          <w:color w:val="auto"/>
        </w:rPr>
        <w:t xml:space="preserve">realizovat pro </w:t>
      </w:r>
      <w:r w:rsidR="00746A08" w:rsidRPr="0056360A">
        <w:rPr>
          <w:color w:val="auto"/>
        </w:rPr>
        <w:t>projekt „</w:t>
      </w:r>
      <w:r w:rsidR="00535218" w:rsidRPr="00535218">
        <w:rPr>
          <w:color w:val="auto"/>
        </w:rPr>
        <w:t>Modernizace odborných učeben</w:t>
      </w:r>
      <w:r w:rsidR="00410DD5" w:rsidRPr="0056360A">
        <w:rPr>
          <w:color w:val="auto"/>
        </w:rPr>
        <w:t>“ (</w:t>
      </w:r>
      <w:r w:rsidR="00A14CCC" w:rsidRPr="0056360A">
        <w:rPr>
          <w:color w:val="auto"/>
        </w:rPr>
        <w:t>zaměřený na výběr dodavatelů vybavení odborn</w:t>
      </w:r>
      <w:r w:rsidR="00535218">
        <w:rPr>
          <w:color w:val="auto"/>
        </w:rPr>
        <w:t>ých učeben a provedení stavebních prací</w:t>
      </w:r>
      <w:r w:rsidR="00A14CCC" w:rsidRPr="0056360A">
        <w:rPr>
          <w:color w:val="auto"/>
        </w:rPr>
        <w:t xml:space="preserve">, spolufinancované v rámci projektu </w:t>
      </w:r>
      <w:r w:rsidR="00535218" w:rsidRPr="00535218">
        <w:rPr>
          <w:color w:val="auto"/>
        </w:rPr>
        <w:t>Modernizace odborných učeben</w:t>
      </w:r>
      <w:r w:rsidR="00A14CCC" w:rsidRPr="0056360A">
        <w:rPr>
          <w:color w:val="auto"/>
        </w:rPr>
        <w:t xml:space="preserve"> registrační číslo projektu </w:t>
      </w:r>
      <w:r w:rsidR="00535218" w:rsidRPr="00535218">
        <w:rPr>
          <w:color w:val="auto"/>
        </w:rPr>
        <w:t>CZ.10.02.01/00/23_006/0000240</w:t>
      </w:r>
      <w:r w:rsidR="00A14CCC" w:rsidRPr="0056360A">
        <w:rPr>
          <w:color w:val="auto"/>
        </w:rPr>
        <w:t xml:space="preserve"> z </w:t>
      </w:r>
      <w:r w:rsidR="00535218" w:rsidRPr="00535218">
        <w:rPr>
          <w:color w:val="auto"/>
        </w:rPr>
        <w:t>Operační</w:t>
      </w:r>
      <w:r w:rsidR="00535218">
        <w:rPr>
          <w:color w:val="auto"/>
        </w:rPr>
        <w:t>ho</w:t>
      </w:r>
      <w:r w:rsidR="00535218" w:rsidRPr="00535218">
        <w:rPr>
          <w:color w:val="auto"/>
        </w:rPr>
        <w:t xml:space="preserve"> program Spravedlivá transformace </w:t>
      </w:r>
      <w:proofErr w:type="gramStart"/>
      <w:r w:rsidR="00535218" w:rsidRPr="00535218">
        <w:rPr>
          <w:color w:val="auto"/>
        </w:rPr>
        <w:t>2021 – 2027</w:t>
      </w:r>
      <w:proofErr w:type="gramEnd"/>
      <w:r w:rsidR="00410DD5" w:rsidRPr="00535218">
        <w:rPr>
          <w:color w:val="auto"/>
        </w:rPr>
        <w:t>) (dále také jako „projekt“)</w:t>
      </w:r>
      <w:r w:rsidR="00183889" w:rsidRPr="00535218">
        <w:rPr>
          <w:color w:val="auto"/>
        </w:rPr>
        <w:t xml:space="preserve"> </w:t>
      </w:r>
      <w:r w:rsidR="002B4E20" w:rsidRPr="00535218">
        <w:rPr>
          <w:color w:val="auto"/>
        </w:rPr>
        <w:t>zadávací</w:t>
      </w:r>
      <w:r w:rsidR="00A14CCC" w:rsidRPr="00535218">
        <w:rPr>
          <w:color w:val="auto"/>
        </w:rPr>
        <w:t xml:space="preserve"> a výběrov</w:t>
      </w:r>
      <w:r w:rsidR="00535218" w:rsidRPr="00535218">
        <w:rPr>
          <w:color w:val="auto"/>
        </w:rPr>
        <w:t>á</w:t>
      </w:r>
      <w:r w:rsidR="002E2D28" w:rsidRPr="00535218">
        <w:rPr>
          <w:color w:val="auto"/>
        </w:rPr>
        <w:t xml:space="preserve"> </w:t>
      </w:r>
      <w:r w:rsidR="002E2D28" w:rsidRPr="00637B70">
        <w:rPr>
          <w:color w:val="auto"/>
        </w:rPr>
        <w:t>řízení</w:t>
      </w:r>
      <w:r w:rsidR="00B35CA6" w:rsidRPr="00637B70">
        <w:rPr>
          <w:color w:val="auto"/>
        </w:rPr>
        <w:t>.</w:t>
      </w:r>
    </w:p>
    <w:p w:rsidR="00746A08" w:rsidRPr="0056360A" w:rsidRDefault="00562F30" w:rsidP="003D612A">
      <w:pPr>
        <w:pStyle w:val="Odstavec"/>
        <w:numPr>
          <w:ilvl w:val="0"/>
          <w:numId w:val="4"/>
        </w:numPr>
        <w:rPr>
          <w:color w:val="auto"/>
        </w:rPr>
      </w:pPr>
      <w:r w:rsidRPr="0056360A">
        <w:rPr>
          <w:color w:val="auto"/>
        </w:rPr>
        <w:t>Příkazník</w:t>
      </w:r>
      <w:r w:rsidR="00746A08" w:rsidRPr="0056360A">
        <w:rPr>
          <w:color w:val="auto"/>
        </w:rPr>
        <w:t xml:space="preserve"> je oprávněn vykonávat činnosti spojené s jeho předmětem podnikání, tj. se zpracováním dat, činností podnikatelských, finančních, organizačních a ekonomických poradců a má zkušenosti s přípravou a čerpáním dotací z fondů EU</w:t>
      </w:r>
      <w:r w:rsidR="00B44467" w:rsidRPr="0056360A">
        <w:rPr>
          <w:color w:val="auto"/>
        </w:rPr>
        <w:t>, s obstaráváním organizace výběrových a zadávacích řízení.</w:t>
      </w:r>
    </w:p>
    <w:p w:rsidR="00746A08" w:rsidRPr="0056360A" w:rsidRDefault="00746A08" w:rsidP="005B629E">
      <w:pPr>
        <w:pStyle w:val="lnek"/>
        <w:spacing w:before="200" w:after="60"/>
        <w:rPr>
          <w:color w:val="auto"/>
        </w:rPr>
      </w:pPr>
      <w:r w:rsidRPr="0056360A">
        <w:rPr>
          <w:color w:val="auto"/>
        </w:rPr>
        <w:t>II. Předmět plnění</w:t>
      </w:r>
    </w:p>
    <w:p w:rsidR="00A07251" w:rsidRPr="0056360A" w:rsidRDefault="002B4E20" w:rsidP="003D612A">
      <w:pPr>
        <w:pStyle w:val="Odstavec"/>
        <w:numPr>
          <w:ilvl w:val="0"/>
          <w:numId w:val="12"/>
        </w:numPr>
        <w:rPr>
          <w:color w:val="auto"/>
        </w:rPr>
      </w:pPr>
      <w:r w:rsidRPr="0056360A">
        <w:rPr>
          <w:color w:val="auto"/>
        </w:rPr>
        <w:t xml:space="preserve">Touto smlouvou se Příkazník zavazuje Příkazci obstarat organizaci </w:t>
      </w:r>
      <w:r w:rsidR="00535218">
        <w:rPr>
          <w:color w:val="auto"/>
        </w:rPr>
        <w:t>tří</w:t>
      </w:r>
      <w:r w:rsidR="005B459C">
        <w:rPr>
          <w:color w:val="auto"/>
        </w:rPr>
        <w:t xml:space="preserve"> samostatných </w:t>
      </w:r>
      <w:r w:rsidRPr="0056360A">
        <w:rPr>
          <w:color w:val="auto"/>
        </w:rPr>
        <w:t>zadávací</w:t>
      </w:r>
      <w:r w:rsidR="00A14CCC" w:rsidRPr="0056360A">
        <w:rPr>
          <w:color w:val="auto"/>
        </w:rPr>
        <w:t xml:space="preserve">ch </w:t>
      </w:r>
      <w:r w:rsidRPr="0056360A">
        <w:rPr>
          <w:color w:val="auto"/>
        </w:rPr>
        <w:t xml:space="preserve">řízení </w:t>
      </w:r>
      <w:r w:rsidR="00A14CCC" w:rsidRPr="0056360A">
        <w:rPr>
          <w:color w:val="auto"/>
        </w:rPr>
        <w:t xml:space="preserve">a </w:t>
      </w:r>
      <w:r w:rsidR="00535218">
        <w:rPr>
          <w:color w:val="auto"/>
        </w:rPr>
        <w:t xml:space="preserve">dvou </w:t>
      </w:r>
      <w:r w:rsidR="00A14CCC" w:rsidRPr="0056360A">
        <w:rPr>
          <w:color w:val="auto"/>
        </w:rPr>
        <w:t>výběrov</w:t>
      </w:r>
      <w:r w:rsidR="00535218">
        <w:rPr>
          <w:color w:val="auto"/>
        </w:rPr>
        <w:t>ých</w:t>
      </w:r>
      <w:r w:rsidR="00A14CCC" w:rsidRPr="0056360A">
        <w:rPr>
          <w:color w:val="auto"/>
        </w:rPr>
        <w:t xml:space="preserve"> řízení</w:t>
      </w:r>
      <w:r w:rsidRPr="0056360A">
        <w:rPr>
          <w:color w:val="auto"/>
        </w:rPr>
        <w:t xml:space="preserve"> a Příkazce se zavazuje za řádně poskytnuté plnění Příkazníkovi zaplatit odměn</w:t>
      </w:r>
      <w:r w:rsidR="005B459C">
        <w:rPr>
          <w:color w:val="auto"/>
        </w:rPr>
        <w:t>y</w:t>
      </w:r>
      <w:r w:rsidRPr="0056360A">
        <w:rPr>
          <w:color w:val="auto"/>
        </w:rPr>
        <w:t xml:space="preserve"> ve výši a způsobem dle této smlouvy</w:t>
      </w:r>
      <w:r w:rsidR="00A07251" w:rsidRPr="0056360A">
        <w:rPr>
          <w:color w:val="auto"/>
        </w:rPr>
        <w:t>.</w:t>
      </w:r>
    </w:p>
    <w:p w:rsidR="005617C3" w:rsidRPr="0056360A" w:rsidRDefault="00A07251" w:rsidP="003D612A">
      <w:pPr>
        <w:pStyle w:val="Odstavec"/>
        <w:numPr>
          <w:ilvl w:val="0"/>
          <w:numId w:val="12"/>
        </w:numPr>
        <w:rPr>
          <w:color w:val="auto"/>
        </w:rPr>
      </w:pPr>
      <w:r w:rsidRPr="0056360A">
        <w:rPr>
          <w:color w:val="auto"/>
        </w:rPr>
        <w:t>Smluvní strany se dohodly, že záležitosti Příkazce, které má Příkazník obstarat</w:t>
      </w:r>
      <w:r w:rsidR="00597386" w:rsidRPr="0056360A">
        <w:rPr>
          <w:color w:val="auto"/>
        </w:rPr>
        <w:t>,</w:t>
      </w:r>
      <w:r w:rsidRPr="0056360A">
        <w:rPr>
          <w:color w:val="auto"/>
        </w:rPr>
        <w:t xml:space="preserve"> a které tvoří předmět plnění dle této smlouvy, zahrnují následující činnosti </w:t>
      </w:r>
      <w:r w:rsidR="005B629E" w:rsidRPr="0056360A">
        <w:rPr>
          <w:color w:val="auto"/>
        </w:rPr>
        <w:t>P</w:t>
      </w:r>
      <w:r w:rsidRPr="0056360A">
        <w:rPr>
          <w:color w:val="auto"/>
        </w:rPr>
        <w:t xml:space="preserve">říkazníka pro </w:t>
      </w:r>
      <w:r w:rsidR="005B629E" w:rsidRPr="0056360A">
        <w:rPr>
          <w:color w:val="auto"/>
        </w:rPr>
        <w:t>P</w:t>
      </w:r>
      <w:r w:rsidRPr="0056360A">
        <w:rPr>
          <w:color w:val="auto"/>
        </w:rPr>
        <w:t>říkazce:</w:t>
      </w:r>
    </w:p>
    <w:p w:rsidR="00535218" w:rsidRPr="00762C47" w:rsidRDefault="002B4E20" w:rsidP="00637B70">
      <w:pPr>
        <w:pStyle w:val="Odstavec"/>
        <w:numPr>
          <w:ilvl w:val="1"/>
          <w:numId w:val="12"/>
        </w:numPr>
        <w:rPr>
          <w:color w:val="auto"/>
        </w:rPr>
      </w:pPr>
      <w:r w:rsidRPr="0056360A">
        <w:rPr>
          <w:color w:val="auto"/>
        </w:rPr>
        <w:t xml:space="preserve">Obstarání organizace zadávacího řízení na výběr </w:t>
      </w:r>
      <w:r w:rsidR="00A14CCC" w:rsidRPr="0056360A">
        <w:rPr>
          <w:color w:val="auto"/>
        </w:rPr>
        <w:t xml:space="preserve">dodavatele </w:t>
      </w:r>
      <w:r w:rsidR="00535218" w:rsidRPr="00637B70">
        <w:rPr>
          <w:i/>
          <w:iCs/>
          <w:color w:val="auto"/>
        </w:rPr>
        <w:t>IT vybavení odborných učeben</w:t>
      </w:r>
      <w:r w:rsidRPr="0056360A">
        <w:rPr>
          <w:color w:val="auto"/>
        </w:rPr>
        <w:t xml:space="preserve"> pro projekt</w:t>
      </w:r>
      <w:r w:rsidR="00B44467" w:rsidRPr="0056360A">
        <w:rPr>
          <w:color w:val="auto"/>
        </w:rPr>
        <w:t xml:space="preserve">, </w:t>
      </w:r>
      <w:r w:rsidRPr="0056360A">
        <w:rPr>
          <w:color w:val="auto"/>
        </w:rPr>
        <w:t>a to v souladu s platným zákonem o zadávání veřejných zakázek</w:t>
      </w:r>
      <w:r w:rsidR="00A14CCC" w:rsidRPr="0056360A">
        <w:rPr>
          <w:color w:val="auto"/>
        </w:rPr>
        <w:t xml:space="preserve"> </w:t>
      </w:r>
      <w:r w:rsidRPr="0056360A">
        <w:rPr>
          <w:color w:val="auto"/>
        </w:rPr>
        <w:t xml:space="preserve">č. </w:t>
      </w:r>
      <w:r w:rsidRPr="0056360A">
        <w:rPr>
          <w:color w:val="auto"/>
        </w:rPr>
        <w:lastRenderedPageBreak/>
        <w:t xml:space="preserve">134/2016 Sb., v platném znění, (dále také jako „ZZVZ“), </w:t>
      </w:r>
      <w:r w:rsidR="00597386" w:rsidRPr="0056360A">
        <w:rPr>
          <w:color w:val="auto"/>
        </w:rPr>
        <w:t>v</w:t>
      </w:r>
      <w:r w:rsidRPr="0056360A">
        <w:rPr>
          <w:color w:val="auto"/>
        </w:rPr>
        <w:t xml:space="preserve"> </w:t>
      </w:r>
      <w:r w:rsidR="00535218">
        <w:rPr>
          <w:color w:val="auto"/>
        </w:rPr>
        <w:t>na</w:t>
      </w:r>
      <w:r w:rsidR="006F3C88" w:rsidRPr="0056360A">
        <w:rPr>
          <w:color w:val="auto"/>
        </w:rPr>
        <w:t>dlimitní</w:t>
      </w:r>
      <w:r w:rsidRPr="0056360A">
        <w:rPr>
          <w:color w:val="auto"/>
        </w:rPr>
        <w:t xml:space="preserve"> veřejn</w:t>
      </w:r>
      <w:r w:rsidR="00597386" w:rsidRPr="0056360A">
        <w:rPr>
          <w:color w:val="auto"/>
        </w:rPr>
        <w:t>é</w:t>
      </w:r>
      <w:r w:rsidRPr="0056360A">
        <w:rPr>
          <w:color w:val="auto"/>
        </w:rPr>
        <w:t xml:space="preserve"> zakáz</w:t>
      </w:r>
      <w:r w:rsidR="00597386" w:rsidRPr="0056360A">
        <w:rPr>
          <w:color w:val="auto"/>
        </w:rPr>
        <w:t>ce</w:t>
      </w:r>
      <w:r w:rsidRPr="0056360A">
        <w:rPr>
          <w:color w:val="auto"/>
        </w:rPr>
        <w:t xml:space="preserve"> na </w:t>
      </w:r>
      <w:r w:rsidR="00A14CCC" w:rsidRPr="0056360A">
        <w:rPr>
          <w:color w:val="auto"/>
        </w:rPr>
        <w:t>dodávky</w:t>
      </w:r>
      <w:r w:rsidRPr="0056360A">
        <w:rPr>
          <w:color w:val="auto"/>
        </w:rPr>
        <w:t xml:space="preserve"> </w:t>
      </w:r>
      <w:r w:rsidR="00A14CCC" w:rsidRPr="0056360A">
        <w:rPr>
          <w:color w:val="auto"/>
        </w:rPr>
        <w:t xml:space="preserve">zadávané </w:t>
      </w:r>
      <w:r w:rsidR="00821D5A" w:rsidRPr="0056360A">
        <w:rPr>
          <w:color w:val="auto"/>
        </w:rPr>
        <w:t>v</w:t>
      </w:r>
      <w:r w:rsidR="00535218">
        <w:rPr>
          <w:color w:val="auto"/>
        </w:rPr>
        <w:t xml:space="preserve"> otevřeném</w:t>
      </w:r>
      <w:r w:rsidR="00821D5A" w:rsidRPr="0056360A">
        <w:rPr>
          <w:color w:val="auto"/>
        </w:rPr>
        <w:t xml:space="preserve"> řízení dle § 5</w:t>
      </w:r>
      <w:r w:rsidR="00535218">
        <w:rPr>
          <w:color w:val="auto"/>
        </w:rPr>
        <w:t>6</w:t>
      </w:r>
      <w:r w:rsidR="00821D5A" w:rsidRPr="0056360A">
        <w:rPr>
          <w:color w:val="auto"/>
        </w:rPr>
        <w:t xml:space="preserve"> </w:t>
      </w:r>
      <w:r w:rsidRPr="0056360A">
        <w:rPr>
          <w:color w:val="auto"/>
        </w:rPr>
        <w:t xml:space="preserve">ZZVZ, </w:t>
      </w:r>
      <w:r w:rsidR="00A14CCC" w:rsidRPr="0056360A">
        <w:rPr>
          <w:color w:val="auto"/>
        </w:rPr>
        <w:t xml:space="preserve">pod názvem </w:t>
      </w:r>
      <w:r w:rsidR="00535218" w:rsidRPr="00637B70">
        <w:rPr>
          <w:i/>
          <w:iCs/>
          <w:color w:val="auto"/>
        </w:rPr>
        <w:t>IT vybavení odborných učeben</w:t>
      </w:r>
      <w:r w:rsidR="00A14CCC" w:rsidRPr="0056360A">
        <w:rPr>
          <w:color w:val="auto"/>
        </w:rPr>
        <w:t xml:space="preserve">, </w:t>
      </w:r>
      <w:r w:rsidR="00535218" w:rsidRPr="00762C47">
        <w:rPr>
          <w:color w:val="auto"/>
        </w:rPr>
        <w:t>v rozsahu:</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 etapa: Činnosti spojené s vypracováním dokumentace pro podání </w:t>
      </w:r>
      <w:r>
        <w:rPr>
          <w:rFonts w:ascii="Verdana" w:hAnsi="Verdana"/>
          <w:b w:val="0"/>
          <w:sz w:val="20"/>
          <w:szCs w:val="20"/>
        </w:rPr>
        <w:t>nabídek</w:t>
      </w:r>
      <w:r w:rsidRPr="0056360A">
        <w:rPr>
          <w:rFonts w:ascii="Verdana" w:hAnsi="Verdana"/>
          <w:b w:val="0"/>
          <w:sz w:val="20"/>
          <w:szCs w:val="20"/>
        </w:rPr>
        <w:t xml:space="preserve">: </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zadávacích podmínek včetně hodnotících kritérií a jejich konzultace se zadavatelem,</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požadavků na prokázání kvalifikace a jejich konzultace se zadavatelem,</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zadávací dokumentace,</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formulářů pro doložení údajů, které jsou předmětem posouzení kvalifikace,</w:t>
      </w:r>
    </w:p>
    <w:p w:rsidR="0053521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návrhu podmínek a požadavků na zpracování nabídky</w:t>
      </w:r>
    </w:p>
    <w:p w:rsidR="00535218" w:rsidRPr="0056360A"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předání zadávací dokumentace zadavateli pro zajištění posouzení zadávacích podmínek </w:t>
      </w:r>
      <w:r>
        <w:rPr>
          <w:rFonts w:ascii="Verdana" w:hAnsi="Verdana"/>
          <w:sz w:val="20"/>
          <w:szCs w:val="20"/>
        </w:rPr>
        <w:t>Krajským úřadem Ústeckého kraje</w:t>
      </w:r>
    </w:p>
    <w:p w:rsidR="00535218" w:rsidRPr="0056360A"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zapracování připomínek </w:t>
      </w:r>
      <w:r>
        <w:rPr>
          <w:rFonts w:ascii="Verdana" w:hAnsi="Verdana"/>
          <w:sz w:val="20"/>
          <w:szCs w:val="20"/>
        </w:rPr>
        <w:t>Krajského úřadu Ústeckého kraje</w:t>
      </w:r>
      <w:r w:rsidRPr="0056360A">
        <w:rPr>
          <w:rFonts w:ascii="Verdana" w:hAnsi="Verdana"/>
          <w:sz w:val="20"/>
          <w:szCs w:val="20"/>
        </w:rPr>
        <w:t xml:space="preserve"> k zadávacím podmínkám do zadávací dokumentace</w:t>
      </w:r>
    </w:p>
    <w:p w:rsidR="00535218" w:rsidRPr="0056360A" w:rsidRDefault="00535218" w:rsidP="00637B70">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II. etapa: Činnosti spojené s průběhem lhůty pro podání </w:t>
      </w:r>
      <w:r>
        <w:rPr>
          <w:rFonts w:ascii="Verdana" w:hAnsi="Verdana"/>
          <w:b w:val="0"/>
          <w:sz w:val="20"/>
          <w:szCs w:val="20"/>
        </w:rPr>
        <w:t>nabídek</w:t>
      </w:r>
      <w:r w:rsidRPr="0056360A">
        <w:rPr>
          <w:rFonts w:ascii="Verdana" w:hAnsi="Verdana"/>
          <w:b w:val="0"/>
          <w:sz w:val="20"/>
          <w:szCs w:val="20"/>
        </w:rPr>
        <w:t>:</w:t>
      </w:r>
    </w:p>
    <w:p w:rsidR="00535218" w:rsidRPr="00E50DF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ve Věstníku veřejných zakázek („VVZ“)</w:t>
      </w:r>
    </w:p>
    <w:p w:rsidR="00535218" w:rsidRPr="00E50DF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 Úředním věstníku EU („TED“)</w:t>
      </w:r>
    </w:p>
    <w:p w:rsidR="00535218" w:rsidRPr="006018DC" w:rsidRDefault="001B3CF9" w:rsidP="00637B70">
      <w:pPr>
        <w:numPr>
          <w:ilvl w:val="0"/>
          <w:numId w:val="13"/>
        </w:numPr>
        <w:tabs>
          <w:tab w:val="clear" w:pos="720"/>
        </w:tabs>
        <w:spacing w:before="0" w:after="0" w:line="340" w:lineRule="exact"/>
        <w:ind w:left="1134" w:hanging="283"/>
        <w:rPr>
          <w:rFonts w:ascii="Verdana" w:hAnsi="Verdana"/>
          <w:sz w:val="20"/>
          <w:szCs w:val="20"/>
        </w:rPr>
      </w:pPr>
      <w:r w:rsidRPr="006018DC">
        <w:rPr>
          <w:rFonts w:ascii="Verdana" w:hAnsi="Verdana"/>
          <w:sz w:val="20"/>
          <w:szCs w:val="20"/>
        </w:rPr>
        <w:t xml:space="preserve">uveřejnění zadávací dokumentace a jejích příloh </w:t>
      </w:r>
      <w:r w:rsidR="00535218" w:rsidRPr="006018DC">
        <w:rPr>
          <w:rFonts w:ascii="Verdana" w:hAnsi="Verdana"/>
          <w:sz w:val="20"/>
          <w:szCs w:val="20"/>
        </w:rPr>
        <w:t>na Profilu zadavatele:</w:t>
      </w:r>
      <w:r w:rsidR="00535218">
        <w:rPr>
          <w:rFonts w:ascii="Verdana" w:hAnsi="Verdana"/>
          <w:sz w:val="20"/>
          <w:szCs w:val="20"/>
        </w:rPr>
        <w:t xml:space="preserve"> </w:t>
      </w:r>
      <w:r w:rsidR="00535218" w:rsidRPr="00535218">
        <w:rPr>
          <w:rFonts w:ascii="Verdana" w:hAnsi="Verdana"/>
          <w:sz w:val="20"/>
          <w:szCs w:val="20"/>
        </w:rPr>
        <w:t>https://www.tenderarena.cz/profily/SSPGHS</w:t>
      </w:r>
      <w:r w:rsidR="00535218" w:rsidRPr="006018DC">
        <w:rPr>
          <w:rFonts w:ascii="Verdana" w:hAnsi="Verdana"/>
          <w:sz w:val="20"/>
          <w:szCs w:val="20"/>
        </w:rPr>
        <w:t xml:space="preserve"> (dále jen „PZ“)</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odpovědí na dotazy k zadávací dokumentaci,</w:t>
      </w:r>
    </w:p>
    <w:p w:rsidR="00535218" w:rsidRPr="0056360A"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zajištění zveřejnění odpovědí na dotazy k zadávací dokumentaci na PZ</w:t>
      </w:r>
      <w:r w:rsidRPr="0056360A">
        <w:rPr>
          <w:rFonts w:ascii="Verdana" w:hAnsi="Verdana"/>
          <w:sz w:val="20"/>
          <w:szCs w:val="20"/>
        </w:rPr>
        <w:t>,</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III. etapa: Činnosti spojené s průběhem zadávací lhůty:</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otevírání elektronických nabídek jednotlivých účastníků,</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 zpracování protokolu o otevírání elektronických nabídek,</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průběhu posuzování a hodnocení nabídek,</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protokolu/ů o zasedání hodnotící komise,</w:t>
      </w:r>
    </w:p>
    <w:p w:rsidR="0053521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podkladů pro rozhodnutí zadavatele o vyloučení účastníků,</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oznámení vyloučení účastníkům, jejichž nabídky hodnotící komise vyřadila z další účasti v zadávacím řízení</w:t>
      </w:r>
    </w:p>
    <w:p w:rsidR="00535218" w:rsidRPr="0056360A"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vypracování návrhu zprávy o hodnocení nabídek</w:t>
      </w:r>
      <w:r w:rsidRPr="0056360A">
        <w:rPr>
          <w:rFonts w:ascii="Verdana" w:hAnsi="Verdana"/>
          <w:sz w:val="20"/>
          <w:szCs w:val="20"/>
        </w:rPr>
        <w:t>.</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IV. etapa: Činnosti spojené s ukončením zadávacího řízení:</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vypracování podkladů pro rozhodnutí zadavatele o výběru dodavatele,</w:t>
      </w:r>
    </w:p>
    <w:p w:rsidR="0053521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oznámení o výběru dodavatele</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 xml:space="preserve">poskytnutí součinnosti zadavateli při komunikaci s vybraným dodavatelem před podpisem smlouvy (viz </w:t>
      </w:r>
      <w:proofErr w:type="spellStart"/>
      <w:r w:rsidRPr="00E50DF8">
        <w:rPr>
          <w:rFonts w:ascii="Verdana" w:hAnsi="Verdana"/>
          <w:sz w:val="20"/>
          <w:szCs w:val="20"/>
        </w:rPr>
        <w:t>ust</w:t>
      </w:r>
      <w:proofErr w:type="spellEnd"/>
      <w:r w:rsidRPr="00E50DF8">
        <w:rPr>
          <w:rFonts w:ascii="Verdana" w:hAnsi="Verdana"/>
          <w:sz w:val="20"/>
          <w:szCs w:val="20"/>
        </w:rPr>
        <w:t>. § 122, § 123 ZZVZ)</w:t>
      </w:r>
    </w:p>
    <w:p w:rsidR="00535218" w:rsidRPr="00BD239D"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písemné zprávy zadavatele,</w:t>
      </w:r>
    </w:p>
    <w:p w:rsidR="00535218" w:rsidRPr="00E50DF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uveřejnění všech povinných informací ve VVZ</w:t>
      </w:r>
    </w:p>
    <w:p w:rsidR="00535218" w:rsidRPr="00E50DF8" w:rsidRDefault="00535218" w:rsidP="00637B70">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lastRenderedPageBreak/>
        <w:t>zajištění uveřejnění všech povinných informací v TED</w:t>
      </w:r>
    </w:p>
    <w:p w:rsidR="00535218" w:rsidRPr="0056360A" w:rsidRDefault="00535218" w:rsidP="00637B70">
      <w:pPr>
        <w:numPr>
          <w:ilvl w:val="0"/>
          <w:numId w:val="13"/>
        </w:numPr>
        <w:tabs>
          <w:tab w:val="clear" w:pos="720"/>
        </w:tabs>
        <w:spacing w:before="0" w:after="0" w:line="340" w:lineRule="exact"/>
        <w:ind w:left="1134" w:hanging="283"/>
        <w:rPr>
          <w:rFonts w:ascii="Verdana" w:hAnsi="Verdana"/>
          <w:sz w:val="20"/>
          <w:szCs w:val="20"/>
        </w:rPr>
      </w:pPr>
      <w:r>
        <w:rPr>
          <w:rFonts w:ascii="Verdana" w:hAnsi="Verdana"/>
          <w:sz w:val="20"/>
          <w:szCs w:val="20"/>
        </w:rPr>
        <w:t xml:space="preserve">sestavení archivního </w:t>
      </w:r>
      <w:proofErr w:type="spellStart"/>
      <w:r>
        <w:rPr>
          <w:rFonts w:ascii="Verdana" w:hAnsi="Verdana"/>
          <w:sz w:val="20"/>
          <w:szCs w:val="20"/>
        </w:rPr>
        <w:t>paré</w:t>
      </w:r>
      <w:proofErr w:type="spellEnd"/>
      <w:r>
        <w:rPr>
          <w:rFonts w:ascii="Verdana" w:hAnsi="Verdana"/>
          <w:sz w:val="20"/>
          <w:szCs w:val="20"/>
        </w:rPr>
        <w:t xml:space="preserve"> dokumentace zadávacího řízení</w:t>
      </w:r>
      <w:r w:rsidRPr="0056360A">
        <w:rPr>
          <w:rFonts w:ascii="Verdana" w:hAnsi="Verdana"/>
          <w:sz w:val="20"/>
          <w:szCs w:val="20"/>
        </w:rPr>
        <w:t>.</w:t>
      </w:r>
    </w:p>
    <w:p w:rsidR="00535218" w:rsidRPr="0056360A" w:rsidRDefault="00535218" w:rsidP="00535218">
      <w:pPr>
        <w:spacing w:before="0" w:after="0" w:line="340" w:lineRule="exact"/>
        <w:ind w:left="1134" w:firstLine="0"/>
        <w:rPr>
          <w:rFonts w:ascii="Verdana" w:hAnsi="Verdana"/>
          <w:spacing w:val="-4"/>
          <w:sz w:val="20"/>
          <w:szCs w:val="20"/>
        </w:rPr>
      </w:pPr>
    </w:p>
    <w:p w:rsidR="00597386" w:rsidRPr="00637B70" w:rsidRDefault="00A14CCC" w:rsidP="00637B70">
      <w:pPr>
        <w:pStyle w:val="Nadpis4"/>
        <w:spacing w:before="0" w:after="0" w:line="340" w:lineRule="exact"/>
        <w:ind w:left="851"/>
        <w:rPr>
          <w:rFonts w:ascii="Verdana" w:hAnsi="Verdana"/>
          <w:b w:val="0"/>
          <w:sz w:val="20"/>
          <w:szCs w:val="20"/>
        </w:rPr>
      </w:pPr>
      <w:r w:rsidRPr="00637B70">
        <w:rPr>
          <w:rFonts w:ascii="Verdana" w:hAnsi="Verdana"/>
          <w:b w:val="0"/>
          <w:sz w:val="20"/>
          <w:szCs w:val="20"/>
        </w:rPr>
        <w:t>komunikace s dodavateli prostřednictvím certifikovaného elektronického nástroje</w:t>
      </w:r>
      <w:r w:rsidR="001B3CF9">
        <w:rPr>
          <w:rFonts w:ascii="Verdana" w:hAnsi="Verdana"/>
          <w:b w:val="0"/>
          <w:sz w:val="20"/>
          <w:szCs w:val="20"/>
        </w:rPr>
        <w:t xml:space="preserve"> </w:t>
      </w:r>
      <w:bookmarkStart w:id="1" w:name="_Hlk105091172"/>
      <w:proofErr w:type="spellStart"/>
      <w:proofErr w:type="gramStart"/>
      <w:r w:rsidRPr="00637B70">
        <w:rPr>
          <w:rFonts w:ascii="Verdana" w:hAnsi="Verdana"/>
          <w:b w:val="0"/>
          <w:sz w:val="20"/>
          <w:szCs w:val="20"/>
        </w:rPr>
        <w:t>eGORDION</w:t>
      </w:r>
      <w:proofErr w:type="spellEnd"/>
      <w:r w:rsidRPr="00637B70">
        <w:rPr>
          <w:rFonts w:ascii="Verdana" w:hAnsi="Verdana"/>
          <w:b w:val="0"/>
          <w:sz w:val="20"/>
          <w:szCs w:val="20"/>
        </w:rPr>
        <w:t xml:space="preserve"> - </w:t>
      </w:r>
      <w:bookmarkEnd w:id="1"/>
      <w:r w:rsidRPr="00637B70">
        <w:rPr>
          <w:rFonts w:ascii="Verdana" w:hAnsi="Verdana"/>
          <w:b w:val="0"/>
          <w:sz w:val="20"/>
          <w:szCs w:val="20"/>
        </w:rPr>
        <w:t>Tender</w:t>
      </w:r>
      <w:proofErr w:type="gramEnd"/>
      <w:r w:rsidRPr="00637B70">
        <w:rPr>
          <w:rFonts w:ascii="Verdana" w:hAnsi="Verdana"/>
          <w:b w:val="0"/>
          <w:sz w:val="20"/>
          <w:szCs w:val="20"/>
        </w:rPr>
        <w:t xml:space="preserve"> arena</w:t>
      </w:r>
      <w:r w:rsidR="00597386" w:rsidRPr="00637B70">
        <w:rPr>
          <w:rFonts w:ascii="Verdana" w:hAnsi="Verdana"/>
          <w:b w:val="0"/>
          <w:sz w:val="20"/>
          <w:szCs w:val="20"/>
        </w:rPr>
        <w:t>.</w:t>
      </w:r>
    </w:p>
    <w:p w:rsidR="00597386" w:rsidRPr="0056360A" w:rsidRDefault="00597386" w:rsidP="004B51C0">
      <w:pPr>
        <w:spacing w:before="0" w:after="0" w:line="340" w:lineRule="exact"/>
        <w:ind w:left="1134" w:firstLine="0"/>
        <w:rPr>
          <w:rFonts w:ascii="Verdana" w:hAnsi="Verdana"/>
          <w:spacing w:val="-4"/>
          <w:sz w:val="20"/>
          <w:szCs w:val="20"/>
        </w:rPr>
      </w:pPr>
    </w:p>
    <w:p w:rsidR="00535218" w:rsidRPr="00535218" w:rsidRDefault="00A14CCC" w:rsidP="00535218">
      <w:pPr>
        <w:pStyle w:val="Odstavec"/>
        <w:numPr>
          <w:ilvl w:val="1"/>
          <w:numId w:val="12"/>
        </w:numPr>
        <w:rPr>
          <w:color w:val="auto"/>
        </w:rPr>
      </w:pPr>
      <w:r w:rsidRPr="0056360A">
        <w:rPr>
          <w:color w:val="auto"/>
        </w:rPr>
        <w:t xml:space="preserve">Obstarání organizace zadávacího řízení </w:t>
      </w:r>
      <w:r w:rsidR="00535218" w:rsidRPr="0056360A">
        <w:rPr>
          <w:color w:val="auto"/>
        </w:rPr>
        <w:t xml:space="preserve">na výběr dodavatele </w:t>
      </w:r>
      <w:r w:rsidR="00535218" w:rsidRPr="00535218">
        <w:rPr>
          <w:i/>
          <w:iCs/>
          <w:color w:val="auto"/>
        </w:rPr>
        <w:t>Vizualizační technik</w:t>
      </w:r>
      <w:r w:rsidR="00535218">
        <w:rPr>
          <w:i/>
          <w:iCs/>
          <w:color w:val="auto"/>
        </w:rPr>
        <w:t>y</w:t>
      </w:r>
      <w:r w:rsidR="00535218" w:rsidRPr="0056360A">
        <w:rPr>
          <w:color w:val="auto"/>
        </w:rPr>
        <w:t xml:space="preserve"> pro projekt, a to v souladu s platným ZZVZ, v </w:t>
      </w:r>
      <w:r w:rsidR="00535218">
        <w:rPr>
          <w:color w:val="auto"/>
        </w:rPr>
        <w:t>na</w:t>
      </w:r>
      <w:r w:rsidR="00535218" w:rsidRPr="0056360A">
        <w:rPr>
          <w:color w:val="auto"/>
        </w:rPr>
        <w:t>dlimitní veřejné zakázce na dodávky zadávané v</w:t>
      </w:r>
      <w:r w:rsidR="00535218">
        <w:rPr>
          <w:color w:val="auto"/>
        </w:rPr>
        <w:t xml:space="preserve"> otevřeném</w:t>
      </w:r>
      <w:r w:rsidR="00535218" w:rsidRPr="0056360A">
        <w:rPr>
          <w:color w:val="auto"/>
        </w:rPr>
        <w:t xml:space="preserve"> řízení dle § 5</w:t>
      </w:r>
      <w:r w:rsidR="00535218">
        <w:rPr>
          <w:color w:val="auto"/>
        </w:rPr>
        <w:t>6</w:t>
      </w:r>
      <w:r w:rsidR="00535218" w:rsidRPr="0056360A">
        <w:rPr>
          <w:color w:val="auto"/>
        </w:rPr>
        <w:t xml:space="preserve"> ZZVZ, pod názvem </w:t>
      </w:r>
      <w:r w:rsidR="00535218" w:rsidRPr="00535218">
        <w:rPr>
          <w:i/>
          <w:iCs/>
          <w:color w:val="auto"/>
        </w:rPr>
        <w:t>Vizualizační technika</w:t>
      </w:r>
      <w:r w:rsidR="00535218" w:rsidRPr="0056360A">
        <w:rPr>
          <w:color w:val="auto"/>
        </w:rPr>
        <w:t xml:space="preserve">, </w:t>
      </w:r>
      <w:r w:rsidR="00535218" w:rsidRPr="00535218">
        <w:rPr>
          <w:color w:val="auto"/>
        </w:rPr>
        <w:t>v rozsahu:</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 etapa: Činnosti spojené s vypracováním dokumentace pro podání </w:t>
      </w:r>
      <w:r>
        <w:rPr>
          <w:rFonts w:ascii="Verdana" w:hAnsi="Verdana"/>
          <w:b w:val="0"/>
          <w:sz w:val="20"/>
          <w:szCs w:val="20"/>
        </w:rPr>
        <w:t>nabídek</w:t>
      </w:r>
      <w:r w:rsidRPr="0056360A">
        <w:rPr>
          <w:rFonts w:ascii="Verdana" w:hAnsi="Verdana"/>
          <w:b w:val="0"/>
          <w:sz w:val="20"/>
          <w:szCs w:val="20"/>
        </w:rPr>
        <w:t xml:space="preserve">: </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zadávacích podmínek včetně hodnotících kritérií a jejich konzultace se zadavatelem,</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požadavků na prokázání kvalifikace a jejich konzultace se zadavatelem,</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zadávací dokumentace,</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formulářů pro doložení údajů, které jsou předmětem posouzení kvalifikace,</w:t>
      </w:r>
    </w:p>
    <w:p w:rsidR="0053521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návrhu podmínek a požadavků na zpracování nabídky</w:t>
      </w:r>
    </w:p>
    <w:p w:rsidR="00535218" w:rsidRPr="0056360A"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předání zadávací dokumentace zadavateli pro zajištění posouzení zadávacích podmínek </w:t>
      </w:r>
      <w:r>
        <w:rPr>
          <w:rFonts w:ascii="Verdana" w:hAnsi="Verdana"/>
          <w:sz w:val="20"/>
          <w:szCs w:val="20"/>
        </w:rPr>
        <w:t>Krajským úřadem Ústeckého kraje</w:t>
      </w:r>
    </w:p>
    <w:p w:rsidR="00535218" w:rsidRPr="0056360A"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zapracování připomínek </w:t>
      </w:r>
      <w:r>
        <w:rPr>
          <w:rFonts w:ascii="Verdana" w:hAnsi="Verdana"/>
          <w:sz w:val="20"/>
          <w:szCs w:val="20"/>
        </w:rPr>
        <w:t>Krajského úřadu Ústeckého kraje</w:t>
      </w:r>
      <w:r w:rsidRPr="0056360A">
        <w:rPr>
          <w:rFonts w:ascii="Verdana" w:hAnsi="Verdana"/>
          <w:sz w:val="20"/>
          <w:szCs w:val="20"/>
        </w:rPr>
        <w:t xml:space="preserve"> k zadávacím podmínkám do zadávací dokumentace</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II. etapa: Činnosti spojené s průběhem lhůty pro podání </w:t>
      </w:r>
      <w:r>
        <w:rPr>
          <w:rFonts w:ascii="Verdana" w:hAnsi="Verdana"/>
          <w:b w:val="0"/>
          <w:sz w:val="20"/>
          <w:szCs w:val="20"/>
        </w:rPr>
        <w:t>nabídek</w:t>
      </w:r>
      <w:r w:rsidRPr="0056360A">
        <w:rPr>
          <w:rFonts w:ascii="Verdana" w:hAnsi="Verdana"/>
          <w:b w:val="0"/>
          <w:sz w:val="20"/>
          <w:szCs w:val="20"/>
        </w:rPr>
        <w:t>:</w:t>
      </w:r>
    </w:p>
    <w:p w:rsidR="00535218" w:rsidRPr="00E50DF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ve VVZ</w:t>
      </w:r>
    </w:p>
    <w:p w:rsidR="00535218" w:rsidRPr="00E50DF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 TED</w:t>
      </w:r>
    </w:p>
    <w:p w:rsidR="00535218" w:rsidRPr="006018DC" w:rsidRDefault="001B3CF9" w:rsidP="00535218">
      <w:pPr>
        <w:numPr>
          <w:ilvl w:val="0"/>
          <w:numId w:val="13"/>
        </w:numPr>
        <w:tabs>
          <w:tab w:val="clear" w:pos="720"/>
        </w:tabs>
        <w:spacing w:before="0" w:after="0" w:line="340" w:lineRule="exact"/>
        <w:ind w:left="1134" w:hanging="283"/>
        <w:rPr>
          <w:rFonts w:ascii="Verdana" w:hAnsi="Verdana"/>
          <w:sz w:val="20"/>
          <w:szCs w:val="20"/>
        </w:rPr>
      </w:pPr>
      <w:r w:rsidRPr="006018DC">
        <w:rPr>
          <w:rFonts w:ascii="Verdana" w:hAnsi="Verdana"/>
          <w:sz w:val="20"/>
          <w:szCs w:val="20"/>
        </w:rPr>
        <w:t>uveřejnění</w:t>
      </w:r>
      <w:r w:rsidR="00535218" w:rsidRPr="006018DC">
        <w:rPr>
          <w:rFonts w:ascii="Verdana" w:hAnsi="Verdana"/>
          <w:sz w:val="20"/>
          <w:szCs w:val="20"/>
        </w:rPr>
        <w:t xml:space="preserve"> zadávací dokumentace a jejích příloh na PZ</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odpovědí na dotazy k zadávací dokumentaci,</w:t>
      </w:r>
    </w:p>
    <w:p w:rsidR="00535218" w:rsidRPr="0056360A"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zajištění zveřejnění odpovědí na dotazy k zadávací dokumentaci na PZ</w:t>
      </w:r>
      <w:r w:rsidRPr="0056360A">
        <w:rPr>
          <w:rFonts w:ascii="Verdana" w:hAnsi="Verdana"/>
          <w:sz w:val="20"/>
          <w:szCs w:val="20"/>
        </w:rPr>
        <w:t>,</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III. etapa: Činnosti spojené s průběhem zadávací lhůty:</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otevírání elektronických nabídek jednotlivých účastníků,</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 zpracování protokolu o otevírání elektronických nabídek,</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průběhu posuzování a hodnocení nabídek,</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protokolu/ů o zasedání hodnotící komise,</w:t>
      </w:r>
    </w:p>
    <w:p w:rsidR="0053521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podkladů pro rozhodnutí zadavatele o vyloučení účastníků,</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oznámení vyloučení účastníkům, jejichž nabídky hodnotící komise vyřadila z další účasti v zadávacím řízení</w:t>
      </w:r>
    </w:p>
    <w:p w:rsidR="00535218" w:rsidRPr="0056360A"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vypracování návrhu zprávy o hodnocení nabídek</w:t>
      </w:r>
      <w:r w:rsidRPr="0056360A">
        <w:rPr>
          <w:rFonts w:ascii="Verdana" w:hAnsi="Verdana"/>
          <w:sz w:val="20"/>
          <w:szCs w:val="20"/>
        </w:rPr>
        <w:t>.</w:t>
      </w:r>
    </w:p>
    <w:p w:rsidR="00535218" w:rsidRPr="0056360A" w:rsidRDefault="00535218" w:rsidP="00535218">
      <w:pPr>
        <w:pStyle w:val="Nadpis4"/>
        <w:spacing w:before="0" w:after="0" w:line="340" w:lineRule="exact"/>
        <w:ind w:left="792"/>
        <w:rPr>
          <w:rFonts w:ascii="Verdana" w:hAnsi="Verdana"/>
          <w:b w:val="0"/>
          <w:sz w:val="20"/>
          <w:szCs w:val="20"/>
        </w:rPr>
      </w:pPr>
      <w:r w:rsidRPr="0056360A">
        <w:rPr>
          <w:rFonts w:ascii="Verdana" w:hAnsi="Verdana"/>
          <w:b w:val="0"/>
          <w:sz w:val="20"/>
          <w:szCs w:val="20"/>
        </w:rPr>
        <w:t>IV. etapa: Činnosti spojené s ukončením zadávacího řízení:</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vypracování podkladů pro rozhodnutí zadavatele o výběru dodavatele,</w:t>
      </w:r>
    </w:p>
    <w:p w:rsidR="0053521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oznámení o výběru dodavatele</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lastRenderedPageBreak/>
        <w:t xml:space="preserve">poskytnutí součinnosti zadavateli při komunikaci s vybraným dodavatelem před podpisem smlouvy (viz </w:t>
      </w:r>
      <w:proofErr w:type="spellStart"/>
      <w:r w:rsidRPr="00E50DF8">
        <w:rPr>
          <w:rFonts w:ascii="Verdana" w:hAnsi="Verdana"/>
          <w:sz w:val="20"/>
          <w:szCs w:val="20"/>
        </w:rPr>
        <w:t>ust</w:t>
      </w:r>
      <w:proofErr w:type="spellEnd"/>
      <w:r w:rsidRPr="00E50DF8">
        <w:rPr>
          <w:rFonts w:ascii="Verdana" w:hAnsi="Verdana"/>
          <w:sz w:val="20"/>
          <w:szCs w:val="20"/>
        </w:rPr>
        <w:t>. § 122, § 123 ZZVZ)</w:t>
      </w:r>
    </w:p>
    <w:p w:rsidR="00535218" w:rsidRPr="00BD239D"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písemné zprávy zadavatele,</w:t>
      </w:r>
    </w:p>
    <w:p w:rsidR="00535218" w:rsidRPr="00E50DF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uveřejnění všech povinných informací ve VVZ</w:t>
      </w:r>
    </w:p>
    <w:p w:rsidR="00535218" w:rsidRPr="00E50DF8" w:rsidRDefault="00535218" w:rsidP="00535218">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uveřejnění všech povinných informací v TED</w:t>
      </w:r>
    </w:p>
    <w:p w:rsidR="00535218" w:rsidRPr="0056360A" w:rsidRDefault="00535218" w:rsidP="00535218">
      <w:pPr>
        <w:numPr>
          <w:ilvl w:val="0"/>
          <w:numId w:val="13"/>
        </w:numPr>
        <w:tabs>
          <w:tab w:val="clear" w:pos="720"/>
        </w:tabs>
        <w:spacing w:before="0" w:after="0" w:line="340" w:lineRule="exact"/>
        <w:ind w:left="1134" w:hanging="283"/>
        <w:rPr>
          <w:rFonts w:ascii="Verdana" w:hAnsi="Verdana"/>
          <w:sz w:val="20"/>
          <w:szCs w:val="20"/>
        </w:rPr>
      </w:pPr>
      <w:r>
        <w:rPr>
          <w:rFonts w:ascii="Verdana" w:hAnsi="Verdana"/>
          <w:sz w:val="20"/>
          <w:szCs w:val="20"/>
        </w:rPr>
        <w:t xml:space="preserve">sestavení archivního </w:t>
      </w:r>
      <w:proofErr w:type="spellStart"/>
      <w:r>
        <w:rPr>
          <w:rFonts w:ascii="Verdana" w:hAnsi="Verdana"/>
          <w:sz w:val="20"/>
          <w:szCs w:val="20"/>
        </w:rPr>
        <w:t>paré</w:t>
      </w:r>
      <w:proofErr w:type="spellEnd"/>
      <w:r>
        <w:rPr>
          <w:rFonts w:ascii="Verdana" w:hAnsi="Verdana"/>
          <w:sz w:val="20"/>
          <w:szCs w:val="20"/>
        </w:rPr>
        <w:t xml:space="preserve"> dokumentace zadávacího řízení</w:t>
      </w:r>
      <w:r w:rsidRPr="0056360A">
        <w:rPr>
          <w:rFonts w:ascii="Verdana" w:hAnsi="Verdana"/>
          <w:sz w:val="20"/>
          <w:szCs w:val="20"/>
        </w:rPr>
        <w:t>.</w:t>
      </w:r>
    </w:p>
    <w:p w:rsidR="00535218" w:rsidRPr="0056360A" w:rsidRDefault="00535218" w:rsidP="00535218">
      <w:pPr>
        <w:spacing w:before="0" w:after="0" w:line="340" w:lineRule="exact"/>
        <w:ind w:left="1134" w:firstLine="0"/>
        <w:rPr>
          <w:rFonts w:ascii="Verdana" w:hAnsi="Verdana"/>
          <w:spacing w:val="-4"/>
          <w:sz w:val="20"/>
          <w:szCs w:val="20"/>
        </w:rPr>
      </w:pPr>
    </w:p>
    <w:p w:rsidR="00535218" w:rsidRDefault="00535218" w:rsidP="00535218">
      <w:pPr>
        <w:pStyle w:val="Odstavec"/>
        <w:ind w:left="792"/>
      </w:pPr>
      <w:r w:rsidRPr="00157FC4">
        <w:t xml:space="preserve">komunikace s dodavateli prostřednictvím certifikovaného elektronického nástroje </w:t>
      </w:r>
      <w:proofErr w:type="spellStart"/>
      <w:proofErr w:type="gramStart"/>
      <w:r w:rsidRPr="00157FC4">
        <w:t>eGORDION</w:t>
      </w:r>
      <w:proofErr w:type="spellEnd"/>
      <w:r w:rsidRPr="00157FC4">
        <w:t xml:space="preserve"> - Tender</w:t>
      </w:r>
      <w:proofErr w:type="gramEnd"/>
      <w:r w:rsidRPr="00157FC4">
        <w:t xml:space="preserve"> arena</w:t>
      </w:r>
    </w:p>
    <w:p w:rsidR="001B3CF9" w:rsidRPr="0056360A" w:rsidRDefault="001B3CF9" w:rsidP="00637B70">
      <w:pPr>
        <w:pStyle w:val="Odstavec"/>
        <w:ind w:left="792"/>
        <w:rPr>
          <w:color w:val="auto"/>
        </w:rPr>
      </w:pPr>
    </w:p>
    <w:p w:rsidR="001B3CF9" w:rsidRPr="00535218" w:rsidRDefault="001B3CF9" w:rsidP="001B3CF9">
      <w:pPr>
        <w:pStyle w:val="Odstavec"/>
        <w:numPr>
          <w:ilvl w:val="1"/>
          <w:numId w:val="12"/>
        </w:numPr>
        <w:rPr>
          <w:color w:val="auto"/>
        </w:rPr>
      </w:pPr>
      <w:r w:rsidRPr="0056360A">
        <w:rPr>
          <w:color w:val="auto"/>
        </w:rPr>
        <w:t xml:space="preserve">Obstarání organizace zadávacího řízení na výběr dodavatele </w:t>
      </w:r>
      <w:r w:rsidRPr="00637B70">
        <w:rPr>
          <w:i/>
          <w:iCs/>
          <w:color w:val="auto"/>
        </w:rPr>
        <w:t>školního</w:t>
      </w:r>
      <w:r>
        <w:rPr>
          <w:color w:val="auto"/>
        </w:rPr>
        <w:t xml:space="preserve"> </w:t>
      </w:r>
      <w:r>
        <w:rPr>
          <w:i/>
          <w:iCs/>
          <w:color w:val="auto"/>
        </w:rPr>
        <w:t xml:space="preserve">nábytku </w:t>
      </w:r>
      <w:r w:rsidRPr="0056360A">
        <w:rPr>
          <w:color w:val="auto"/>
        </w:rPr>
        <w:t xml:space="preserve">pro projekt, a to v souladu s platným ZZVZ, v </w:t>
      </w:r>
      <w:r>
        <w:rPr>
          <w:color w:val="auto"/>
        </w:rPr>
        <w:t>na</w:t>
      </w:r>
      <w:r w:rsidRPr="0056360A">
        <w:rPr>
          <w:color w:val="auto"/>
        </w:rPr>
        <w:t>dlimitní veřejné zakázce na dodávky zadávané v</w:t>
      </w:r>
      <w:r>
        <w:rPr>
          <w:color w:val="auto"/>
        </w:rPr>
        <w:t xml:space="preserve"> otevřeném</w:t>
      </w:r>
      <w:r w:rsidRPr="0056360A">
        <w:rPr>
          <w:color w:val="auto"/>
        </w:rPr>
        <w:t xml:space="preserve"> řízení dle § 5</w:t>
      </w:r>
      <w:r>
        <w:rPr>
          <w:color w:val="auto"/>
        </w:rPr>
        <w:t>6</w:t>
      </w:r>
      <w:r w:rsidRPr="0056360A">
        <w:rPr>
          <w:color w:val="auto"/>
        </w:rPr>
        <w:t xml:space="preserve"> ZZVZ, pod názvem </w:t>
      </w:r>
      <w:r w:rsidRPr="001B3CF9">
        <w:rPr>
          <w:i/>
          <w:iCs/>
          <w:color w:val="auto"/>
        </w:rPr>
        <w:t>Dodávka školního nábytku</w:t>
      </w:r>
      <w:r w:rsidRPr="0056360A">
        <w:rPr>
          <w:color w:val="auto"/>
        </w:rPr>
        <w:t xml:space="preserve">, </w:t>
      </w:r>
      <w:r w:rsidRPr="00535218">
        <w:rPr>
          <w:color w:val="auto"/>
        </w:rPr>
        <w:t>v rozsahu:</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 etapa: Činnosti spojené s vypracováním dokumentace pro podání </w:t>
      </w:r>
      <w:r>
        <w:rPr>
          <w:rFonts w:ascii="Verdana" w:hAnsi="Verdana"/>
          <w:b w:val="0"/>
          <w:sz w:val="20"/>
          <w:szCs w:val="20"/>
        </w:rPr>
        <w:t>nabídek</w:t>
      </w:r>
      <w:r w:rsidRPr="0056360A">
        <w:rPr>
          <w:rFonts w:ascii="Verdana" w:hAnsi="Verdana"/>
          <w:b w:val="0"/>
          <w:sz w:val="20"/>
          <w:szCs w:val="20"/>
        </w:rPr>
        <w:t xml:space="preserve">: </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zadávacích podmínek včetně hodnotících kritérií a jejich konzultace se zadavatelem,</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požadavků na prokázání kvalifikace a jejich konzultace se zadavatelem,</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zadávací dokumentace,</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formulářů pro doložení údajů, které jsou předmětem posouzení kvalifikace,</w:t>
      </w:r>
    </w:p>
    <w:p w:rsidR="001B3CF9"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sestavení návrhu podmínek a požadavků na zpracování nabídky</w:t>
      </w:r>
    </w:p>
    <w:p w:rsidR="001B3CF9" w:rsidRPr="0056360A"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předání zadávací dokumentace zadavateli pro zajištění posouzení zadávacích podmínek </w:t>
      </w:r>
      <w:r>
        <w:rPr>
          <w:rFonts w:ascii="Verdana" w:hAnsi="Verdana"/>
          <w:sz w:val="20"/>
          <w:szCs w:val="20"/>
        </w:rPr>
        <w:t>Krajským úřadem Ústeckého kraje</w:t>
      </w:r>
    </w:p>
    <w:p w:rsidR="001B3CF9" w:rsidRPr="0056360A"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56360A">
        <w:rPr>
          <w:rFonts w:ascii="Verdana" w:hAnsi="Verdana"/>
          <w:sz w:val="20"/>
          <w:szCs w:val="20"/>
        </w:rPr>
        <w:t xml:space="preserve">zapracování připomínek </w:t>
      </w:r>
      <w:r>
        <w:rPr>
          <w:rFonts w:ascii="Verdana" w:hAnsi="Verdana"/>
          <w:sz w:val="20"/>
          <w:szCs w:val="20"/>
        </w:rPr>
        <w:t>Krajského úřadu Ústeckého kraje</w:t>
      </w:r>
      <w:r w:rsidRPr="0056360A">
        <w:rPr>
          <w:rFonts w:ascii="Verdana" w:hAnsi="Verdana"/>
          <w:sz w:val="20"/>
          <w:szCs w:val="20"/>
        </w:rPr>
        <w:t xml:space="preserve"> k zadávacím podmínkám do zadávací dokumentace</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II. etapa: Činnosti spojené s průběhem lhůty pro podání </w:t>
      </w:r>
      <w:r>
        <w:rPr>
          <w:rFonts w:ascii="Verdana" w:hAnsi="Verdana"/>
          <w:b w:val="0"/>
          <w:sz w:val="20"/>
          <w:szCs w:val="20"/>
        </w:rPr>
        <w:t>nabídek</w:t>
      </w:r>
      <w:r w:rsidRPr="0056360A">
        <w:rPr>
          <w:rFonts w:ascii="Verdana" w:hAnsi="Verdana"/>
          <w:b w:val="0"/>
          <w:sz w:val="20"/>
          <w:szCs w:val="20"/>
        </w:rPr>
        <w:t>:</w:t>
      </w:r>
    </w:p>
    <w:p w:rsidR="001B3CF9" w:rsidRPr="00E50DF8"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ve VVZ</w:t>
      </w:r>
    </w:p>
    <w:p w:rsidR="001B3CF9" w:rsidRPr="00E50DF8"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uveřejnění Oznámení o zahájení zadávacího řízení v TED</w:t>
      </w:r>
    </w:p>
    <w:p w:rsidR="001B3CF9" w:rsidRPr="006018DC"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6018DC">
        <w:rPr>
          <w:rFonts w:ascii="Verdana" w:hAnsi="Verdana"/>
          <w:sz w:val="20"/>
          <w:szCs w:val="20"/>
        </w:rPr>
        <w:t>uveřejnění zadávací dokumentace a jejích příloh na PZ</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odpovědí na dotazy k zadávací dokumentaci,</w:t>
      </w:r>
    </w:p>
    <w:p w:rsidR="001B3CF9" w:rsidRPr="0056360A"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zajištění zveřejnění odpovědí na dotazy k zadávací dokumentaci na PZ</w:t>
      </w:r>
      <w:r w:rsidRPr="0056360A">
        <w:rPr>
          <w:rFonts w:ascii="Verdana" w:hAnsi="Verdana"/>
          <w:sz w:val="20"/>
          <w:szCs w:val="20"/>
        </w:rPr>
        <w:t>,</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III. etapa: Činnosti spojené s průběhem zadávací lhůty:</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otevírání elektronických nabídek jednotlivých účastníků,</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 zpracování protokolu o otevírání elektronických nabídek,</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organizační zajištění průběhu posuzování a hodnocení nabídek,</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protokolu/ů o zasedání hodnotící komise,</w:t>
      </w:r>
    </w:p>
    <w:p w:rsidR="001B3CF9"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návrh podkladů pro rozhodnutí zadavatele o vyloučení účastníků,</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oznámení vyloučení účastníkům, jejichž nabídky hodnotící komise vyřadila z další účasti v zadávacím řízení</w:t>
      </w:r>
    </w:p>
    <w:p w:rsidR="001B3CF9" w:rsidRPr="0056360A"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lastRenderedPageBreak/>
        <w:t>vypracování návrhu zprávy o hodnocení nabídek</w:t>
      </w:r>
      <w:r w:rsidRPr="0056360A">
        <w:rPr>
          <w:rFonts w:ascii="Verdana" w:hAnsi="Verdana"/>
          <w:sz w:val="20"/>
          <w:szCs w:val="20"/>
        </w:rPr>
        <w:t>.</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IV. etapa: Činnosti spojené s ukončením zadávacího řízení:</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vypracování podkladů pro rozhodnutí zadavatele o výběru dodavatele,</w:t>
      </w:r>
    </w:p>
    <w:p w:rsidR="001B3CF9"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oznámení o výběru dodavatele</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 xml:space="preserve">poskytnutí součinnosti zadavateli při komunikaci s vybraným dodavatelem před podpisem smlouvy (viz </w:t>
      </w:r>
      <w:proofErr w:type="spellStart"/>
      <w:r w:rsidRPr="00E50DF8">
        <w:rPr>
          <w:rFonts w:ascii="Verdana" w:hAnsi="Verdana"/>
          <w:sz w:val="20"/>
          <w:szCs w:val="20"/>
        </w:rPr>
        <w:t>ust</w:t>
      </w:r>
      <w:proofErr w:type="spellEnd"/>
      <w:r w:rsidRPr="00E50DF8">
        <w:rPr>
          <w:rFonts w:ascii="Verdana" w:hAnsi="Verdana"/>
          <w:sz w:val="20"/>
          <w:szCs w:val="20"/>
        </w:rPr>
        <w:t>. § 122, § 123 ZZVZ)</w:t>
      </w:r>
    </w:p>
    <w:p w:rsidR="001B3CF9" w:rsidRPr="00BD239D"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BD239D">
        <w:rPr>
          <w:rFonts w:ascii="Verdana" w:hAnsi="Verdana"/>
          <w:sz w:val="20"/>
          <w:szCs w:val="20"/>
        </w:rPr>
        <w:t>zpracování návrhu písemné zprávy zadavatele,</w:t>
      </w:r>
    </w:p>
    <w:p w:rsidR="001B3CF9" w:rsidRPr="00E50DF8"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uveřejnění všech povinných informací ve VVZ</w:t>
      </w:r>
    </w:p>
    <w:p w:rsidR="001B3CF9" w:rsidRPr="00E50DF8" w:rsidRDefault="001B3CF9" w:rsidP="001B3CF9">
      <w:pPr>
        <w:numPr>
          <w:ilvl w:val="0"/>
          <w:numId w:val="13"/>
        </w:numPr>
        <w:tabs>
          <w:tab w:val="clear" w:pos="720"/>
        </w:tabs>
        <w:spacing w:before="0" w:after="0" w:line="340" w:lineRule="exact"/>
        <w:ind w:left="1134" w:hanging="283"/>
        <w:rPr>
          <w:rFonts w:ascii="Verdana" w:hAnsi="Verdana"/>
          <w:sz w:val="20"/>
          <w:szCs w:val="20"/>
        </w:rPr>
      </w:pPr>
      <w:r w:rsidRPr="00E50DF8">
        <w:rPr>
          <w:rFonts w:ascii="Verdana" w:hAnsi="Verdana"/>
          <w:sz w:val="20"/>
          <w:szCs w:val="20"/>
        </w:rPr>
        <w:t>zajištění uveřejnění všech povinných informací v TED</w:t>
      </w:r>
    </w:p>
    <w:p w:rsidR="001B3CF9" w:rsidRPr="0056360A" w:rsidRDefault="001B3CF9" w:rsidP="001B3CF9">
      <w:pPr>
        <w:numPr>
          <w:ilvl w:val="0"/>
          <w:numId w:val="13"/>
        </w:numPr>
        <w:tabs>
          <w:tab w:val="clear" w:pos="720"/>
        </w:tabs>
        <w:spacing w:before="0" w:after="0" w:line="340" w:lineRule="exact"/>
        <w:ind w:left="1134" w:hanging="283"/>
        <w:rPr>
          <w:rFonts w:ascii="Verdana" w:hAnsi="Verdana"/>
          <w:sz w:val="20"/>
          <w:szCs w:val="20"/>
        </w:rPr>
      </w:pPr>
      <w:r>
        <w:rPr>
          <w:rFonts w:ascii="Verdana" w:hAnsi="Verdana"/>
          <w:sz w:val="20"/>
          <w:szCs w:val="20"/>
        </w:rPr>
        <w:t xml:space="preserve">sestavení archivního </w:t>
      </w:r>
      <w:proofErr w:type="spellStart"/>
      <w:r>
        <w:rPr>
          <w:rFonts w:ascii="Verdana" w:hAnsi="Verdana"/>
          <w:sz w:val="20"/>
          <w:szCs w:val="20"/>
        </w:rPr>
        <w:t>paré</w:t>
      </w:r>
      <w:proofErr w:type="spellEnd"/>
      <w:r>
        <w:rPr>
          <w:rFonts w:ascii="Verdana" w:hAnsi="Verdana"/>
          <w:sz w:val="20"/>
          <w:szCs w:val="20"/>
        </w:rPr>
        <w:t xml:space="preserve"> dokumentace zadávacího řízení</w:t>
      </w:r>
      <w:r w:rsidRPr="0056360A">
        <w:rPr>
          <w:rFonts w:ascii="Verdana" w:hAnsi="Verdana"/>
          <w:sz w:val="20"/>
          <w:szCs w:val="20"/>
        </w:rPr>
        <w:t>.</w:t>
      </w:r>
    </w:p>
    <w:p w:rsidR="00A14CCC" w:rsidRPr="0056360A" w:rsidRDefault="00A14CCC" w:rsidP="004B51C0">
      <w:pPr>
        <w:spacing w:before="0" w:after="0" w:line="340" w:lineRule="exact"/>
        <w:ind w:left="1134" w:firstLine="0"/>
        <w:rPr>
          <w:rFonts w:ascii="Verdana" w:hAnsi="Verdana"/>
          <w:spacing w:val="-4"/>
          <w:sz w:val="20"/>
          <w:szCs w:val="20"/>
        </w:rPr>
      </w:pPr>
    </w:p>
    <w:p w:rsidR="00A14CCC" w:rsidRPr="0056360A" w:rsidRDefault="00A14CCC" w:rsidP="00637B70">
      <w:pPr>
        <w:spacing w:before="0" w:after="0" w:line="340" w:lineRule="exact"/>
        <w:ind w:left="709" w:firstLine="0"/>
        <w:rPr>
          <w:rFonts w:ascii="Verdana" w:hAnsi="Verdana"/>
          <w:sz w:val="20"/>
          <w:szCs w:val="20"/>
        </w:rPr>
      </w:pPr>
      <w:r w:rsidRPr="0056360A">
        <w:rPr>
          <w:rFonts w:ascii="Verdana" w:hAnsi="Verdana"/>
          <w:sz w:val="20"/>
          <w:szCs w:val="20"/>
        </w:rPr>
        <w:t xml:space="preserve">komunikace s dodavateli prostřednictvím certifikovaného elektronického nástroje </w:t>
      </w:r>
      <w:proofErr w:type="spellStart"/>
      <w:proofErr w:type="gramStart"/>
      <w:r w:rsidRPr="0056360A">
        <w:rPr>
          <w:rFonts w:ascii="Verdana" w:hAnsi="Verdana"/>
          <w:i/>
          <w:iCs/>
          <w:sz w:val="20"/>
          <w:szCs w:val="20"/>
        </w:rPr>
        <w:t>eGORDION</w:t>
      </w:r>
      <w:proofErr w:type="spellEnd"/>
      <w:r w:rsidRPr="0056360A">
        <w:rPr>
          <w:rFonts w:ascii="Verdana" w:hAnsi="Verdana"/>
          <w:i/>
          <w:iCs/>
          <w:sz w:val="20"/>
          <w:szCs w:val="20"/>
        </w:rPr>
        <w:t xml:space="preserve"> - Tender</w:t>
      </w:r>
      <w:proofErr w:type="gramEnd"/>
      <w:r w:rsidRPr="0056360A">
        <w:rPr>
          <w:rFonts w:ascii="Verdana" w:hAnsi="Verdana"/>
          <w:i/>
          <w:iCs/>
          <w:sz w:val="20"/>
          <w:szCs w:val="20"/>
        </w:rPr>
        <w:t xml:space="preserve"> arena</w:t>
      </w:r>
      <w:r w:rsidRPr="0056360A">
        <w:rPr>
          <w:rFonts w:ascii="Verdana" w:hAnsi="Verdana"/>
          <w:sz w:val="20"/>
          <w:szCs w:val="20"/>
        </w:rPr>
        <w:t>.</w:t>
      </w:r>
    </w:p>
    <w:p w:rsidR="00A14CCC" w:rsidRPr="0056360A" w:rsidRDefault="00A14CCC" w:rsidP="004B51C0">
      <w:pPr>
        <w:spacing w:before="0" w:after="0" w:line="340" w:lineRule="exact"/>
        <w:ind w:left="1134" w:firstLine="0"/>
        <w:rPr>
          <w:rFonts w:ascii="Verdana" w:hAnsi="Verdana"/>
          <w:spacing w:val="-4"/>
          <w:sz w:val="20"/>
          <w:szCs w:val="20"/>
        </w:rPr>
      </w:pPr>
    </w:p>
    <w:p w:rsidR="00A14CCC" w:rsidRPr="0056360A" w:rsidRDefault="00A14CCC" w:rsidP="003D612A">
      <w:pPr>
        <w:pStyle w:val="Odstavec"/>
        <w:numPr>
          <w:ilvl w:val="1"/>
          <w:numId w:val="12"/>
        </w:numPr>
        <w:rPr>
          <w:color w:val="auto"/>
        </w:rPr>
      </w:pPr>
      <w:r w:rsidRPr="0056360A">
        <w:rPr>
          <w:color w:val="auto"/>
        </w:rPr>
        <w:t xml:space="preserve">Obstarání organizace výběrového řízení na výběr </w:t>
      </w:r>
      <w:r w:rsidR="001B3CF9">
        <w:rPr>
          <w:color w:val="auto"/>
        </w:rPr>
        <w:t xml:space="preserve">zhotovitele </w:t>
      </w:r>
      <w:r w:rsidR="001B3CF9" w:rsidRPr="00637B70">
        <w:rPr>
          <w:color w:val="auto"/>
        </w:rPr>
        <w:t>rekonstrukce podlah ve třídách</w:t>
      </w:r>
      <w:r w:rsidRPr="0056360A">
        <w:rPr>
          <w:color w:val="auto"/>
        </w:rPr>
        <w:t xml:space="preserve"> pro projekt, a to </w:t>
      </w:r>
      <w:r w:rsidR="001B3CF9" w:rsidRPr="00637B70">
        <w:rPr>
          <w:color w:val="auto"/>
        </w:rPr>
        <w:t xml:space="preserve">dle </w:t>
      </w:r>
      <w:r w:rsidR="001B3CF9">
        <w:rPr>
          <w:color w:val="auto"/>
        </w:rPr>
        <w:t>„</w:t>
      </w:r>
      <w:r w:rsidR="001B3CF9" w:rsidRPr="00637B70">
        <w:rPr>
          <w:color w:val="auto"/>
        </w:rPr>
        <w:t>Pravidel pro zadávání veřejných zakázek Ústeckým krajem a jím zřizovanými příspěvkovými organizacemi</w:t>
      </w:r>
      <w:r w:rsidR="001B3CF9">
        <w:rPr>
          <w:color w:val="auto"/>
        </w:rPr>
        <w:t>“</w:t>
      </w:r>
      <w:r w:rsidR="001B3CF9" w:rsidRPr="00637B70">
        <w:rPr>
          <w:color w:val="auto"/>
        </w:rPr>
        <w:t xml:space="preserve"> a v souladu s „Pokyny pro zadávání zakázek v Operačním programu životní prostředí a v Operačním programu spravedlivá transformace pro období 2021–2027“</w:t>
      </w:r>
      <w:r w:rsidRPr="0056360A">
        <w:rPr>
          <w:color w:val="auto"/>
        </w:rPr>
        <w:t xml:space="preserve">, pod názvem </w:t>
      </w:r>
      <w:r w:rsidR="001B3CF9" w:rsidRPr="00637B70">
        <w:rPr>
          <w:i/>
          <w:iCs/>
          <w:color w:val="auto"/>
        </w:rPr>
        <w:t>Rekonstrukce podlah</w:t>
      </w:r>
      <w:r w:rsidRPr="0056360A">
        <w:rPr>
          <w:color w:val="auto"/>
        </w:rPr>
        <w:t>, v rozsahu:</w:t>
      </w:r>
    </w:p>
    <w:p w:rsidR="00A14CCC" w:rsidRPr="0056360A" w:rsidRDefault="00A14CCC" w:rsidP="00A14CCC">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 etapa: Činnosti spojené s vypracováním dokumentace pro podání </w:t>
      </w:r>
      <w:r w:rsidR="0056360A">
        <w:rPr>
          <w:rFonts w:ascii="Verdana" w:hAnsi="Verdana"/>
          <w:b w:val="0"/>
          <w:sz w:val="20"/>
          <w:szCs w:val="20"/>
        </w:rPr>
        <w:t>nabídek</w:t>
      </w:r>
      <w:r w:rsidRPr="0056360A">
        <w:rPr>
          <w:rFonts w:ascii="Verdana" w:hAnsi="Verdana"/>
          <w:b w:val="0"/>
          <w:sz w:val="20"/>
          <w:szCs w:val="20"/>
        </w:rPr>
        <w:t xml:space="preserve">: </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textu výzvy k podání nabídek,</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zadávacích podmínek včetně hodnotících kritérií a jejich konzultace se zadavatelem,</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požadavků na prokázání kvalifikace a jejich konzultace se zadavatelem,</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sestavení zadávací dokumentace,</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sestavení formulářů pro doložení údajů, které jsou předmětem posouzení kvalifikace,</w:t>
      </w:r>
    </w:p>
    <w:p w:rsidR="00A14CCC" w:rsidRPr="0056360A" w:rsidRDefault="00A14CCC" w:rsidP="003D612A">
      <w:pPr>
        <w:numPr>
          <w:ilvl w:val="0"/>
          <w:numId w:val="13"/>
        </w:numPr>
        <w:tabs>
          <w:tab w:val="clear" w:pos="720"/>
        </w:tabs>
        <w:spacing w:before="0" w:after="0" w:line="340" w:lineRule="exact"/>
        <w:ind w:left="1418" w:hanging="371"/>
        <w:rPr>
          <w:rFonts w:ascii="Verdana" w:hAnsi="Verdana"/>
          <w:sz w:val="20"/>
          <w:szCs w:val="20"/>
        </w:rPr>
      </w:pPr>
      <w:r w:rsidRPr="0056360A">
        <w:rPr>
          <w:rFonts w:ascii="Verdana" w:hAnsi="Verdana"/>
          <w:sz w:val="20"/>
          <w:szCs w:val="20"/>
        </w:rPr>
        <w:t>sestavení návrhu podmínek a požadavků na zpracování nabídky</w:t>
      </w:r>
    </w:p>
    <w:p w:rsidR="00A14CCC" w:rsidRPr="0056360A" w:rsidRDefault="00A14CCC" w:rsidP="00A14CCC">
      <w:pPr>
        <w:pStyle w:val="Nadpis4"/>
        <w:spacing w:before="0" w:after="0" w:line="340" w:lineRule="exact"/>
        <w:ind w:left="1472" w:hanging="708"/>
        <w:rPr>
          <w:rFonts w:ascii="Verdana" w:hAnsi="Verdana"/>
          <w:b w:val="0"/>
          <w:sz w:val="20"/>
          <w:szCs w:val="20"/>
        </w:rPr>
      </w:pPr>
      <w:r w:rsidRPr="0056360A">
        <w:rPr>
          <w:rFonts w:ascii="Verdana" w:hAnsi="Verdana"/>
          <w:b w:val="0"/>
          <w:sz w:val="20"/>
          <w:szCs w:val="20"/>
        </w:rPr>
        <w:t xml:space="preserve">II. etapa: Činnosti spojené s průběhem lhůty pro podání </w:t>
      </w:r>
      <w:r w:rsidR="0056360A">
        <w:rPr>
          <w:rFonts w:ascii="Verdana" w:hAnsi="Verdana"/>
          <w:b w:val="0"/>
          <w:sz w:val="20"/>
          <w:szCs w:val="20"/>
        </w:rPr>
        <w:t>nabídek</w:t>
      </w:r>
      <w:r w:rsidRPr="0056360A">
        <w:rPr>
          <w:rFonts w:ascii="Verdana" w:hAnsi="Verdana"/>
          <w:b w:val="0"/>
          <w:sz w:val="20"/>
          <w:szCs w:val="20"/>
        </w:rPr>
        <w:t>:</w:t>
      </w:r>
    </w:p>
    <w:p w:rsidR="001B3CF9" w:rsidRDefault="001B3CF9" w:rsidP="003D612A">
      <w:pPr>
        <w:numPr>
          <w:ilvl w:val="0"/>
          <w:numId w:val="13"/>
        </w:numPr>
        <w:tabs>
          <w:tab w:val="clear" w:pos="720"/>
        </w:tabs>
        <w:spacing w:before="0" w:after="0" w:line="340" w:lineRule="exact"/>
        <w:ind w:left="1418" w:hanging="371"/>
        <w:rPr>
          <w:rFonts w:ascii="Verdana" w:hAnsi="Verdana"/>
          <w:sz w:val="20"/>
          <w:szCs w:val="20"/>
        </w:rPr>
      </w:pPr>
      <w:r w:rsidRPr="006018DC">
        <w:rPr>
          <w:rFonts w:ascii="Verdana" w:hAnsi="Verdana"/>
          <w:sz w:val="20"/>
          <w:szCs w:val="20"/>
        </w:rPr>
        <w:t>uveřejnění zadávací dokumentace a jejích příloh na PZ</w:t>
      </w:r>
      <w:r w:rsidDel="001B3CF9">
        <w:rPr>
          <w:rFonts w:ascii="Verdana" w:hAnsi="Verdana"/>
          <w:sz w:val="20"/>
          <w:szCs w:val="20"/>
        </w:rPr>
        <w:t xml:space="preserve"> </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odpovědí na dotazy k zadávací dokumentaci a k textu výzvy k podání nabídek,</w:t>
      </w:r>
    </w:p>
    <w:p w:rsidR="00A14CCC" w:rsidRP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 xml:space="preserve">zajištění </w:t>
      </w:r>
      <w:r w:rsidR="001B3CF9" w:rsidRPr="006018DC">
        <w:rPr>
          <w:rFonts w:ascii="Verdana" w:hAnsi="Verdana"/>
          <w:sz w:val="20"/>
          <w:szCs w:val="20"/>
        </w:rPr>
        <w:t xml:space="preserve">uveřejnění </w:t>
      </w:r>
      <w:r>
        <w:rPr>
          <w:rFonts w:ascii="Verdana" w:hAnsi="Verdana"/>
          <w:sz w:val="20"/>
          <w:szCs w:val="20"/>
        </w:rPr>
        <w:t xml:space="preserve">odpovědí na dotazy k zadávací dokumentaci a textu výzvy k podání nabídek </w:t>
      </w:r>
      <w:r w:rsidR="001B3CF9">
        <w:rPr>
          <w:rFonts w:ascii="Verdana" w:hAnsi="Verdana"/>
          <w:sz w:val="20"/>
          <w:szCs w:val="20"/>
        </w:rPr>
        <w:t>na PZ</w:t>
      </w:r>
    </w:p>
    <w:p w:rsidR="00A14CCC" w:rsidRPr="0056360A" w:rsidRDefault="00A14CCC" w:rsidP="00A14CCC">
      <w:pPr>
        <w:pStyle w:val="Nadpis4"/>
        <w:spacing w:before="0" w:after="0" w:line="340" w:lineRule="exact"/>
        <w:ind w:left="792"/>
        <w:rPr>
          <w:rFonts w:ascii="Verdana" w:hAnsi="Verdana"/>
          <w:b w:val="0"/>
          <w:sz w:val="20"/>
          <w:szCs w:val="20"/>
        </w:rPr>
      </w:pPr>
      <w:r w:rsidRPr="0056360A">
        <w:rPr>
          <w:rFonts w:ascii="Verdana" w:hAnsi="Verdana"/>
          <w:b w:val="0"/>
          <w:sz w:val="20"/>
          <w:szCs w:val="20"/>
        </w:rPr>
        <w:t>III. etapa: Činnosti spojené s průběhem zadávací lhůty:</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 xml:space="preserve">organizační zajištění </w:t>
      </w:r>
      <w:r w:rsidR="001B3CF9">
        <w:rPr>
          <w:rFonts w:ascii="Verdana" w:hAnsi="Verdana"/>
          <w:sz w:val="20"/>
          <w:szCs w:val="20"/>
        </w:rPr>
        <w:t>elektronických nabídek</w:t>
      </w:r>
      <w:r>
        <w:rPr>
          <w:rFonts w:ascii="Verdana" w:hAnsi="Verdana"/>
          <w:sz w:val="20"/>
          <w:szCs w:val="20"/>
        </w:rPr>
        <w:t xml:space="preserve"> jednotlivých účastníků,</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pro zpracování protokolu o zasedání komise pro otevírání obálek s nabídkami,</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protokolu/ů o zasedání hodnotící komise,</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podkladů pro rozhodnutí zadavatele o vyloučení účastníků,</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lastRenderedPageBreak/>
        <w:t>zajištění oznámení vyloučení účastníkům, jejichž nabídky hodnotící komise vyřadila z další účasti ve výběrovém řízení,</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vypracování návrhu zprávy o posouzení a hodnocení nabídek</w:t>
      </w:r>
    </w:p>
    <w:p w:rsidR="00A14CCC" w:rsidRPr="0056360A" w:rsidRDefault="00A14CCC" w:rsidP="00A14CCC">
      <w:pPr>
        <w:pStyle w:val="Nadpis4"/>
        <w:spacing w:before="0" w:after="0" w:line="340" w:lineRule="exact"/>
        <w:ind w:left="792"/>
        <w:rPr>
          <w:rFonts w:ascii="Verdana" w:hAnsi="Verdana"/>
          <w:b w:val="0"/>
          <w:sz w:val="20"/>
          <w:szCs w:val="20"/>
        </w:rPr>
      </w:pPr>
      <w:r w:rsidRPr="0056360A">
        <w:rPr>
          <w:rFonts w:ascii="Verdana" w:hAnsi="Verdana"/>
          <w:b w:val="0"/>
          <w:sz w:val="20"/>
          <w:szCs w:val="20"/>
        </w:rPr>
        <w:t>IV. etapa: Činnosti spojené s ukončením zadávacího řízení:</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vypracování podkladů pro rozhodnutí zadavatele o výběru dodavatele,</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oznámení o výběru dodavatele,</w:t>
      </w:r>
    </w:p>
    <w:p w:rsidR="005B459C"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poskytnutí součinnosti zadavateli při komunikaci s účastníkem před podpisem smlouvy,</w:t>
      </w:r>
    </w:p>
    <w:p w:rsidR="005B459C" w:rsidRPr="00E50DF8" w:rsidRDefault="005B459C" w:rsidP="003D612A">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 xml:space="preserve">sestavení archivního </w:t>
      </w:r>
      <w:proofErr w:type="spellStart"/>
      <w:r>
        <w:rPr>
          <w:rFonts w:ascii="Verdana" w:hAnsi="Verdana"/>
          <w:sz w:val="20"/>
          <w:szCs w:val="20"/>
        </w:rPr>
        <w:t>paré</w:t>
      </w:r>
      <w:proofErr w:type="spellEnd"/>
      <w:r>
        <w:rPr>
          <w:rFonts w:ascii="Verdana" w:hAnsi="Verdana"/>
          <w:sz w:val="20"/>
          <w:szCs w:val="20"/>
        </w:rPr>
        <w:t xml:space="preserve"> dokumentace výběrového řízení </w:t>
      </w:r>
    </w:p>
    <w:p w:rsidR="00A14CCC" w:rsidRDefault="00A14CCC" w:rsidP="00A14CCC">
      <w:pPr>
        <w:spacing w:before="0" w:after="0" w:line="340" w:lineRule="exact"/>
        <w:ind w:left="1134" w:firstLine="0"/>
        <w:rPr>
          <w:rFonts w:ascii="Verdana" w:hAnsi="Verdana"/>
          <w:spacing w:val="-4"/>
          <w:sz w:val="20"/>
          <w:szCs w:val="20"/>
        </w:rPr>
      </w:pPr>
    </w:p>
    <w:p w:rsidR="001B3CF9" w:rsidRPr="0056360A" w:rsidRDefault="001B3CF9" w:rsidP="001B3CF9">
      <w:pPr>
        <w:spacing w:before="0" w:after="0" w:line="340" w:lineRule="exact"/>
        <w:ind w:left="709" w:firstLine="0"/>
        <w:rPr>
          <w:rFonts w:ascii="Verdana" w:hAnsi="Verdana"/>
          <w:sz w:val="20"/>
          <w:szCs w:val="20"/>
        </w:rPr>
      </w:pPr>
      <w:r w:rsidRPr="0056360A">
        <w:rPr>
          <w:rFonts w:ascii="Verdana" w:hAnsi="Verdana"/>
          <w:sz w:val="20"/>
          <w:szCs w:val="20"/>
        </w:rPr>
        <w:t xml:space="preserve">komunikace s dodavateli prostřednictvím certifikovaného elektronického nástroje </w:t>
      </w:r>
      <w:proofErr w:type="spellStart"/>
      <w:proofErr w:type="gramStart"/>
      <w:r w:rsidRPr="0056360A">
        <w:rPr>
          <w:rFonts w:ascii="Verdana" w:hAnsi="Verdana"/>
          <w:i/>
          <w:iCs/>
          <w:sz w:val="20"/>
          <w:szCs w:val="20"/>
        </w:rPr>
        <w:t>eGORDION</w:t>
      </w:r>
      <w:proofErr w:type="spellEnd"/>
      <w:r w:rsidRPr="0056360A">
        <w:rPr>
          <w:rFonts w:ascii="Verdana" w:hAnsi="Verdana"/>
          <w:i/>
          <w:iCs/>
          <w:sz w:val="20"/>
          <w:szCs w:val="20"/>
        </w:rPr>
        <w:t xml:space="preserve"> - Tender</w:t>
      </w:r>
      <w:proofErr w:type="gramEnd"/>
      <w:r w:rsidRPr="0056360A">
        <w:rPr>
          <w:rFonts w:ascii="Verdana" w:hAnsi="Verdana"/>
          <w:i/>
          <w:iCs/>
          <w:sz w:val="20"/>
          <w:szCs w:val="20"/>
        </w:rPr>
        <w:t xml:space="preserve"> arena</w:t>
      </w:r>
      <w:r w:rsidRPr="0056360A">
        <w:rPr>
          <w:rFonts w:ascii="Verdana" w:hAnsi="Verdana"/>
          <w:sz w:val="20"/>
          <w:szCs w:val="20"/>
        </w:rPr>
        <w:t>.</w:t>
      </w:r>
    </w:p>
    <w:p w:rsidR="001B3CF9" w:rsidRPr="0056360A" w:rsidRDefault="001B3CF9" w:rsidP="001B3CF9">
      <w:pPr>
        <w:spacing w:before="0" w:after="0" w:line="340" w:lineRule="exact"/>
        <w:ind w:left="1134" w:firstLine="0"/>
        <w:rPr>
          <w:rFonts w:ascii="Verdana" w:hAnsi="Verdana"/>
          <w:spacing w:val="-4"/>
          <w:sz w:val="20"/>
          <w:szCs w:val="20"/>
        </w:rPr>
      </w:pPr>
    </w:p>
    <w:p w:rsidR="001B3CF9" w:rsidRPr="0056360A" w:rsidRDefault="001B3CF9" w:rsidP="001B3CF9">
      <w:pPr>
        <w:pStyle w:val="Odstavec"/>
        <w:numPr>
          <w:ilvl w:val="1"/>
          <w:numId w:val="12"/>
        </w:numPr>
        <w:rPr>
          <w:color w:val="auto"/>
        </w:rPr>
      </w:pPr>
      <w:r w:rsidRPr="0056360A">
        <w:rPr>
          <w:color w:val="auto"/>
        </w:rPr>
        <w:t xml:space="preserve">Obstarání organizace výběrového řízení na výběr </w:t>
      </w:r>
      <w:r>
        <w:rPr>
          <w:color w:val="auto"/>
        </w:rPr>
        <w:t xml:space="preserve">zhotovitele </w:t>
      </w:r>
      <w:r w:rsidRPr="00157FC4">
        <w:rPr>
          <w:color w:val="auto"/>
        </w:rPr>
        <w:t xml:space="preserve">rekonstrukce </w:t>
      </w:r>
      <w:r>
        <w:rPr>
          <w:color w:val="auto"/>
        </w:rPr>
        <w:t>elektroinstalace</w:t>
      </w:r>
      <w:r w:rsidRPr="00157FC4">
        <w:rPr>
          <w:color w:val="auto"/>
        </w:rPr>
        <w:t xml:space="preserve"> ve třídách</w:t>
      </w:r>
      <w:r w:rsidRPr="0056360A">
        <w:rPr>
          <w:color w:val="auto"/>
        </w:rPr>
        <w:t xml:space="preserve"> pro projekt, a to </w:t>
      </w:r>
      <w:r w:rsidRPr="00157FC4">
        <w:rPr>
          <w:color w:val="auto"/>
        </w:rPr>
        <w:t xml:space="preserve">dle </w:t>
      </w:r>
      <w:r>
        <w:rPr>
          <w:color w:val="auto"/>
        </w:rPr>
        <w:t>„</w:t>
      </w:r>
      <w:r w:rsidRPr="00157FC4">
        <w:rPr>
          <w:color w:val="auto"/>
        </w:rPr>
        <w:t>Pravidel pro zadávání veřejných zakázek Ústeckým krajem a jím zřizovanými příspěvkovými organizacemi</w:t>
      </w:r>
      <w:r>
        <w:rPr>
          <w:color w:val="auto"/>
        </w:rPr>
        <w:t>“</w:t>
      </w:r>
      <w:r w:rsidRPr="00157FC4">
        <w:rPr>
          <w:color w:val="auto"/>
        </w:rPr>
        <w:t xml:space="preserve"> a v souladu s „Pokyny pro zadávání zakázek v Operačním programu životní prostředí a v Operačním programu spravedlivá transformace pro období 2021–2027“</w:t>
      </w:r>
      <w:r w:rsidRPr="0056360A">
        <w:rPr>
          <w:color w:val="auto"/>
        </w:rPr>
        <w:t xml:space="preserve">, pod názvem </w:t>
      </w:r>
      <w:r w:rsidRPr="00157FC4">
        <w:rPr>
          <w:i/>
          <w:iCs/>
          <w:color w:val="auto"/>
        </w:rPr>
        <w:t xml:space="preserve">Rekonstrukce </w:t>
      </w:r>
      <w:r>
        <w:rPr>
          <w:i/>
          <w:iCs/>
          <w:color w:val="auto"/>
        </w:rPr>
        <w:t>elektroinstalace</w:t>
      </w:r>
      <w:r w:rsidRPr="0056360A">
        <w:rPr>
          <w:color w:val="auto"/>
        </w:rPr>
        <w:t>, v rozsahu:</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 xml:space="preserve">I. etapa: Činnosti spojené s vypracováním dokumentace pro podání </w:t>
      </w:r>
      <w:r>
        <w:rPr>
          <w:rFonts w:ascii="Verdana" w:hAnsi="Verdana"/>
          <w:b w:val="0"/>
          <w:sz w:val="20"/>
          <w:szCs w:val="20"/>
        </w:rPr>
        <w:t>nabídek</w:t>
      </w:r>
      <w:r w:rsidRPr="0056360A">
        <w:rPr>
          <w:rFonts w:ascii="Verdana" w:hAnsi="Verdana"/>
          <w:b w:val="0"/>
          <w:sz w:val="20"/>
          <w:szCs w:val="20"/>
        </w:rPr>
        <w:t xml:space="preserve">: </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textu výzvy k podání nabídek,</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zadávacích podmínek včetně hodnotících kritérií a jejich konzultace se zadavatelem,</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požadavků na prokázání kvalifikace a jejich konzultace se zadavatelem,</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sestavení zadávací dokumentace,</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sestavení formulářů pro doložení údajů, které jsou předmětem posouzení kvalifikace,</w:t>
      </w:r>
    </w:p>
    <w:p w:rsidR="001B3CF9" w:rsidRPr="0056360A" w:rsidRDefault="001B3CF9" w:rsidP="001B3CF9">
      <w:pPr>
        <w:numPr>
          <w:ilvl w:val="0"/>
          <w:numId w:val="13"/>
        </w:numPr>
        <w:tabs>
          <w:tab w:val="clear" w:pos="720"/>
        </w:tabs>
        <w:spacing w:before="0" w:after="0" w:line="340" w:lineRule="exact"/>
        <w:ind w:left="1418" w:hanging="371"/>
        <w:rPr>
          <w:rFonts w:ascii="Verdana" w:hAnsi="Verdana"/>
          <w:sz w:val="20"/>
          <w:szCs w:val="20"/>
        </w:rPr>
      </w:pPr>
      <w:r w:rsidRPr="0056360A">
        <w:rPr>
          <w:rFonts w:ascii="Verdana" w:hAnsi="Verdana"/>
          <w:sz w:val="20"/>
          <w:szCs w:val="20"/>
        </w:rPr>
        <w:t>sestavení návrhu podmínek a požadavků na zpracování nabídky</w:t>
      </w:r>
    </w:p>
    <w:p w:rsidR="001B3CF9" w:rsidRPr="0056360A" w:rsidRDefault="001B3CF9" w:rsidP="001B3CF9">
      <w:pPr>
        <w:pStyle w:val="Nadpis4"/>
        <w:spacing w:before="0" w:after="0" w:line="340" w:lineRule="exact"/>
        <w:ind w:left="1472" w:hanging="708"/>
        <w:rPr>
          <w:rFonts w:ascii="Verdana" w:hAnsi="Verdana"/>
          <w:b w:val="0"/>
          <w:sz w:val="20"/>
          <w:szCs w:val="20"/>
        </w:rPr>
      </w:pPr>
      <w:r w:rsidRPr="0056360A">
        <w:rPr>
          <w:rFonts w:ascii="Verdana" w:hAnsi="Verdana"/>
          <w:b w:val="0"/>
          <w:sz w:val="20"/>
          <w:szCs w:val="20"/>
        </w:rPr>
        <w:t xml:space="preserve">II. etapa: Činnosti spojené s průběhem lhůty pro podání </w:t>
      </w:r>
      <w:r>
        <w:rPr>
          <w:rFonts w:ascii="Verdana" w:hAnsi="Verdana"/>
          <w:b w:val="0"/>
          <w:sz w:val="20"/>
          <w:szCs w:val="20"/>
        </w:rPr>
        <w:t>nabídek</w:t>
      </w:r>
      <w:r w:rsidRPr="0056360A">
        <w:rPr>
          <w:rFonts w:ascii="Verdana" w:hAnsi="Verdana"/>
          <w:b w:val="0"/>
          <w:sz w:val="20"/>
          <w:szCs w:val="20"/>
        </w:rPr>
        <w:t>:</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sidRPr="006018DC">
        <w:rPr>
          <w:rFonts w:ascii="Verdana" w:hAnsi="Verdana"/>
          <w:sz w:val="20"/>
          <w:szCs w:val="20"/>
        </w:rPr>
        <w:t>uveřejnění zadávací dokumentace a jejích příloh na PZ</w:t>
      </w:r>
      <w:r w:rsidDel="001B3CF9">
        <w:rPr>
          <w:rFonts w:ascii="Verdana" w:hAnsi="Verdana"/>
          <w:sz w:val="20"/>
          <w:szCs w:val="20"/>
        </w:rPr>
        <w:t xml:space="preserve"> </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odpovědí na dotazy k zadávací dokumentaci a k textu výzvy k podání nabídek,</w:t>
      </w:r>
    </w:p>
    <w:p w:rsidR="001B3CF9" w:rsidRPr="005B459C"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 xml:space="preserve">zajištění </w:t>
      </w:r>
      <w:r w:rsidRPr="006018DC">
        <w:rPr>
          <w:rFonts w:ascii="Verdana" w:hAnsi="Verdana"/>
          <w:sz w:val="20"/>
          <w:szCs w:val="20"/>
        </w:rPr>
        <w:t xml:space="preserve">uveřejnění </w:t>
      </w:r>
      <w:r>
        <w:rPr>
          <w:rFonts w:ascii="Verdana" w:hAnsi="Verdana"/>
          <w:sz w:val="20"/>
          <w:szCs w:val="20"/>
        </w:rPr>
        <w:t>odpovědí na dotazy k zadávací dokumentaci a textu výzvy k podání nabídek na PZ</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III. etapa: Činnosti spojené s průběhem zadávací lhůty:</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organizační zajištění elektronických nabídek jednotlivých účastníků,</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pro zpracování protokolu o zasedání komise pro otevírání obálek s nabídkami,</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protokolu/ů o zasedání hodnotící komise,</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návrh podkladů pro rozhodnutí zadavatele o vyloučení účastníků,</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lastRenderedPageBreak/>
        <w:t>zajištění oznámení vyloučení účastníkům, jejichž nabídky hodnotící komise vyřadila z další účasti ve výběrovém řízení,</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vypracování návrhu zprávy o posouzení a hodnocení nabídek</w:t>
      </w:r>
    </w:p>
    <w:p w:rsidR="001B3CF9" w:rsidRPr="0056360A" w:rsidRDefault="001B3CF9" w:rsidP="001B3CF9">
      <w:pPr>
        <w:pStyle w:val="Nadpis4"/>
        <w:spacing w:before="0" w:after="0" w:line="340" w:lineRule="exact"/>
        <w:ind w:left="792"/>
        <w:rPr>
          <w:rFonts w:ascii="Verdana" w:hAnsi="Verdana"/>
          <w:b w:val="0"/>
          <w:sz w:val="20"/>
          <w:szCs w:val="20"/>
        </w:rPr>
      </w:pPr>
      <w:r w:rsidRPr="0056360A">
        <w:rPr>
          <w:rFonts w:ascii="Verdana" w:hAnsi="Verdana"/>
          <w:b w:val="0"/>
          <w:sz w:val="20"/>
          <w:szCs w:val="20"/>
        </w:rPr>
        <w:t>IV. etapa: Činnosti spojené s ukončením zadávacího řízení:</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vypracování podkladů pro rozhodnutí zadavatele o výběru dodavatele,</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zpracování návrhu oznámení o výběru dodavatele,</w:t>
      </w:r>
    </w:p>
    <w:p w:rsidR="001B3CF9"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poskytnutí součinnosti zadavateli při komunikaci s účastníkem před podpisem smlouvy,</w:t>
      </w:r>
    </w:p>
    <w:p w:rsidR="001B3CF9" w:rsidRPr="00E50DF8" w:rsidRDefault="001B3CF9" w:rsidP="001B3CF9">
      <w:pPr>
        <w:numPr>
          <w:ilvl w:val="0"/>
          <w:numId w:val="13"/>
        </w:numPr>
        <w:tabs>
          <w:tab w:val="clear" w:pos="720"/>
        </w:tabs>
        <w:spacing w:before="0" w:after="0" w:line="340" w:lineRule="exact"/>
        <w:ind w:left="1418" w:hanging="371"/>
        <w:rPr>
          <w:rFonts w:ascii="Verdana" w:hAnsi="Verdana"/>
          <w:sz w:val="20"/>
          <w:szCs w:val="20"/>
        </w:rPr>
      </w:pPr>
      <w:r>
        <w:rPr>
          <w:rFonts w:ascii="Verdana" w:hAnsi="Verdana"/>
          <w:sz w:val="20"/>
          <w:szCs w:val="20"/>
        </w:rPr>
        <w:t xml:space="preserve">sestavení archivního </w:t>
      </w:r>
      <w:proofErr w:type="spellStart"/>
      <w:r>
        <w:rPr>
          <w:rFonts w:ascii="Verdana" w:hAnsi="Verdana"/>
          <w:sz w:val="20"/>
          <w:szCs w:val="20"/>
        </w:rPr>
        <w:t>paré</w:t>
      </w:r>
      <w:proofErr w:type="spellEnd"/>
      <w:r>
        <w:rPr>
          <w:rFonts w:ascii="Verdana" w:hAnsi="Verdana"/>
          <w:sz w:val="20"/>
          <w:szCs w:val="20"/>
        </w:rPr>
        <w:t xml:space="preserve"> dokumentace výběrového řízení </w:t>
      </w:r>
    </w:p>
    <w:p w:rsidR="001B3CF9" w:rsidRDefault="001B3CF9" w:rsidP="00A14CCC">
      <w:pPr>
        <w:spacing w:before="0" w:after="0" w:line="340" w:lineRule="exact"/>
        <w:ind w:left="1134" w:firstLine="0"/>
        <w:rPr>
          <w:rFonts w:ascii="Verdana" w:hAnsi="Verdana"/>
          <w:spacing w:val="-4"/>
          <w:sz w:val="20"/>
          <w:szCs w:val="20"/>
        </w:rPr>
      </w:pPr>
    </w:p>
    <w:p w:rsidR="001B3CF9" w:rsidRPr="0056360A" w:rsidRDefault="001B3CF9" w:rsidP="001B3CF9">
      <w:pPr>
        <w:spacing w:before="0" w:after="0" w:line="340" w:lineRule="exact"/>
        <w:ind w:left="709" w:firstLine="0"/>
        <w:rPr>
          <w:rFonts w:ascii="Verdana" w:hAnsi="Verdana"/>
          <w:sz w:val="20"/>
          <w:szCs w:val="20"/>
        </w:rPr>
      </w:pPr>
      <w:r w:rsidRPr="0056360A">
        <w:rPr>
          <w:rFonts w:ascii="Verdana" w:hAnsi="Verdana"/>
          <w:sz w:val="20"/>
          <w:szCs w:val="20"/>
        </w:rPr>
        <w:t xml:space="preserve">komunikace s dodavateli prostřednictvím certifikovaného elektronického nástroje </w:t>
      </w:r>
      <w:proofErr w:type="spellStart"/>
      <w:proofErr w:type="gramStart"/>
      <w:r w:rsidRPr="0056360A">
        <w:rPr>
          <w:rFonts w:ascii="Verdana" w:hAnsi="Verdana"/>
          <w:i/>
          <w:iCs/>
          <w:sz w:val="20"/>
          <w:szCs w:val="20"/>
        </w:rPr>
        <w:t>eGORDION</w:t>
      </w:r>
      <w:proofErr w:type="spellEnd"/>
      <w:r w:rsidRPr="0056360A">
        <w:rPr>
          <w:rFonts w:ascii="Verdana" w:hAnsi="Verdana"/>
          <w:i/>
          <w:iCs/>
          <w:sz w:val="20"/>
          <w:szCs w:val="20"/>
        </w:rPr>
        <w:t xml:space="preserve"> - Tender</w:t>
      </w:r>
      <w:proofErr w:type="gramEnd"/>
      <w:r w:rsidRPr="0056360A">
        <w:rPr>
          <w:rFonts w:ascii="Verdana" w:hAnsi="Verdana"/>
          <w:i/>
          <w:iCs/>
          <w:sz w:val="20"/>
          <w:szCs w:val="20"/>
        </w:rPr>
        <w:t xml:space="preserve"> arena</w:t>
      </w:r>
      <w:r w:rsidRPr="0056360A">
        <w:rPr>
          <w:rFonts w:ascii="Verdana" w:hAnsi="Verdana"/>
          <w:sz w:val="20"/>
          <w:szCs w:val="20"/>
        </w:rPr>
        <w:t>.</w:t>
      </w:r>
    </w:p>
    <w:p w:rsidR="001B3CF9" w:rsidRPr="0056360A" w:rsidRDefault="001B3CF9" w:rsidP="00A14CCC">
      <w:pPr>
        <w:spacing w:before="0" w:after="0" w:line="340" w:lineRule="exact"/>
        <w:ind w:left="1134" w:firstLine="0"/>
        <w:rPr>
          <w:rFonts w:ascii="Verdana" w:hAnsi="Verdana"/>
          <w:spacing w:val="-4"/>
          <w:sz w:val="20"/>
          <w:szCs w:val="20"/>
        </w:rPr>
      </w:pPr>
    </w:p>
    <w:p w:rsidR="00746A08" w:rsidRPr="005B459C" w:rsidRDefault="00746A08" w:rsidP="003D612A">
      <w:pPr>
        <w:pStyle w:val="Odstavec"/>
        <w:numPr>
          <w:ilvl w:val="0"/>
          <w:numId w:val="12"/>
        </w:numPr>
        <w:rPr>
          <w:color w:val="auto"/>
        </w:rPr>
      </w:pPr>
      <w:r w:rsidRPr="005B459C">
        <w:rPr>
          <w:color w:val="auto"/>
        </w:rPr>
        <w:t xml:space="preserve">V případě že </w:t>
      </w:r>
      <w:r w:rsidR="00562F30" w:rsidRPr="005B459C">
        <w:rPr>
          <w:color w:val="auto"/>
        </w:rPr>
        <w:t>Příkazce</w:t>
      </w:r>
      <w:r w:rsidRPr="005B459C">
        <w:rPr>
          <w:color w:val="auto"/>
        </w:rPr>
        <w:t xml:space="preserve"> rozšíří zadání </w:t>
      </w:r>
      <w:r w:rsidR="00562F30" w:rsidRPr="005B459C">
        <w:rPr>
          <w:color w:val="auto"/>
        </w:rPr>
        <w:t>Příkazník</w:t>
      </w:r>
      <w:r w:rsidR="004E175C" w:rsidRPr="005B459C">
        <w:rPr>
          <w:color w:val="auto"/>
        </w:rPr>
        <w:t>ovi</w:t>
      </w:r>
      <w:r w:rsidRPr="005B459C">
        <w:rPr>
          <w:color w:val="auto"/>
        </w:rPr>
        <w:t xml:space="preserve"> nad rámec dohodnutý v této smlouvě, budou činnosti z toho vyplývající vždy projednány se stanovením závazků obou stran, včetně odměny pro </w:t>
      </w:r>
      <w:r w:rsidR="00562F30" w:rsidRPr="005B459C">
        <w:rPr>
          <w:color w:val="auto"/>
        </w:rPr>
        <w:t>Příkazník</w:t>
      </w:r>
      <w:r w:rsidR="004E175C" w:rsidRPr="005B459C">
        <w:rPr>
          <w:color w:val="auto"/>
        </w:rPr>
        <w:t>a</w:t>
      </w:r>
      <w:r w:rsidRPr="005B459C">
        <w:rPr>
          <w:color w:val="auto"/>
        </w:rPr>
        <w:t xml:space="preserve"> formou postupně číslovaných dodatků, podepsaných oprávněnými zástupci obou smluvních stran, které budou nedílnou součástí této smlouvy.</w:t>
      </w:r>
    </w:p>
    <w:p w:rsidR="00746A08" w:rsidRPr="005B459C" w:rsidRDefault="00562F30" w:rsidP="003D612A">
      <w:pPr>
        <w:pStyle w:val="Odstavec"/>
        <w:numPr>
          <w:ilvl w:val="0"/>
          <w:numId w:val="12"/>
        </w:numPr>
        <w:rPr>
          <w:color w:val="auto"/>
        </w:rPr>
      </w:pPr>
      <w:r w:rsidRPr="005B459C">
        <w:rPr>
          <w:color w:val="auto"/>
        </w:rPr>
        <w:t>Příkazník</w:t>
      </w:r>
      <w:r w:rsidR="00746A08" w:rsidRPr="005B459C">
        <w:rPr>
          <w:color w:val="auto"/>
        </w:rPr>
        <w:t xml:space="preserve"> si vyhrazuje možnost písemně doplnit seznam povinných příloh podle zadání příslušných institucí.</w:t>
      </w:r>
    </w:p>
    <w:p w:rsidR="00746A08" w:rsidRPr="005B459C" w:rsidRDefault="00562F30" w:rsidP="003D612A">
      <w:pPr>
        <w:pStyle w:val="Odstavec"/>
        <w:numPr>
          <w:ilvl w:val="0"/>
          <w:numId w:val="12"/>
        </w:numPr>
        <w:rPr>
          <w:color w:val="auto"/>
        </w:rPr>
      </w:pPr>
      <w:r w:rsidRPr="005B459C">
        <w:rPr>
          <w:color w:val="auto"/>
        </w:rPr>
        <w:t>Příkazník</w:t>
      </w:r>
      <w:r w:rsidR="00746A08" w:rsidRPr="005B459C">
        <w:rPr>
          <w:color w:val="auto"/>
        </w:rPr>
        <w:t xml:space="preserve"> zahájí činnost ihned po podepsání této smlouvy.</w:t>
      </w:r>
    </w:p>
    <w:p w:rsidR="00DB3032" w:rsidRPr="005B459C" w:rsidRDefault="00DB3032" w:rsidP="00DB3032">
      <w:pPr>
        <w:pStyle w:val="lnek"/>
        <w:spacing w:before="200" w:after="60"/>
        <w:ind w:left="360"/>
        <w:rPr>
          <w:color w:val="auto"/>
        </w:rPr>
      </w:pPr>
      <w:r w:rsidRPr="005B459C">
        <w:rPr>
          <w:color w:val="auto"/>
        </w:rPr>
        <w:t>III. Doba plnění</w:t>
      </w:r>
    </w:p>
    <w:p w:rsidR="00DB3032" w:rsidRPr="005B459C" w:rsidRDefault="00DB3032" w:rsidP="003D612A">
      <w:pPr>
        <w:pStyle w:val="Odstavec"/>
        <w:numPr>
          <w:ilvl w:val="0"/>
          <w:numId w:val="14"/>
        </w:numPr>
        <w:rPr>
          <w:color w:val="auto"/>
        </w:rPr>
      </w:pPr>
      <w:r w:rsidRPr="005B459C">
        <w:rPr>
          <w:color w:val="auto"/>
        </w:rPr>
        <w:t xml:space="preserve">Příkazník se zavazuje, že bude vykonávat činnost v rozsahu uvedeném v předmětu plnění v období od </w:t>
      </w:r>
      <w:r w:rsidR="00B44467" w:rsidRPr="005B459C">
        <w:rPr>
          <w:color w:val="auto"/>
        </w:rPr>
        <w:t>0</w:t>
      </w:r>
      <w:r w:rsidR="001B3CF9">
        <w:rPr>
          <w:color w:val="auto"/>
        </w:rPr>
        <w:t>7</w:t>
      </w:r>
      <w:r w:rsidRPr="005B459C">
        <w:rPr>
          <w:color w:val="auto"/>
        </w:rPr>
        <w:t>/20</w:t>
      </w:r>
      <w:r w:rsidR="00131FBC" w:rsidRPr="005B459C">
        <w:rPr>
          <w:color w:val="auto"/>
        </w:rPr>
        <w:t>2</w:t>
      </w:r>
      <w:r w:rsidR="001B3CF9">
        <w:rPr>
          <w:color w:val="auto"/>
        </w:rPr>
        <w:t>5</w:t>
      </w:r>
      <w:r w:rsidRPr="005B459C">
        <w:rPr>
          <w:color w:val="auto"/>
        </w:rPr>
        <w:t xml:space="preserve"> do </w:t>
      </w:r>
      <w:r w:rsidR="00821D5A" w:rsidRPr="005B459C">
        <w:rPr>
          <w:color w:val="auto"/>
        </w:rPr>
        <w:t>31</w:t>
      </w:r>
      <w:r w:rsidR="00164872" w:rsidRPr="005B459C">
        <w:rPr>
          <w:color w:val="auto"/>
        </w:rPr>
        <w:t>.</w:t>
      </w:r>
      <w:r w:rsidR="00821D5A" w:rsidRPr="005B459C">
        <w:rPr>
          <w:color w:val="auto"/>
        </w:rPr>
        <w:t xml:space="preserve"> </w:t>
      </w:r>
      <w:r w:rsidR="001B3CF9">
        <w:rPr>
          <w:color w:val="auto"/>
        </w:rPr>
        <w:t>12</w:t>
      </w:r>
      <w:r w:rsidRPr="005B459C">
        <w:rPr>
          <w:color w:val="auto"/>
        </w:rPr>
        <w:t>.</w:t>
      </w:r>
      <w:r w:rsidR="00821D5A" w:rsidRPr="005B459C">
        <w:rPr>
          <w:color w:val="auto"/>
        </w:rPr>
        <w:t xml:space="preserve"> </w:t>
      </w:r>
      <w:r w:rsidRPr="005B459C">
        <w:rPr>
          <w:color w:val="auto"/>
        </w:rPr>
        <w:t>20</w:t>
      </w:r>
      <w:r w:rsidR="00131FBC" w:rsidRPr="005B459C">
        <w:rPr>
          <w:color w:val="auto"/>
        </w:rPr>
        <w:t>2</w:t>
      </w:r>
      <w:r w:rsidR="001B3CF9">
        <w:rPr>
          <w:color w:val="auto"/>
        </w:rPr>
        <w:t>5</w:t>
      </w:r>
      <w:r w:rsidRPr="005B459C">
        <w:rPr>
          <w:color w:val="auto"/>
        </w:rPr>
        <w:t xml:space="preserve"> Tato smlouva je uzavřena a nabývá na účinnosti dnem jejího podpisu oběma smluvními stranami.</w:t>
      </w:r>
    </w:p>
    <w:p w:rsidR="00746A08" w:rsidRPr="005B459C" w:rsidRDefault="00746A08" w:rsidP="005B629E">
      <w:pPr>
        <w:pStyle w:val="lnek"/>
        <w:spacing w:before="200" w:after="60"/>
        <w:rPr>
          <w:color w:val="auto"/>
        </w:rPr>
      </w:pPr>
      <w:r w:rsidRPr="005B459C">
        <w:rPr>
          <w:color w:val="auto"/>
        </w:rPr>
        <w:t>I</w:t>
      </w:r>
      <w:r w:rsidR="00DB3032" w:rsidRPr="005B459C">
        <w:rPr>
          <w:color w:val="auto"/>
        </w:rPr>
        <w:t>V</w:t>
      </w:r>
      <w:r w:rsidRPr="005B459C">
        <w:rPr>
          <w:color w:val="auto"/>
        </w:rPr>
        <w:t>. Povinnosti smluvních stran</w:t>
      </w:r>
    </w:p>
    <w:p w:rsidR="00746A08" w:rsidRPr="005B459C" w:rsidRDefault="00562F30" w:rsidP="003D612A">
      <w:pPr>
        <w:pStyle w:val="Odstavec"/>
        <w:numPr>
          <w:ilvl w:val="0"/>
          <w:numId w:val="10"/>
        </w:numPr>
        <w:rPr>
          <w:color w:val="auto"/>
        </w:rPr>
      </w:pPr>
      <w:r w:rsidRPr="005B459C">
        <w:rPr>
          <w:color w:val="auto"/>
        </w:rPr>
        <w:t>Příkazník</w:t>
      </w:r>
      <w:r w:rsidR="00746A08" w:rsidRPr="005B459C">
        <w:rPr>
          <w:color w:val="auto"/>
        </w:rPr>
        <w:t xml:space="preserve"> je povinen:</w:t>
      </w:r>
    </w:p>
    <w:p w:rsidR="00746A08" w:rsidRPr="005B459C" w:rsidRDefault="00746A08" w:rsidP="003D612A">
      <w:pPr>
        <w:pStyle w:val="Odstavec"/>
        <w:numPr>
          <w:ilvl w:val="1"/>
          <w:numId w:val="10"/>
        </w:numPr>
        <w:rPr>
          <w:color w:val="auto"/>
        </w:rPr>
      </w:pPr>
      <w:r w:rsidRPr="005B459C">
        <w:rPr>
          <w:color w:val="auto"/>
        </w:rPr>
        <w:t>Při uskutečňování výkonů postupovat s odbornou péčí a zaručit dodržování příslušných zákonů, rozhodnutí vydaných příslušnými orgány státní správy a obecně závazných právních předpisů.</w:t>
      </w:r>
    </w:p>
    <w:p w:rsidR="00746A08" w:rsidRPr="005B459C" w:rsidRDefault="00746A08" w:rsidP="003D612A">
      <w:pPr>
        <w:pStyle w:val="Odstavec"/>
        <w:numPr>
          <w:ilvl w:val="1"/>
          <w:numId w:val="10"/>
        </w:numPr>
        <w:rPr>
          <w:color w:val="auto"/>
        </w:rPr>
      </w:pPr>
      <w:r w:rsidRPr="005B459C">
        <w:rPr>
          <w:color w:val="auto"/>
        </w:rPr>
        <w:t xml:space="preserve">Při </w:t>
      </w:r>
      <w:r w:rsidR="00C6656E" w:rsidRPr="005B459C">
        <w:rPr>
          <w:color w:val="auto"/>
        </w:rPr>
        <w:t>zařizování záležitostí</w:t>
      </w:r>
      <w:r w:rsidRPr="005B459C">
        <w:rPr>
          <w:color w:val="auto"/>
        </w:rPr>
        <w:t xml:space="preserve"> v souvislosti s touto smlouvou se řídit pokyny </w:t>
      </w:r>
      <w:r w:rsidR="00562F30" w:rsidRPr="005B459C">
        <w:rPr>
          <w:color w:val="auto"/>
        </w:rPr>
        <w:t>Příkazce</w:t>
      </w:r>
      <w:r w:rsidRPr="005B459C">
        <w:rPr>
          <w:color w:val="auto"/>
        </w:rPr>
        <w:t xml:space="preserve"> a postupovat v souladu s jeho zájmy. </w:t>
      </w:r>
      <w:r w:rsidR="004E175C" w:rsidRPr="005B459C">
        <w:rPr>
          <w:color w:val="auto"/>
        </w:rPr>
        <w:t>Příkazník neodpovídá za vady v dokončené a </w:t>
      </w:r>
      <w:r w:rsidR="00C060D9" w:rsidRPr="005B459C">
        <w:rPr>
          <w:color w:val="auto"/>
        </w:rPr>
        <w:t>P</w:t>
      </w:r>
      <w:r w:rsidR="004E175C" w:rsidRPr="005B459C">
        <w:rPr>
          <w:color w:val="auto"/>
        </w:rPr>
        <w:t xml:space="preserve">říkazci odevzdané práci, jestliže tyto vady byly způsobeny použitím podkladů, informací a věcí, předaných mu ke zpracování </w:t>
      </w:r>
      <w:r w:rsidR="00C060D9" w:rsidRPr="005B459C">
        <w:rPr>
          <w:color w:val="auto"/>
        </w:rPr>
        <w:t>P</w:t>
      </w:r>
      <w:r w:rsidR="004E175C" w:rsidRPr="005B459C">
        <w:rPr>
          <w:color w:val="auto"/>
        </w:rPr>
        <w:t xml:space="preserve">říkazcem. Obdrží-li </w:t>
      </w:r>
      <w:r w:rsidR="00C060D9" w:rsidRPr="005B459C">
        <w:rPr>
          <w:color w:val="auto"/>
        </w:rPr>
        <w:t>P</w:t>
      </w:r>
      <w:r w:rsidR="004E175C" w:rsidRPr="005B459C">
        <w:rPr>
          <w:color w:val="auto"/>
        </w:rPr>
        <w:t xml:space="preserve">říkazník od </w:t>
      </w:r>
      <w:r w:rsidR="00C060D9" w:rsidRPr="005B459C">
        <w:rPr>
          <w:color w:val="auto"/>
        </w:rPr>
        <w:t>P</w:t>
      </w:r>
      <w:r w:rsidR="004E175C" w:rsidRPr="005B459C">
        <w:rPr>
          <w:color w:val="auto"/>
        </w:rPr>
        <w:t xml:space="preserve">říkazce pokyn zřejmě nesprávný, upozorní ho na to a splní takový pokyn jen tehdy, když na něm </w:t>
      </w:r>
      <w:r w:rsidR="00C060D9" w:rsidRPr="005B459C">
        <w:rPr>
          <w:color w:val="auto"/>
        </w:rPr>
        <w:t>P</w:t>
      </w:r>
      <w:r w:rsidR="004E175C" w:rsidRPr="005B459C">
        <w:rPr>
          <w:color w:val="auto"/>
        </w:rPr>
        <w:t>říkazce trvá</w:t>
      </w:r>
      <w:r w:rsidRPr="005B459C">
        <w:rPr>
          <w:color w:val="auto"/>
        </w:rPr>
        <w:t>.</w:t>
      </w:r>
    </w:p>
    <w:p w:rsidR="00746A08" w:rsidRPr="005B459C" w:rsidRDefault="00746A08" w:rsidP="003D612A">
      <w:pPr>
        <w:pStyle w:val="Odstavec"/>
        <w:numPr>
          <w:ilvl w:val="1"/>
          <w:numId w:val="10"/>
        </w:numPr>
        <w:rPr>
          <w:color w:val="auto"/>
        </w:rPr>
      </w:pPr>
      <w:r w:rsidRPr="005B459C">
        <w:rPr>
          <w:color w:val="auto"/>
        </w:rPr>
        <w:t xml:space="preserve">Bez zbytečného odkladu oznámit </w:t>
      </w:r>
      <w:r w:rsidR="00562F30" w:rsidRPr="005B459C">
        <w:rPr>
          <w:color w:val="auto"/>
        </w:rPr>
        <w:t>Příkazc</w:t>
      </w:r>
      <w:r w:rsidRPr="005B459C">
        <w:rPr>
          <w:color w:val="auto"/>
        </w:rPr>
        <w:t>i všechny okolnosti, o kterých se při uskutečňování výkonů dozví, a které by mohly mít vliv na změnu jeho pokynů.</w:t>
      </w:r>
    </w:p>
    <w:p w:rsidR="00746A08" w:rsidRPr="005B459C" w:rsidRDefault="00746A08" w:rsidP="003D612A">
      <w:pPr>
        <w:pStyle w:val="Odstavec"/>
        <w:numPr>
          <w:ilvl w:val="1"/>
          <w:numId w:val="10"/>
        </w:numPr>
        <w:rPr>
          <w:color w:val="auto"/>
        </w:rPr>
      </w:pPr>
      <w:r w:rsidRPr="005B459C">
        <w:rPr>
          <w:color w:val="auto"/>
        </w:rPr>
        <w:t xml:space="preserve">V případě, že </w:t>
      </w:r>
      <w:r w:rsidR="00562F30" w:rsidRPr="005B459C">
        <w:rPr>
          <w:color w:val="auto"/>
        </w:rPr>
        <w:t>Příkazník</w:t>
      </w:r>
      <w:r w:rsidRPr="005B459C">
        <w:rPr>
          <w:color w:val="auto"/>
        </w:rPr>
        <w:t xml:space="preserve"> pro </w:t>
      </w:r>
      <w:r w:rsidR="00C6656E" w:rsidRPr="005B459C">
        <w:rPr>
          <w:color w:val="auto"/>
        </w:rPr>
        <w:t xml:space="preserve">obstarávání záležitostí </w:t>
      </w:r>
      <w:r w:rsidRPr="005B459C">
        <w:rPr>
          <w:color w:val="auto"/>
        </w:rPr>
        <w:t xml:space="preserve">využije služeb třetí osoby, oprávněné jednat samostatně, je povinen s tím </w:t>
      </w:r>
      <w:r w:rsidR="00562F30" w:rsidRPr="005B459C">
        <w:rPr>
          <w:color w:val="auto"/>
        </w:rPr>
        <w:t>Příkazce</w:t>
      </w:r>
      <w:r w:rsidRPr="005B459C">
        <w:rPr>
          <w:color w:val="auto"/>
        </w:rPr>
        <w:t xml:space="preserve"> seznámit a předat kontakty na odpovědné </w:t>
      </w:r>
      <w:r w:rsidRPr="005B459C">
        <w:rPr>
          <w:color w:val="auto"/>
        </w:rPr>
        <w:lastRenderedPageBreak/>
        <w:t xml:space="preserve">osoby. Odpovědnost </w:t>
      </w:r>
      <w:r w:rsidR="00562F30" w:rsidRPr="005B459C">
        <w:rPr>
          <w:color w:val="auto"/>
        </w:rPr>
        <w:t>Příkazník</w:t>
      </w:r>
      <w:r w:rsidR="004E175C" w:rsidRPr="005B459C">
        <w:rPr>
          <w:color w:val="auto"/>
        </w:rPr>
        <w:t>a</w:t>
      </w:r>
      <w:r w:rsidRPr="005B459C">
        <w:rPr>
          <w:color w:val="auto"/>
        </w:rPr>
        <w:t xml:space="preserve"> za správné a včasné </w:t>
      </w:r>
      <w:r w:rsidR="00C6656E" w:rsidRPr="005B459C">
        <w:rPr>
          <w:color w:val="auto"/>
        </w:rPr>
        <w:t xml:space="preserve">obstarávání záležitostí </w:t>
      </w:r>
      <w:r w:rsidRPr="005B459C">
        <w:rPr>
          <w:color w:val="auto"/>
        </w:rPr>
        <w:t>tím není nijak dotčena.</w:t>
      </w:r>
    </w:p>
    <w:p w:rsidR="00746A08" w:rsidRPr="005B459C" w:rsidRDefault="00746A08" w:rsidP="003D612A">
      <w:pPr>
        <w:pStyle w:val="Odstavec"/>
        <w:numPr>
          <w:ilvl w:val="1"/>
          <w:numId w:val="10"/>
        </w:numPr>
        <w:rPr>
          <w:color w:val="auto"/>
        </w:rPr>
      </w:pPr>
      <w:r w:rsidRPr="005B459C">
        <w:rPr>
          <w:color w:val="auto"/>
        </w:rPr>
        <w:t xml:space="preserve">Informovat </w:t>
      </w:r>
      <w:r w:rsidR="00562F30" w:rsidRPr="005B459C">
        <w:rPr>
          <w:color w:val="auto"/>
        </w:rPr>
        <w:t>Příkazce</w:t>
      </w:r>
      <w:r w:rsidRPr="005B459C">
        <w:rPr>
          <w:color w:val="auto"/>
        </w:rPr>
        <w:t>, zejména o faktickém současném stavu věci, možnostech dalšího postupu a o potřebě součinnosti.</w:t>
      </w:r>
    </w:p>
    <w:p w:rsidR="00C6656E" w:rsidRPr="005B459C" w:rsidRDefault="00C6656E" w:rsidP="003D612A">
      <w:pPr>
        <w:pStyle w:val="Odstavec"/>
        <w:numPr>
          <w:ilvl w:val="1"/>
          <w:numId w:val="10"/>
        </w:numPr>
        <w:rPr>
          <w:color w:val="auto"/>
        </w:rPr>
      </w:pPr>
      <w:r w:rsidRPr="005B459C">
        <w:rPr>
          <w:color w:val="auto"/>
        </w:rPr>
        <w:t xml:space="preserve">Zjistí-li Příkazník při zajišťování předmětu plnění podle této smlouvy překážky, které znemožňují řádné uskutečnění činnosti a právních úkonů dohodnutým způsobem, oznámí to neprodleně </w:t>
      </w:r>
      <w:r w:rsidR="00C060D9" w:rsidRPr="005B459C">
        <w:rPr>
          <w:color w:val="auto"/>
        </w:rPr>
        <w:t>P</w:t>
      </w:r>
      <w:r w:rsidRPr="005B459C">
        <w:rPr>
          <w:color w:val="auto"/>
        </w:rPr>
        <w:t xml:space="preserve">říkazci, se kterým se dohodne na odstranění těchto překážek. Nedohodnou-li se strany na odstranění překážek, popř. změně smlouvy, ve lhůtě 7 dnů, je Příkazník oprávněn vypovědět smlouvu ve smyslu ustanovení </w:t>
      </w:r>
      <w:r w:rsidR="00DB3032" w:rsidRPr="005B459C">
        <w:rPr>
          <w:color w:val="auto"/>
        </w:rPr>
        <w:t>§ 2440 zákona č. 89/2012 Sb., občanský zákoník</w:t>
      </w:r>
      <w:r w:rsidRPr="005B459C">
        <w:rPr>
          <w:color w:val="auto"/>
        </w:rPr>
        <w:t>. Příkazníkovi náleží v tomto případě částka, dosud účelně a nezbytně vynaložená pro potřeby Příkazce.</w:t>
      </w:r>
    </w:p>
    <w:p w:rsidR="00C6656E" w:rsidRPr="005B459C" w:rsidRDefault="00C6656E" w:rsidP="003D612A">
      <w:pPr>
        <w:pStyle w:val="Odstavec"/>
        <w:numPr>
          <w:ilvl w:val="1"/>
          <w:numId w:val="10"/>
        </w:numPr>
        <w:rPr>
          <w:color w:val="auto"/>
        </w:rPr>
      </w:pPr>
      <w:r w:rsidRPr="005B459C">
        <w:rPr>
          <w:color w:val="auto"/>
        </w:rPr>
        <w:t xml:space="preserve">Příkazník je povinen zachovávat mlčenlivost o všech údajích, které jsou obsaženy v projektových, technických a realizačních podkladech, nebo o jiných skutečnostech, se kterými přijde při plnění této smlouvy do styku. Tyto údaje jsou smluvními stranami považovány za předmět obchodního tajemství příkazce ve smyslu ustanovení § 504 </w:t>
      </w:r>
      <w:r w:rsidR="00DB3032" w:rsidRPr="005B459C">
        <w:rPr>
          <w:color w:val="auto"/>
        </w:rPr>
        <w:t>zákona č. 89/2012 Sb., občanský zákoník.</w:t>
      </w:r>
    </w:p>
    <w:p w:rsidR="00746A08" w:rsidRPr="005B459C" w:rsidRDefault="00562F30" w:rsidP="003D612A">
      <w:pPr>
        <w:pStyle w:val="Odstavec"/>
        <w:numPr>
          <w:ilvl w:val="0"/>
          <w:numId w:val="10"/>
        </w:numPr>
        <w:rPr>
          <w:color w:val="auto"/>
        </w:rPr>
      </w:pPr>
      <w:r w:rsidRPr="005B459C">
        <w:rPr>
          <w:color w:val="auto"/>
        </w:rPr>
        <w:t>Příkazce</w:t>
      </w:r>
      <w:r w:rsidR="00746A08" w:rsidRPr="005B459C">
        <w:rPr>
          <w:color w:val="auto"/>
        </w:rPr>
        <w:t xml:space="preserve"> je povinen:</w:t>
      </w:r>
    </w:p>
    <w:p w:rsidR="00746A08" w:rsidRPr="005B459C" w:rsidRDefault="00746A08" w:rsidP="003D612A">
      <w:pPr>
        <w:pStyle w:val="Odstavec"/>
        <w:numPr>
          <w:ilvl w:val="1"/>
          <w:numId w:val="10"/>
        </w:numPr>
        <w:rPr>
          <w:color w:val="auto"/>
        </w:rPr>
      </w:pPr>
      <w:r w:rsidRPr="005B459C">
        <w:rPr>
          <w:color w:val="auto"/>
        </w:rPr>
        <w:t xml:space="preserve">Poskytnout </w:t>
      </w:r>
      <w:r w:rsidR="00562F30" w:rsidRPr="005B459C">
        <w:rPr>
          <w:color w:val="auto"/>
        </w:rPr>
        <w:t>Příkazník</w:t>
      </w:r>
      <w:r w:rsidR="00C6656E" w:rsidRPr="005B459C">
        <w:rPr>
          <w:color w:val="auto"/>
        </w:rPr>
        <w:t>ovi</w:t>
      </w:r>
      <w:r w:rsidRPr="005B459C">
        <w:rPr>
          <w:color w:val="auto"/>
        </w:rPr>
        <w:t xml:space="preserve"> potřebnou součinnost k plnění předmětu této smlouvy, zejména poskytnout pravdivé a úplné informace ústní i písemné tak, aby mohl </w:t>
      </w:r>
      <w:r w:rsidR="00562F30" w:rsidRPr="005B459C">
        <w:rPr>
          <w:color w:val="auto"/>
        </w:rPr>
        <w:t>Příkazník</w:t>
      </w:r>
      <w:r w:rsidRPr="005B459C">
        <w:rPr>
          <w:color w:val="auto"/>
        </w:rPr>
        <w:t xml:space="preserve"> své výkony uskutečnit včas, v souladu s touto smlouvou.</w:t>
      </w:r>
    </w:p>
    <w:p w:rsidR="00746A08" w:rsidRPr="005B459C" w:rsidRDefault="002D2FB2" w:rsidP="003D612A">
      <w:pPr>
        <w:pStyle w:val="Odstavec"/>
        <w:numPr>
          <w:ilvl w:val="1"/>
          <w:numId w:val="10"/>
        </w:numPr>
        <w:rPr>
          <w:color w:val="auto"/>
        </w:rPr>
      </w:pPr>
      <w:r w:rsidRPr="005B459C">
        <w:rPr>
          <w:color w:val="auto"/>
        </w:rPr>
        <w:t xml:space="preserve">Bez zbytečného odkladu poskytnout Příkazníkovi podklady se všemi náležitostmi, které Příkazník v průběhu své činnosti definuje, </w:t>
      </w:r>
      <w:r w:rsidR="005B459C" w:rsidRPr="005B459C">
        <w:rPr>
          <w:rFonts w:cs="Arial"/>
          <w:color w:val="auto"/>
        </w:rPr>
        <w:t>především úplný popis požadovaného zboží s uvedením požadovaných technických parametrů, které nebudou obsahovat odkazy na konkrétní výrobky, materiály, technologii, specifické označení, příp. na obchodní firmy, nebo na patenty na vynálezy, užitné vzory, průmyslové vzory, ochranné známky nebo označení původu atd., vše ve smyslu ustanovení § 89 odst. 5 ZZVZ</w:t>
      </w:r>
      <w:r w:rsidR="00CA0077" w:rsidRPr="005B459C">
        <w:rPr>
          <w:color w:val="auto"/>
        </w:rPr>
        <w:t>.</w:t>
      </w:r>
    </w:p>
    <w:p w:rsidR="00746A08" w:rsidRPr="005B459C" w:rsidRDefault="00746A08" w:rsidP="003D612A">
      <w:pPr>
        <w:pStyle w:val="Odstavec"/>
        <w:numPr>
          <w:ilvl w:val="1"/>
          <w:numId w:val="10"/>
        </w:numPr>
        <w:rPr>
          <w:color w:val="auto"/>
        </w:rPr>
      </w:pPr>
      <w:r w:rsidRPr="005B459C">
        <w:rPr>
          <w:color w:val="auto"/>
        </w:rPr>
        <w:t xml:space="preserve">Uhradit </w:t>
      </w:r>
      <w:r w:rsidR="00562F30" w:rsidRPr="005B459C">
        <w:rPr>
          <w:color w:val="auto"/>
        </w:rPr>
        <w:t>Příkazník</w:t>
      </w:r>
      <w:r w:rsidR="00C6656E" w:rsidRPr="005B459C">
        <w:rPr>
          <w:color w:val="auto"/>
        </w:rPr>
        <w:t>ov</w:t>
      </w:r>
      <w:r w:rsidRPr="005B459C">
        <w:rPr>
          <w:color w:val="auto"/>
        </w:rPr>
        <w:t xml:space="preserve">i </w:t>
      </w:r>
      <w:r w:rsidR="00C6656E" w:rsidRPr="005B459C">
        <w:rPr>
          <w:color w:val="auto"/>
        </w:rPr>
        <w:t xml:space="preserve">řádně a včas </w:t>
      </w:r>
      <w:r w:rsidRPr="005B459C">
        <w:rPr>
          <w:color w:val="auto"/>
        </w:rPr>
        <w:t>odměny sjednané touto smlouvou.</w:t>
      </w:r>
    </w:p>
    <w:p w:rsidR="00746A08" w:rsidRPr="005B459C" w:rsidRDefault="00746A08" w:rsidP="003D612A">
      <w:pPr>
        <w:pStyle w:val="Odstavec"/>
        <w:numPr>
          <w:ilvl w:val="1"/>
          <w:numId w:val="10"/>
        </w:numPr>
        <w:rPr>
          <w:color w:val="auto"/>
        </w:rPr>
      </w:pPr>
      <w:r w:rsidRPr="005B459C">
        <w:rPr>
          <w:color w:val="auto"/>
        </w:rPr>
        <w:t xml:space="preserve">Do týdne po obdržení rozhodnutí o přidělení, či nepřidělení dotace, zaslat kopii takového rozhodnutí </w:t>
      </w:r>
      <w:r w:rsidR="00562F30" w:rsidRPr="005B459C">
        <w:rPr>
          <w:color w:val="auto"/>
        </w:rPr>
        <w:t>Příkazník</w:t>
      </w:r>
      <w:r w:rsidR="00C6656E" w:rsidRPr="005B459C">
        <w:rPr>
          <w:color w:val="auto"/>
        </w:rPr>
        <w:t>ov</w:t>
      </w:r>
      <w:r w:rsidRPr="005B459C">
        <w:rPr>
          <w:color w:val="auto"/>
        </w:rPr>
        <w:t>i.</w:t>
      </w:r>
    </w:p>
    <w:p w:rsidR="00746A08" w:rsidRPr="005B459C" w:rsidRDefault="00746A08" w:rsidP="003D612A">
      <w:pPr>
        <w:pStyle w:val="Odstavec"/>
        <w:numPr>
          <w:ilvl w:val="0"/>
          <w:numId w:val="10"/>
        </w:numPr>
        <w:rPr>
          <w:color w:val="auto"/>
        </w:rPr>
      </w:pPr>
      <w:r w:rsidRPr="005B459C">
        <w:rPr>
          <w:color w:val="auto"/>
        </w:rPr>
        <w:t>Obě smluvní strany se dále zavazují zpracovávat dílčí úkoly podle harmonogramů stanovených touto smlouvou nebo stanovených či aktualizovaných v zápisech z jednání podepsaných zúčastněnými stranami.</w:t>
      </w:r>
    </w:p>
    <w:p w:rsidR="00746A08" w:rsidRDefault="00746A08" w:rsidP="005B629E">
      <w:pPr>
        <w:pStyle w:val="lnek"/>
        <w:spacing w:before="200" w:after="60"/>
      </w:pPr>
      <w:r>
        <w:t xml:space="preserve">V. </w:t>
      </w:r>
      <w:r w:rsidR="00C6656E">
        <w:t>Cena</w:t>
      </w:r>
    </w:p>
    <w:p w:rsidR="00746A08" w:rsidRDefault="00746A08" w:rsidP="003D612A">
      <w:pPr>
        <w:pStyle w:val="Odstavec"/>
        <w:numPr>
          <w:ilvl w:val="0"/>
          <w:numId w:val="5"/>
        </w:numPr>
      </w:pPr>
      <w:r w:rsidRPr="002A2898">
        <w:t xml:space="preserve">Základní smluvní odměna </w:t>
      </w:r>
      <w:r w:rsidR="00562F30" w:rsidRPr="002A2898">
        <w:t>Příkazník</w:t>
      </w:r>
      <w:r w:rsidR="002422BA" w:rsidRPr="002A2898">
        <w:t>a</w:t>
      </w:r>
      <w:r w:rsidRPr="002A2898">
        <w:t xml:space="preserve"> na základě dohody účastníků činí:</w:t>
      </w:r>
    </w:p>
    <w:p w:rsidR="005B459C" w:rsidRPr="002A2898" w:rsidRDefault="005B459C" w:rsidP="003D612A">
      <w:pPr>
        <w:pStyle w:val="Odstavec"/>
        <w:numPr>
          <w:ilvl w:val="1"/>
          <w:numId w:val="5"/>
        </w:numPr>
      </w:pPr>
      <w:r>
        <w:t>pro rozsah činnosti specifikovaný v čl. III. odst. 2.1.:</w:t>
      </w:r>
    </w:p>
    <w:p w:rsidR="002422BA" w:rsidRDefault="001B3CF9" w:rsidP="002422BA">
      <w:pPr>
        <w:pStyle w:val="Odstavec"/>
        <w:ind w:left="792" w:firstLine="626"/>
        <w:jc w:val="left"/>
      </w:pPr>
      <w:r>
        <w:t>48</w:t>
      </w:r>
      <w:r w:rsidR="002422BA" w:rsidRPr="002A2898">
        <w:t>.</w:t>
      </w:r>
      <w:r>
        <w:t>2</w:t>
      </w:r>
      <w:r w:rsidR="002422BA" w:rsidRPr="002A2898">
        <w:t>00,- Kč (</w:t>
      </w:r>
      <w:proofErr w:type="spellStart"/>
      <w:r>
        <w:t>Čtyřicetosmtisícdvěstě</w:t>
      </w:r>
      <w:r w:rsidRPr="002A2898">
        <w:t>korunčeských</w:t>
      </w:r>
      <w:proofErr w:type="spellEnd"/>
      <w:r w:rsidR="002422BA" w:rsidRPr="002A2898">
        <w:t>)</w:t>
      </w:r>
    </w:p>
    <w:p w:rsidR="00746A08" w:rsidRDefault="00746A08" w:rsidP="00746A08">
      <w:pPr>
        <w:pStyle w:val="Odstavec"/>
        <w:ind w:left="709" w:firstLine="11"/>
      </w:pPr>
      <w:r>
        <w:t xml:space="preserve">Nárok na fakturování úplaty vzniká </w:t>
      </w:r>
      <w:r w:rsidR="00562F30">
        <w:t>Příkazník</w:t>
      </w:r>
      <w:r w:rsidR="002422BA">
        <w:t>ov</w:t>
      </w:r>
      <w:r>
        <w:t xml:space="preserve">i dnem předání dokumentace </w:t>
      </w:r>
      <w:r w:rsidR="005B459C">
        <w:t xml:space="preserve">této části </w:t>
      </w:r>
      <w:r w:rsidR="00562F30">
        <w:t>Příkazc</w:t>
      </w:r>
      <w:r>
        <w:t>i.</w:t>
      </w:r>
    </w:p>
    <w:p w:rsidR="005B459C" w:rsidRPr="002A2898" w:rsidRDefault="005B459C" w:rsidP="003D612A">
      <w:pPr>
        <w:pStyle w:val="Odstavec"/>
        <w:numPr>
          <w:ilvl w:val="1"/>
          <w:numId w:val="5"/>
        </w:numPr>
      </w:pPr>
      <w:r>
        <w:t>pro rozsah činnosti specifikovaný v čl. III. odst. 2.2.:</w:t>
      </w:r>
    </w:p>
    <w:p w:rsidR="005B459C" w:rsidRDefault="001B3CF9" w:rsidP="005B459C">
      <w:pPr>
        <w:pStyle w:val="Odstavec"/>
        <w:ind w:left="792" w:firstLine="626"/>
        <w:jc w:val="left"/>
      </w:pPr>
      <w:r>
        <w:t>48</w:t>
      </w:r>
      <w:r w:rsidRPr="002A2898">
        <w:t>.</w:t>
      </w:r>
      <w:r>
        <w:t>2</w:t>
      </w:r>
      <w:r w:rsidRPr="002A2898">
        <w:t>00,- Kč (</w:t>
      </w:r>
      <w:proofErr w:type="spellStart"/>
      <w:r>
        <w:t>Čtyřicetosmtisícdvěstě</w:t>
      </w:r>
      <w:r w:rsidRPr="002A2898">
        <w:t>korunčeských</w:t>
      </w:r>
      <w:proofErr w:type="spellEnd"/>
      <w:r w:rsidRPr="002A2898">
        <w:t>)</w:t>
      </w:r>
    </w:p>
    <w:p w:rsidR="005B459C" w:rsidRDefault="005B459C" w:rsidP="005B459C">
      <w:pPr>
        <w:pStyle w:val="Odstavec"/>
        <w:ind w:left="709" w:firstLine="11"/>
      </w:pPr>
      <w:r>
        <w:lastRenderedPageBreak/>
        <w:t>Nárok na fakturování úplaty vzniká Příkazníkovi dnem předání dokumentace této části Příkazci.</w:t>
      </w:r>
    </w:p>
    <w:p w:rsidR="005B459C" w:rsidRPr="002A2898" w:rsidRDefault="005B459C" w:rsidP="003D612A">
      <w:pPr>
        <w:pStyle w:val="Odstavec"/>
        <w:numPr>
          <w:ilvl w:val="1"/>
          <w:numId w:val="5"/>
        </w:numPr>
      </w:pPr>
      <w:r>
        <w:t>pro rozsah činnosti specifikovaný v čl. III. odst. 2.3.:</w:t>
      </w:r>
    </w:p>
    <w:p w:rsidR="005B459C" w:rsidRDefault="001B3CF9" w:rsidP="005B459C">
      <w:pPr>
        <w:pStyle w:val="Odstavec"/>
        <w:ind w:left="792" w:firstLine="626"/>
        <w:jc w:val="left"/>
      </w:pPr>
      <w:r>
        <w:t>48</w:t>
      </w:r>
      <w:r w:rsidRPr="002A2898">
        <w:t>.</w:t>
      </w:r>
      <w:r>
        <w:t>1</w:t>
      </w:r>
      <w:r w:rsidRPr="002A2898">
        <w:t>00,- Kč (</w:t>
      </w:r>
      <w:proofErr w:type="spellStart"/>
      <w:r>
        <w:t>Čtyřicetosmtisícjednosto</w:t>
      </w:r>
      <w:r w:rsidRPr="002A2898">
        <w:t>korunčeských</w:t>
      </w:r>
      <w:proofErr w:type="spellEnd"/>
      <w:r w:rsidRPr="002A2898">
        <w:t>)</w:t>
      </w:r>
    </w:p>
    <w:p w:rsidR="005B459C" w:rsidRDefault="005B459C" w:rsidP="005B459C">
      <w:pPr>
        <w:pStyle w:val="Odstavec"/>
        <w:ind w:left="709" w:firstLine="11"/>
      </w:pPr>
      <w:r>
        <w:t>Nárok na fakturování úplaty vzniká Příkazníkovi dnem předání dokumentace této části Příkazci.</w:t>
      </w:r>
    </w:p>
    <w:p w:rsidR="001B3CF9" w:rsidRPr="002A2898" w:rsidRDefault="001B3CF9" w:rsidP="001B3CF9">
      <w:pPr>
        <w:pStyle w:val="Odstavec"/>
        <w:numPr>
          <w:ilvl w:val="1"/>
          <w:numId w:val="5"/>
        </w:numPr>
      </w:pPr>
      <w:r>
        <w:t>pro rozsah činnosti specifikovaný v čl. III. odst. 2.4.:</w:t>
      </w:r>
    </w:p>
    <w:p w:rsidR="001B3CF9" w:rsidRDefault="001B3CF9" w:rsidP="001B3CF9">
      <w:pPr>
        <w:pStyle w:val="Odstavec"/>
        <w:ind w:left="792" w:firstLine="626"/>
        <w:jc w:val="left"/>
      </w:pPr>
      <w:r>
        <w:t>28</w:t>
      </w:r>
      <w:r w:rsidRPr="002A2898">
        <w:t>.</w:t>
      </w:r>
      <w:r>
        <w:t>8</w:t>
      </w:r>
      <w:r w:rsidRPr="002A2898">
        <w:t>00,- Kč (</w:t>
      </w:r>
      <w:proofErr w:type="spellStart"/>
      <w:r>
        <w:t>Dvacetosmtisícosmset</w:t>
      </w:r>
      <w:r w:rsidRPr="002A2898">
        <w:t>korunčeských</w:t>
      </w:r>
      <w:proofErr w:type="spellEnd"/>
      <w:r w:rsidRPr="002A2898">
        <w:t>)</w:t>
      </w:r>
    </w:p>
    <w:p w:rsidR="001B3CF9" w:rsidRDefault="001B3CF9" w:rsidP="001B3CF9">
      <w:pPr>
        <w:pStyle w:val="Odstavec"/>
        <w:ind w:left="709" w:firstLine="11"/>
      </w:pPr>
      <w:r>
        <w:t>Nárok na fakturování úplaty vzniká Příkazníkovi dnem předání dokumentace této části Příkazci.</w:t>
      </w:r>
    </w:p>
    <w:p w:rsidR="001B3CF9" w:rsidRPr="002A2898" w:rsidRDefault="001B3CF9" w:rsidP="001B3CF9">
      <w:pPr>
        <w:pStyle w:val="Odstavec"/>
        <w:numPr>
          <w:ilvl w:val="1"/>
          <w:numId w:val="5"/>
        </w:numPr>
      </w:pPr>
      <w:r>
        <w:t>pro rozsah činnosti specifikovaný v čl. III. odst. 2.5.:</w:t>
      </w:r>
    </w:p>
    <w:p w:rsidR="001B3CF9" w:rsidRDefault="001B3CF9" w:rsidP="001B3CF9">
      <w:pPr>
        <w:pStyle w:val="Odstavec"/>
        <w:ind w:left="792" w:firstLine="626"/>
        <w:jc w:val="left"/>
      </w:pPr>
      <w:r>
        <w:t>28</w:t>
      </w:r>
      <w:r w:rsidRPr="002A2898">
        <w:t>.</w:t>
      </w:r>
      <w:r>
        <w:t>8</w:t>
      </w:r>
      <w:r w:rsidRPr="002A2898">
        <w:t>00,- Kč (</w:t>
      </w:r>
      <w:proofErr w:type="spellStart"/>
      <w:r>
        <w:t>Dvacetosmtisícosmset</w:t>
      </w:r>
      <w:r w:rsidRPr="002A2898">
        <w:t>korunčeských</w:t>
      </w:r>
      <w:proofErr w:type="spellEnd"/>
      <w:r w:rsidRPr="002A2898">
        <w:t>)</w:t>
      </w:r>
    </w:p>
    <w:p w:rsidR="001B3CF9" w:rsidRDefault="001B3CF9" w:rsidP="001B3CF9">
      <w:pPr>
        <w:pStyle w:val="Odstavec"/>
        <w:ind w:left="709" w:firstLine="11"/>
      </w:pPr>
      <w:r>
        <w:t>Nárok na fakturování úplaty vzniká Příkazníkovi dnem předání dokumentace této části Příkazci.</w:t>
      </w:r>
    </w:p>
    <w:p w:rsidR="00746A08" w:rsidRDefault="00746A08" w:rsidP="003D612A">
      <w:pPr>
        <w:pStyle w:val="Odstavec"/>
        <w:numPr>
          <w:ilvl w:val="0"/>
          <w:numId w:val="5"/>
        </w:numPr>
      </w:pPr>
      <w:r>
        <w:t xml:space="preserve">Smluvní strany se dále dohodly, že za rozšířený okruh prací vyplývajících z dodatku této smlouvy vytvořeného podle čl. II. odst. </w:t>
      </w:r>
      <w:r w:rsidR="005617C3">
        <w:t>3</w:t>
      </w:r>
      <w:r>
        <w:t xml:space="preserve"> této smlouvy, náleží </w:t>
      </w:r>
      <w:r w:rsidR="00562F30">
        <w:t>Příkazník</w:t>
      </w:r>
      <w:r w:rsidR="00906C9B">
        <w:t>ov</w:t>
      </w:r>
      <w:r>
        <w:t xml:space="preserve">i odměna ve formě hodinové sazby </w:t>
      </w:r>
      <w:r w:rsidR="00193782">
        <w:t>6</w:t>
      </w:r>
      <w:r>
        <w:t>90,-</w:t>
      </w:r>
      <w:r w:rsidR="00DB3032">
        <w:t xml:space="preserve"> </w:t>
      </w:r>
      <w:r>
        <w:t>Kč, pokud se Smluvní strany nedohodnou v příslušném dodatku jinak.</w:t>
      </w:r>
    </w:p>
    <w:p w:rsidR="00746A08" w:rsidRDefault="00746A08" w:rsidP="003D612A">
      <w:pPr>
        <w:pStyle w:val="Odstavec"/>
        <w:numPr>
          <w:ilvl w:val="0"/>
          <w:numId w:val="5"/>
        </w:numPr>
      </w:pPr>
      <w:r>
        <w:t>Ke sjednané odměně podle odst. 1</w:t>
      </w:r>
      <w:r w:rsidR="00193782">
        <w:t>.</w:t>
      </w:r>
      <w:r>
        <w:t xml:space="preserve"> </w:t>
      </w:r>
      <w:r w:rsidR="00193782">
        <w:t xml:space="preserve">a 2. </w:t>
      </w:r>
      <w:r>
        <w:t>tohoto článku bude připočtena DPH. Smluvní strany berou na vědomí, že případná změna vyvolaná novelou daňového zákona se promítne v jejím konečném vyčíslení.</w:t>
      </w:r>
    </w:p>
    <w:p w:rsidR="00746A08" w:rsidRDefault="005617C3" w:rsidP="003D612A">
      <w:pPr>
        <w:pStyle w:val="Odstavec"/>
        <w:numPr>
          <w:ilvl w:val="0"/>
          <w:numId w:val="5"/>
        </w:numPr>
      </w:pPr>
      <w:r>
        <w:t>Příkazce se zavazuje platit Příkazníkovi smluvní cenu v odst. 1 tohoto článku uvedenou na základě faktur (daňov</w:t>
      </w:r>
      <w:r w:rsidR="005B459C">
        <w:t>ých</w:t>
      </w:r>
      <w:r>
        <w:t xml:space="preserve"> doklad</w:t>
      </w:r>
      <w:r w:rsidR="005B459C">
        <w:t>ů</w:t>
      </w:r>
      <w:r>
        <w:t>) vystaven</w:t>
      </w:r>
      <w:r w:rsidR="005B459C">
        <w:t>ých</w:t>
      </w:r>
      <w:r>
        <w:t xml:space="preserve"> Příkazníkem Příkazci ve smyslu </w:t>
      </w:r>
      <w:r w:rsidR="005B459C">
        <w:t xml:space="preserve">             </w:t>
      </w:r>
      <w:r>
        <w:t>zák. č.</w:t>
      </w:r>
      <w:r w:rsidR="005B459C">
        <w:t xml:space="preserve"> </w:t>
      </w:r>
      <w:r>
        <w:t>235/2004 Sb., o dani z přidané hodnoty, ve znění pozdějších předpisů, na účet uvedený ve faktu</w:t>
      </w:r>
      <w:r w:rsidR="005B459C">
        <w:t>rách</w:t>
      </w:r>
      <w:r>
        <w:t>. Termín splatnosti faktur je 14 dní ode dne jej</w:t>
      </w:r>
      <w:r w:rsidR="005B459C">
        <w:t>ich</w:t>
      </w:r>
      <w:r>
        <w:t xml:space="preserve"> </w:t>
      </w:r>
      <w:r w:rsidRPr="000D2589">
        <w:t>prokazatelného doručení Příkazci</w:t>
      </w:r>
      <w:r w:rsidR="00746A08">
        <w:t>.</w:t>
      </w:r>
    </w:p>
    <w:p w:rsidR="005617C3" w:rsidRPr="000D2589" w:rsidRDefault="005617C3" w:rsidP="003D612A">
      <w:pPr>
        <w:pStyle w:val="Odstavec"/>
        <w:numPr>
          <w:ilvl w:val="0"/>
          <w:numId w:val="5"/>
        </w:numPr>
      </w:pPr>
      <w:r w:rsidRPr="000D2589">
        <w:t>Příkazníkem vystaven</w:t>
      </w:r>
      <w:r w:rsidR="005B459C">
        <w:t>é</w:t>
      </w:r>
      <w:r w:rsidRPr="000D2589">
        <w:t xml:space="preserve"> faktur</w:t>
      </w:r>
      <w:r w:rsidR="005B459C">
        <w:t>y</w:t>
      </w:r>
      <w:r w:rsidRPr="000D2589">
        <w:t xml:space="preserve"> musí obsahovat veškeré náležitosti stanovené zákonem </w:t>
      </w:r>
      <w:r w:rsidR="005B459C">
        <w:t xml:space="preserve">      </w:t>
      </w:r>
      <w:r w:rsidRPr="000D2589">
        <w:t>č. 235/2004 Sb., o dani z přidané hodnoty, ve znění pozdějších předpisů. V případě, že faktura nebude obsahovat některou z předepsaných záležitostí je Příkazce oprávněn vrátit fakturu Příkazníkovi. Lhůta splatnosti počíná znovu běžet až od prokazatelného doručení opravené či doplněné faktury.</w:t>
      </w:r>
    </w:p>
    <w:p w:rsidR="005617C3" w:rsidRDefault="005617C3" w:rsidP="003D612A">
      <w:pPr>
        <w:pStyle w:val="Odstavec"/>
        <w:numPr>
          <w:ilvl w:val="0"/>
          <w:numId w:val="5"/>
        </w:numPr>
      </w:pPr>
      <w:r w:rsidRPr="000D2589">
        <w:t>Příkazce neuhradí práce a služby, které by příkazník provedl bez smluvního podkladu bez souhlasu Příkazce nebo tam, kde se příkazník odchýlil od znění smlouvy.</w:t>
      </w:r>
    </w:p>
    <w:p w:rsidR="00821D5A" w:rsidRPr="005B459C" w:rsidRDefault="00821D5A" w:rsidP="003D612A">
      <w:pPr>
        <w:pStyle w:val="Odstavec"/>
        <w:numPr>
          <w:ilvl w:val="0"/>
          <w:numId w:val="5"/>
        </w:numPr>
      </w:pPr>
      <w:r w:rsidRPr="00A91F53">
        <w:rPr>
          <w:rFonts w:cs="Arial"/>
        </w:rPr>
        <w:t>Ve sjednané odměně jsou zahrnuty veškeré náklady příkazníka spojené s plněním smlouvy v př</w:t>
      </w:r>
      <w:r>
        <w:rPr>
          <w:rFonts w:cs="Arial"/>
        </w:rPr>
        <w:t>edpokládaném rozsahu dle čl. 3.1</w:t>
      </w:r>
      <w:r w:rsidRPr="00A91F53">
        <w:rPr>
          <w:rFonts w:cs="Arial"/>
        </w:rPr>
        <w:t xml:space="preserve"> smlouvy, a to pro jeden cyklus </w:t>
      </w:r>
      <w:r>
        <w:rPr>
          <w:rFonts w:cs="Arial"/>
        </w:rPr>
        <w:t>zadávacího</w:t>
      </w:r>
      <w:r w:rsidRPr="00A91F53">
        <w:rPr>
          <w:rFonts w:cs="Arial"/>
        </w:rPr>
        <w:t xml:space="preserve"> řízení, ukončený rozhodnutím zadavatele</w:t>
      </w:r>
      <w:r>
        <w:rPr>
          <w:rFonts w:cs="Arial"/>
        </w:rPr>
        <w:t>.</w:t>
      </w:r>
    </w:p>
    <w:p w:rsidR="00746A08" w:rsidRPr="00591D08" w:rsidRDefault="00746A08" w:rsidP="005B629E">
      <w:pPr>
        <w:pStyle w:val="lnek"/>
        <w:spacing w:before="200" w:after="60"/>
      </w:pPr>
      <w:r w:rsidRPr="00591D08">
        <w:t>V</w:t>
      </w:r>
      <w:r w:rsidR="00263C75">
        <w:t>I</w:t>
      </w:r>
      <w:r w:rsidRPr="00591D08">
        <w:t xml:space="preserve">. </w:t>
      </w:r>
      <w:r w:rsidR="00906C9B">
        <w:t>Vady</w:t>
      </w:r>
    </w:p>
    <w:p w:rsidR="00746A08" w:rsidRPr="00591D08" w:rsidRDefault="00562F30" w:rsidP="003D612A">
      <w:pPr>
        <w:pStyle w:val="Odstavec"/>
        <w:numPr>
          <w:ilvl w:val="0"/>
          <w:numId w:val="7"/>
        </w:numPr>
      </w:pPr>
      <w:r>
        <w:t>Příkazník</w:t>
      </w:r>
      <w:r w:rsidR="00746A08" w:rsidRPr="00591D08">
        <w:t xml:space="preserve"> neodpovídá za vady d</w:t>
      </w:r>
      <w:r w:rsidR="00746A08">
        <w:t>okumentace</w:t>
      </w:r>
      <w:r w:rsidR="00746A08" w:rsidRPr="00591D08">
        <w:t xml:space="preserve">, které byly po jeho převzetí způsobeny </w:t>
      </w:r>
      <w:r>
        <w:t>Příkazc</w:t>
      </w:r>
      <w:r w:rsidR="00746A08" w:rsidRPr="00591D08">
        <w:t>em, neoprávněným zásahem třetí osoby či neodvratitelnými událostmi</w:t>
      </w:r>
      <w:r w:rsidR="00746A08">
        <w:t xml:space="preserve"> (změna v podmínkách dotačního titulu v době po předání dokumentace apod.)</w:t>
      </w:r>
      <w:r w:rsidR="00746A08" w:rsidRPr="00591D08">
        <w:t>.</w:t>
      </w:r>
    </w:p>
    <w:p w:rsidR="00746A08" w:rsidRDefault="00746A08" w:rsidP="003D612A">
      <w:pPr>
        <w:pStyle w:val="Odstavec"/>
        <w:numPr>
          <w:ilvl w:val="0"/>
          <w:numId w:val="7"/>
        </w:numPr>
      </w:pPr>
      <w:r w:rsidRPr="00591D08">
        <w:lastRenderedPageBreak/>
        <w:t>V případě, že předané d</w:t>
      </w:r>
      <w:r>
        <w:t>okumentace</w:t>
      </w:r>
      <w:r w:rsidRPr="00591D08">
        <w:t xml:space="preserve"> vykazuj</w:t>
      </w:r>
      <w:r>
        <w:t>í</w:t>
      </w:r>
      <w:r w:rsidRPr="00591D08">
        <w:t xml:space="preserve"> vady</w:t>
      </w:r>
      <w:r w:rsidR="00B82062">
        <w:t>,</w:t>
      </w:r>
      <w:r>
        <w:t xml:space="preserve"> resp. nedodělky</w:t>
      </w:r>
      <w:r w:rsidRPr="00591D08">
        <w:t>, musí tyto vady</w:t>
      </w:r>
      <w:r w:rsidR="00B82062">
        <w:t>,</w:t>
      </w:r>
      <w:r>
        <w:t xml:space="preserve"> resp. nedodělky</w:t>
      </w:r>
      <w:r w:rsidRPr="00591D08">
        <w:t xml:space="preserve"> </w:t>
      </w:r>
      <w:r w:rsidR="00562F30">
        <w:t>Příkazce</w:t>
      </w:r>
      <w:r w:rsidRPr="00591D08">
        <w:t xml:space="preserve"> písemně u </w:t>
      </w:r>
      <w:r w:rsidR="00562F30">
        <w:t>Příkazník</w:t>
      </w:r>
      <w:r w:rsidR="00906C9B">
        <w:t>a</w:t>
      </w:r>
      <w:r w:rsidRPr="00591D08">
        <w:t xml:space="preserve"> reklamovat. Písemná forma je p</w:t>
      </w:r>
      <w:r>
        <w:t>odmínkou platnosti reklamace. V </w:t>
      </w:r>
      <w:r w:rsidRPr="00591D08">
        <w:t xml:space="preserve">reklamaci musí </w:t>
      </w:r>
      <w:r w:rsidR="00562F30">
        <w:t>Příkazce</w:t>
      </w:r>
      <w:r w:rsidRPr="00591D08">
        <w:t xml:space="preserve"> uvést, jak se vady projevují.</w:t>
      </w:r>
    </w:p>
    <w:p w:rsidR="00746A08" w:rsidRDefault="00562F30" w:rsidP="003D612A">
      <w:pPr>
        <w:pStyle w:val="Odstavec"/>
        <w:numPr>
          <w:ilvl w:val="0"/>
          <w:numId w:val="7"/>
        </w:numPr>
      </w:pPr>
      <w:r>
        <w:t>Příkazník</w:t>
      </w:r>
      <w:r w:rsidR="00906C9B">
        <w:t>ov</w:t>
      </w:r>
      <w:r w:rsidR="00746A08">
        <w:t xml:space="preserve">i počíná běžet dnem písemné reklamace </w:t>
      </w:r>
      <w:proofErr w:type="gramStart"/>
      <w:r w:rsidR="00746A08">
        <w:t>21 denní</w:t>
      </w:r>
      <w:proofErr w:type="gramEnd"/>
      <w:r w:rsidR="00746A08">
        <w:t xml:space="preserve"> lhůta na jejich odstranění.</w:t>
      </w:r>
    </w:p>
    <w:p w:rsidR="00746A08" w:rsidRDefault="00746A08" w:rsidP="003D612A">
      <w:pPr>
        <w:pStyle w:val="Odstavec"/>
        <w:numPr>
          <w:ilvl w:val="0"/>
          <w:numId w:val="7"/>
        </w:numPr>
      </w:pPr>
      <w:r w:rsidRPr="00591D08">
        <w:t xml:space="preserve">V případě, že </w:t>
      </w:r>
      <w:r w:rsidR="00562F30">
        <w:t>Příkazník</w:t>
      </w:r>
      <w:r>
        <w:t xml:space="preserve"> neodstraní do 21 dnů reklamovanou vadu či nedodělek, </w:t>
      </w:r>
      <w:r w:rsidRPr="00591D08">
        <w:t xml:space="preserve">má </w:t>
      </w:r>
      <w:r w:rsidR="00562F30">
        <w:t>Příkazce</w:t>
      </w:r>
      <w:r w:rsidRPr="00591D08">
        <w:t xml:space="preserve"> právo na poskyt</w:t>
      </w:r>
      <w:r>
        <w:t>nutí přiměřené slevy z ceny dokumentace (podle čl. IV odst. 1)</w:t>
      </w:r>
      <w:r w:rsidRPr="00591D08">
        <w:t xml:space="preserve"> odpovídající rozsahu reklamovaných vad či nedodělků.</w:t>
      </w:r>
    </w:p>
    <w:p w:rsidR="00746A08" w:rsidRDefault="00746A08" w:rsidP="003D612A">
      <w:pPr>
        <w:pStyle w:val="Odstavec"/>
        <w:numPr>
          <w:ilvl w:val="0"/>
          <w:numId w:val="7"/>
        </w:numPr>
      </w:pPr>
      <w:r w:rsidRPr="00591D08">
        <w:t xml:space="preserve">V případě, že se jedná o vadu, kterou </w:t>
      </w:r>
      <w:r>
        <w:t>ne</w:t>
      </w:r>
      <w:r w:rsidRPr="00591D08">
        <w:t>lze odstranit opravou</w:t>
      </w:r>
      <w:r w:rsidR="00906C9B">
        <w:t>,</w:t>
      </w:r>
      <w:r w:rsidRPr="00591D08">
        <w:t xml:space="preserve"> má </w:t>
      </w:r>
      <w:r w:rsidR="00562F30">
        <w:t>Příkazce</w:t>
      </w:r>
      <w:r w:rsidRPr="00591D08">
        <w:t xml:space="preserve"> právo na poskytnutí přiměřené slevy z ceny </w:t>
      </w:r>
      <w:r>
        <w:t xml:space="preserve">dokumentace </w:t>
      </w:r>
      <w:r w:rsidRPr="00591D08">
        <w:t>odpovídající rozsahu reklamovaných vad.</w:t>
      </w:r>
    </w:p>
    <w:p w:rsidR="00746A08" w:rsidRDefault="00746A08" w:rsidP="003D612A">
      <w:pPr>
        <w:pStyle w:val="Odstavec"/>
        <w:numPr>
          <w:ilvl w:val="0"/>
          <w:numId w:val="7"/>
        </w:numPr>
      </w:pPr>
      <w:r w:rsidRPr="00591D08">
        <w:t xml:space="preserve">Reklamace vad </w:t>
      </w:r>
      <w:r>
        <w:t xml:space="preserve">či nedodělků </w:t>
      </w:r>
      <w:r w:rsidRPr="00591D08">
        <w:t xml:space="preserve">musí být doručena </w:t>
      </w:r>
      <w:r w:rsidR="00562F30">
        <w:t>Příkazník</w:t>
      </w:r>
      <w:r w:rsidR="00906C9B">
        <w:t>ov</w:t>
      </w:r>
      <w:r w:rsidRPr="00591D08">
        <w:t xml:space="preserve">i nejpozději </w:t>
      </w:r>
      <w:r w:rsidR="00906C9B">
        <w:t>6 měsíců po předání díla</w:t>
      </w:r>
      <w:r w:rsidRPr="00591D08">
        <w:t xml:space="preserve">, jinak práva </w:t>
      </w:r>
      <w:r w:rsidR="00562F30">
        <w:t>Příkazce</w:t>
      </w:r>
      <w:r w:rsidRPr="00591D08">
        <w:t xml:space="preserve"> z odpovědnosti za vady zanikají.</w:t>
      </w:r>
    </w:p>
    <w:p w:rsidR="00746A08" w:rsidRPr="00591D08" w:rsidRDefault="00746A08" w:rsidP="005B629E">
      <w:pPr>
        <w:pStyle w:val="lnek"/>
        <w:spacing w:before="200" w:after="60"/>
      </w:pPr>
      <w:r>
        <w:t>V</w:t>
      </w:r>
      <w:r w:rsidR="00263C75">
        <w:t>I</w:t>
      </w:r>
      <w:r>
        <w:t xml:space="preserve">I. </w:t>
      </w:r>
      <w:r w:rsidRPr="00591D08">
        <w:t>Smluvní pokuty</w:t>
      </w:r>
    </w:p>
    <w:p w:rsidR="00746A08" w:rsidRDefault="00746A08" w:rsidP="003D612A">
      <w:pPr>
        <w:pStyle w:val="Odstavec"/>
        <w:numPr>
          <w:ilvl w:val="0"/>
          <w:numId w:val="8"/>
        </w:numPr>
      </w:pPr>
      <w:r w:rsidRPr="00591D08">
        <w:t xml:space="preserve">V případě, že </w:t>
      </w:r>
      <w:r w:rsidR="00562F30">
        <w:t>Příkazník</w:t>
      </w:r>
      <w:r w:rsidRPr="00591D08">
        <w:t xml:space="preserve"> bude v prodlení s termínem dokončení</w:t>
      </w:r>
      <w:r>
        <w:t xml:space="preserve"> dokumentace</w:t>
      </w:r>
      <w:r w:rsidR="005B459C">
        <w:t xml:space="preserve"> každé jedné části (dle čl. II odst. 2.1., 2.2., 2.3.</w:t>
      </w:r>
      <w:r w:rsidR="001B3CF9">
        <w:t>, 2.4, 2.5</w:t>
      </w:r>
      <w:r w:rsidR="005B459C">
        <w:t>)</w:t>
      </w:r>
      <w:r w:rsidRPr="00591D08">
        <w:t xml:space="preserve">, zaplatí </w:t>
      </w:r>
      <w:r w:rsidR="00906C9B">
        <w:t>Příkazc</w:t>
      </w:r>
      <w:r w:rsidRPr="00591D08">
        <w:t xml:space="preserve">i smluvní pokutu ve výši 1 % z ceny </w:t>
      </w:r>
      <w:r>
        <w:t>dokumentace (podle čl. IV odst. 1)</w:t>
      </w:r>
      <w:r w:rsidRPr="00591D08">
        <w:t xml:space="preserve"> za každý započatý týden prodlení</w:t>
      </w:r>
      <w:r w:rsidR="005B459C">
        <w:t xml:space="preserve"> každé jedné dotčené části.</w:t>
      </w:r>
    </w:p>
    <w:p w:rsidR="00746A08" w:rsidRDefault="00562F30" w:rsidP="003D612A">
      <w:pPr>
        <w:pStyle w:val="Odstavec"/>
        <w:numPr>
          <w:ilvl w:val="0"/>
          <w:numId w:val="8"/>
        </w:numPr>
      </w:pPr>
      <w:r>
        <w:t>Příkazník</w:t>
      </w:r>
      <w:r w:rsidR="00746A08" w:rsidRPr="004D5464">
        <w:t xml:space="preserve"> nebude odpovědný </w:t>
      </w:r>
      <w:r w:rsidR="00746A08">
        <w:t>z</w:t>
      </w:r>
      <w:r w:rsidR="00746A08" w:rsidRPr="004D5464">
        <w:t xml:space="preserve"> neprovedení nebo prodlení s plněním předmětu smlouvy v případě, kdy takové prodlení nebo neplnění bylo způsobeno vyšší mocí nebo z jakékoliv jiné příčiny, která není ovlivnitelná </w:t>
      </w:r>
      <w:r>
        <w:t>Příkazník</w:t>
      </w:r>
      <w:r w:rsidR="00746A08">
        <w:t>em</w:t>
      </w:r>
      <w:r w:rsidR="00746A08" w:rsidRPr="004D5464">
        <w:t xml:space="preserve">. V takovém případě </w:t>
      </w:r>
      <w:r>
        <w:t>Příkazce</w:t>
      </w:r>
      <w:r w:rsidR="00746A08" w:rsidRPr="004D5464">
        <w:t xml:space="preserve"> nebude od </w:t>
      </w:r>
      <w:r>
        <w:t>Příkazník</w:t>
      </w:r>
      <w:r w:rsidR="00CE421D">
        <w:t>a</w:t>
      </w:r>
      <w:r w:rsidR="00746A08" w:rsidRPr="004D5464">
        <w:t xml:space="preserv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rsidR="00746A08" w:rsidRDefault="00562F30" w:rsidP="003D612A">
      <w:pPr>
        <w:pStyle w:val="Odstavec"/>
        <w:numPr>
          <w:ilvl w:val="0"/>
          <w:numId w:val="8"/>
        </w:numPr>
      </w:pPr>
      <w:r>
        <w:t>Příkazník</w:t>
      </w:r>
      <w:r w:rsidR="00746A08">
        <w:t xml:space="preserve"> neodpovídá za vady, které byly způsobeny použitím podkladů převzatých od </w:t>
      </w:r>
      <w:r>
        <w:t>Příkazce</w:t>
      </w:r>
      <w:r w:rsidR="00746A08">
        <w:t xml:space="preserve">, u kterých </w:t>
      </w:r>
      <w:r>
        <w:t>Příkazník</w:t>
      </w:r>
      <w:r w:rsidR="00746A08">
        <w:t xml:space="preserve"> ani při vynaložení veškeré odborné péče nemohl zjistit jejich nevhodnost, případně na ně upozornil </w:t>
      </w:r>
      <w:r>
        <w:t>Příkazce</w:t>
      </w:r>
      <w:r w:rsidR="00746A08">
        <w:t>, ale ten na jejich použití trval.</w:t>
      </w:r>
    </w:p>
    <w:p w:rsidR="00CE421D" w:rsidRDefault="00562F30" w:rsidP="003D612A">
      <w:pPr>
        <w:pStyle w:val="Odstavec"/>
        <w:numPr>
          <w:ilvl w:val="0"/>
          <w:numId w:val="8"/>
        </w:numPr>
      </w:pPr>
      <w:r>
        <w:t>Příkazník</w:t>
      </w:r>
      <w:r w:rsidR="00746A08">
        <w:t xml:space="preserve"> neodpovídá za škodu vzniklou dodržením pokynů </w:t>
      </w:r>
      <w:r>
        <w:t>Příkazc</w:t>
      </w:r>
      <w:r w:rsidR="00746A08">
        <w:t xml:space="preserve">e v případě, kdy písemně sdělil nevhodnost pokynů a upozornil na možná rizika a </w:t>
      </w:r>
      <w:r>
        <w:t>Příkazce</w:t>
      </w:r>
      <w:r w:rsidR="00746A08">
        <w:t xml:space="preserve"> písemně trval na postupu podle takových pokynů.</w:t>
      </w:r>
    </w:p>
    <w:p w:rsidR="00CE421D" w:rsidRDefault="00746A08" w:rsidP="003D612A">
      <w:pPr>
        <w:pStyle w:val="Odstavec"/>
        <w:numPr>
          <w:ilvl w:val="0"/>
          <w:numId w:val="8"/>
        </w:numPr>
      </w:pPr>
      <w:r w:rsidRPr="00591D08">
        <w:t xml:space="preserve">V případě, že </w:t>
      </w:r>
      <w:r w:rsidR="00562F30">
        <w:t>Příkazce</w:t>
      </w:r>
      <w:r w:rsidRPr="00591D08">
        <w:t xml:space="preserve"> bude v prodlení se zaplacením faktury </w:t>
      </w:r>
      <w:r w:rsidR="00562F30">
        <w:t>Příkazník</w:t>
      </w:r>
      <w:r w:rsidR="00CE421D">
        <w:t>ovi</w:t>
      </w:r>
      <w:r w:rsidRPr="00591D08">
        <w:t xml:space="preserve">, zaplatí </w:t>
      </w:r>
      <w:r w:rsidR="00562F30">
        <w:t>Příkazník</w:t>
      </w:r>
      <w:r w:rsidR="00CE421D">
        <w:t>ov</w:t>
      </w:r>
      <w:r w:rsidRPr="00591D08">
        <w:t>i smluvní pokutu ve výši 0,05 % z fakturované částky za každý den prodlení.</w:t>
      </w:r>
    </w:p>
    <w:p w:rsidR="00CE421D" w:rsidRDefault="00746A08" w:rsidP="003D612A">
      <w:pPr>
        <w:pStyle w:val="Odstavec"/>
        <w:numPr>
          <w:ilvl w:val="0"/>
          <w:numId w:val="8"/>
        </w:numPr>
      </w:pPr>
      <w:r>
        <w:t>J</w:t>
      </w:r>
      <w:r w:rsidRPr="001B3251">
        <w:t>iné využití</w:t>
      </w:r>
      <w:r>
        <w:t xml:space="preserve"> dokumentace nebo její části</w:t>
      </w:r>
      <w:r w:rsidRPr="001B3251">
        <w:t xml:space="preserve">, zejména případné přenechání k využívání třetím osobám, je podmíněno výslovným souhlasem </w:t>
      </w:r>
      <w:r w:rsidR="00562F30">
        <w:t>Příkazník</w:t>
      </w:r>
      <w:r w:rsidR="00CE421D">
        <w:t>a</w:t>
      </w:r>
      <w:r w:rsidRPr="001B3251">
        <w:t xml:space="preserve">. Pokud </w:t>
      </w:r>
      <w:r w:rsidR="00562F30">
        <w:t>Příkazce</w:t>
      </w:r>
      <w:r w:rsidRPr="001B3251">
        <w:t xml:space="preserve"> použije </w:t>
      </w:r>
      <w:r>
        <w:t>dokumentaci</w:t>
      </w:r>
      <w:r w:rsidRPr="001B3251">
        <w:t xml:space="preserve"> k jiným </w:t>
      </w:r>
      <w:proofErr w:type="gramStart"/>
      <w:r w:rsidRPr="001B3251">
        <w:t>účelům</w:t>
      </w:r>
      <w:r w:rsidR="00211011">
        <w:t>,</w:t>
      </w:r>
      <w:proofErr w:type="gramEnd"/>
      <w:r w:rsidRPr="001B3251">
        <w:t xml:space="preserve"> než určuj</w:t>
      </w:r>
      <w:r>
        <w:t xml:space="preserve">e </w:t>
      </w:r>
      <w:r w:rsidRPr="001B3251">
        <w:t>t</w:t>
      </w:r>
      <w:r>
        <w:t>ato</w:t>
      </w:r>
      <w:r w:rsidRPr="001B3251">
        <w:t xml:space="preserve"> </w:t>
      </w:r>
      <w:r>
        <w:t>Smlouva</w:t>
      </w:r>
      <w:r w:rsidRPr="001B3251">
        <w:t xml:space="preserve"> bez </w:t>
      </w:r>
      <w:r>
        <w:t xml:space="preserve">písemného </w:t>
      </w:r>
      <w:r w:rsidRPr="001B3251">
        <w:t xml:space="preserve">souhlasu </w:t>
      </w:r>
      <w:r w:rsidR="00562F30">
        <w:t>Příkazník</w:t>
      </w:r>
      <w:r w:rsidR="00CE421D">
        <w:t>a</w:t>
      </w:r>
      <w:r w:rsidRPr="001B3251">
        <w:t xml:space="preserve">, </w:t>
      </w:r>
      <w:r>
        <w:t xml:space="preserve">zaplatí </w:t>
      </w:r>
      <w:r w:rsidR="00562F30">
        <w:t>Příkazník</w:t>
      </w:r>
      <w:r w:rsidR="00CE421D">
        <w:t>ov</w:t>
      </w:r>
      <w:r>
        <w:t>i smluvní pokutu ve výši 10.000,-Kč (slo</w:t>
      </w:r>
      <w:r w:rsidR="00CE421D">
        <w:t>vy: „</w:t>
      </w:r>
      <w:proofErr w:type="spellStart"/>
      <w:r w:rsidR="00CE421D">
        <w:t>desettisíc</w:t>
      </w:r>
      <w:proofErr w:type="spellEnd"/>
      <w:r w:rsidR="00CE421D">
        <w:t xml:space="preserve"> </w:t>
      </w:r>
      <w:proofErr w:type="spellStart"/>
      <w:r w:rsidR="00CE421D">
        <w:t>korunčeských</w:t>
      </w:r>
      <w:proofErr w:type="spellEnd"/>
      <w:r w:rsidR="00CE421D">
        <w:t>“).</w:t>
      </w:r>
    </w:p>
    <w:p w:rsidR="00746A08" w:rsidRDefault="00746A08" w:rsidP="003D612A">
      <w:pPr>
        <w:pStyle w:val="Odstavec"/>
        <w:numPr>
          <w:ilvl w:val="0"/>
          <w:numId w:val="8"/>
        </w:numPr>
      </w:pPr>
      <w:r w:rsidRPr="00591D08">
        <w:t>Zaplacením smluvní pokuty není dotčeno právo smluvní strany na náhradu škody vzniklé porušením smluvní povinnosti, které se smluvní pokuta týká.</w:t>
      </w:r>
      <w:r w:rsidRPr="00907650">
        <w:t xml:space="preserve"> </w:t>
      </w:r>
      <w:r>
        <w:t>Strana oprávněná je též oprávněna domáhat se na straně porušující tuto smlouvu náhrady škody přesahující smluvní pokutu.</w:t>
      </w:r>
    </w:p>
    <w:p w:rsidR="001B3CF9" w:rsidRDefault="001B3CF9" w:rsidP="00637B70">
      <w:pPr>
        <w:pStyle w:val="Odstavec"/>
        <w:ind w:left="360"/>
      </w:pPr>
    </w:p>
    <w:p w:rsidR="00746A08" w:rsidRDefault="00746A08" w:rsidP="005B629E">
      <w:pPr>
        <w:pStyle w:val="lnek"/>
        <w:spacing w:before="200" w:after="60"/>
      </w:pPr>
      <w:r>
        <w:lastRenderedPageBreak/>
        <w:t>VI</w:t>
      </w:r>
      <w:r w:rsidR="00263C75">
        <w:t>I</w:t>
      </w:r>
      <w:r>
        <w:t>I. Kontaktní osoby a běžný způsob komunikace</w:t>
      </w:r>
    </w:p>
    <w:p w:rsidR="00746A08" w:rsidRDefault="00746A08" w:rsidP="003D612A">
      <w:pPr>
        <w:pStyle w:val="Odstavec"/>
        <w:numPr>
          <w:ilvl w:val="0"/>
          <w:numId w:val="9"/>
        </w:numPr>
      </w:pPr>
      <w:r>
        <w:t xml:space="preserve">Na straně </w:t>
      </w:r>
      <w:r w:rsidR="00562F30">
        <w:t>Příkazce</w:t>
      </w:r>
      <w:r>
        <w:t xml:space="preserve"> je kontaktní osobou:</w:t>
      </w:r>
    </w:p>
    <w:p w:rsidR="00CA0077" w:rsidRPr="00A330B7" w:rsidRDefault="00E92879" w:rsidP="00CA0077">
      <w:pPr>
        <w:ind w:left="360" w:firstLine="0"/>
      </w:pPr>
      <w:proofErr w:type="spellStart"/>
      <w:r>
        <w:rPr>
          <w:b/>
          <w:bCs/>
          <w:color w:val="000000"/>
        </w:rPr>
        <w:t>xxxxxxxxxxxxxxxxx</w:t>
      </w:r>
      <w:proofErr w:type="spellEnd"/>
      <w:r w:rsidR="00ED6909" w:rsidRPr="00720F31">
        <w:rPr>
          <w:color w:val="333333"/>
          <w:spacing w:val="-4"/>
          <w:szCs w:val="21"/>
        </w:rPr>
        <w:t xml:space="preserve">, </w:t>
      </w:r>
      <w:proofErr w:type="spellStart"/>
      <w:proofErr w:type="gramStart"/>
      <w:r w:rsidR="00ED6909" w:rsidRPr="00637B70">
        <w:t>email</w:t>
      </w:r>
      <w:r w:rsidR="00ED6909">
        <w:rPr>
          <w:color w:val="333333"/>
          <w:spacing w:val="-4"/>
          <w:szCs w:val="21"/>
        </w:rPr>
        <w:t>:</w:t>
      </w:r>
      <w:r>
        <w:rPr>
          <w:rStyle w:val="Hypertextovodkaz"/>
        </w:rPr>
        <w:t>xxxxxxxxxxxxxxxxxxxxxxxxxxxxxxxxxxx</w:t>
      </w:r>
      <w:proofErr w:type="spellEnd"/>
      <w:proofErr w:type="gramEnd"/>
      <w:r w:rsidR="00ED6909" w:rsidRPr="00720F31">
        <w:rPr>
          <w:color w:val="333333"/>
          <w:spacing w:val="-4"/>
          <w:szCs w:val="21"/>
        </w:rPr>
        <w:t xml:space="preserve">, </w:t>
      </w:r>
      <w:proofErr w:type="spellStart"/>
      <w:r w:rsidR="00ED6909" w:rsidRPr="00E21E63">
        <w:t>Tlf</w:t>
      </w:r>
      <w:proofErr w:type="spellEnd"/>
      <w:r w:rsidR="00ED6909" w:rsidRPr="00E21E63">
        <w:t xml:space="preserve">: </w:t>
      </w:r>
      <w:proofErr w:type="spellStart"/>
      <w:r>
        <w:t>xxxxxxxxxxx</w:t>
      </w:r>
      <w:proofErr w:type="spellEnd"/>
      <w:r w:rsidR="005617C3" w:rsidRPr="00BD0C25">
        <w:rPr>
          <w:rFonts w:ascii="Verdana" w:hAnsi="Verdana"/>
          <w:color w:val="333333"/>
          <w:spacing w:val="-4"/>
          <w:sz w:val="20"/>
          <w:szCs w:val="20"/>
        </w:rPr>
        <w:t>,</w:t>
      </w:r>
    </w:p>
    <w:p w:rsidR="00746A08" w:rsidRDefault="00746A08" w:rsidP="003D612A">
      <w:pPr>
        <w:pStyle w:val="Odstavec"/>
        <w:numPr>
          <w:ilvl w:val="0"/>
          <w:numId w:val="9"/>
        </w:numPr>
      </w:pPr>
      <w:r>
        <w:t xml:space="preserve">Na straně </w:t>
      </w:r>
      <w:r w:rsidR="00562F30">
        <w:t>Příkazník</w:t>
      </w:r>
      <w:r w:rsidR="005F040D">
        <w:t>a</w:t>
      </w:r>
      <w:r>
        <w:t xml:space="preserve"> je kontaktní osobou:</w:t>
      </w:r>
    </w:p>
    <w:p w:rsidR="00BC5FFA" w:rsidRDefault="00E92879" w:rsidP="00EA53C0">
      <w:pPr>
        <w:ind w:firstLine="360"/>
      </w:pPr>
      <w:proofErr w:type="spellStart"/>
      <w:r>
        <w:rPr>
          <w:bCs/>
        </w:rPr>
        <w:t>xxxxxxxxxxxxxxxx</w:t>
      </w:r>
      <w:proofErr w:type="spellEnd"/>
      <w:r w:rsidR="00BC5FFA">
        <w:t xml:space="preserve">, </w:t>
      </w:r>
      <w:proofErr w:type="spellStart"/>
      <w:proofErr w:type="gramStart"/>
      <w:r w:rsidR="00BC5FFA">
        <w:t>email:</w:t>
      </w:r>
      <w:r>
        <w:t>xxxxxxxxxxxxxxxxx</w:t>
      </w:r>
      <w:proofErr w:type="spellEnd"/>
      <w:proofErr w:type="gramEnd"/>
      <w:r w:rsidR="00BC5FFA">
        <w:t xml:space="preserve">, </w:t>
      </w:r>
      <w:proofErr w:type="spellStart"/>
      <w:r w:rsidR="00BC5FFA">
        <w:t>GSM:</w:t>
      </w:r>
      <w:r>
        <w:t>xxxxxxxxxxxxxxxxxxxxxxxx</w:t>
      </w:r>
      <w:proofErr w:type="spellEnd"/>
    </w:p>
    <w:p w:rsidR="00711C36" w:rsidRDefault="00BC5FFA" w:rsidP="00BC5FFA">
      <w:pPr>
        <w:ind w:left="360" w:firstLine="349"/>
      </w:pPr>
      <w:r>
        <w:t>a</w:t>
      </w:r>
      <w:r w:rsidRPr="00711C36">
        <w:t xml:space="preserve">dresa: </w:t>
      </w:r>
      <w:proofErr w:type="spellStart"/>
      <w:r w:rsidR="00E92879">
        <w:t>xxxxxxxxxxxxxxxxxxxxxxxxxxxxxxxxxxxxxxxx</w:t>
      </w:r>
      <w:proofErr w:type="spellEnd"/>
    </w:p>
    <w:p w:rsidR="00746A08" w:rsidRDefault="00746A08" w:rsidP="003D612A">
      <w:pPr>
        <w:pStyle w:val="Odstavec"/>
        <w:numPr>
          <w:ilvl w:val="0"/>
          <w:numId w:val="9"/>
        </w:numPr>
      </w:pPr>
      <w:r>
        <w:t xml:space="preserve">Za běžný způsob vzájemné komunikace mezi smluvními stranami je považována elektronická (e-mailová) komunikace. V případě nutnosti doručení originálních písemností bude využito </w:t>
      </w:r>
      <w:r w:rsidRPr="00A07BAE">
        <w:rPr>
          <w:u w:val="single"/>
        </w:rPr>
        <w:t>doporučené</w:t>
      </w:r>
      <w:r>
        <w:t xml:space="preserve"> pozemní pošty, nebo osobní převzetí na základě předávacích protokolů.</w:t>
      </w:r>
    </w:p>
    <w:p w:rsidR="00CE421D" w:rsidRPr="00CE421D" w:rsidRDefault="00263C75" w:rsidP="005B629E">
      <w:pPr>
        <w:pStyle w:val="lnek"/>
        <w:spacing w:before="200" w:after="60"/>
      </w:pPr>
      <w:r>
        <w:t>IX</w:t>
      </w:r>
      <w:r w:rsidR="00CE421D">
        <w:t xml:space="preserve">. </w:t>
      </w:r>
      <w:r w:rsidR="00CE421D" w:rsidRPr="00CE421D">
        <w:t>Doba trvání smlouvy</w:t>
      </w:r>
    </w:p>
    <w:p w:rsidR="00D17E21" w:rsidRDefault="00D17E21" w:rsidP="00D17E21">
      <w:pPr>
        <w:pStyle w:val="Odstavec"/>
        <w:numPr>
          <w:ilvl w:val="0"/>
          <w:numId w:val="11"/>
        </w:numPr>
      </w:pPr>
      <w:r w:rsidRPr="00AF4320">
        <w:t xml:space="preserve">Tato smlouva nabývá platnosti dnem podpisu smlouvy a </w:t>
      </w:r>
      <w:r>
        <w:t xml:space="preserve">účinnosti dnem zveřejněním v Registru smluv. Smlouva se </w:t>
      </w:r>
      <w:r w:rsidRPr="00AF4320">
        <w:t>uzavírá se na dobu určitou do splnění veškerých závazků smluvních stran vyplývajících z této smlouvy</w:t>
      </w:r>
      <w:r>
        <w:t xml:space="preserve">, nejpozději do 31. </w:t>
      </w:r>
      <w:r w:rsidR="001B3CF9">
        <w:t>12</w:t>
      </w:r>
      <w:r>
        <w:t>. 202</w:t>
      </w:r>
      <w:r w:rsidR="001B3CF9">
        <w:t>5</w:t>
      </w:r>
      <w:r w:rsidRPr="00AF4320">
        <w:t>.</w:t>
      </w:r>
    </w:p>
    <w:p w:rsidR="003D612A" w:rsidRDefault="00CE421D" w:rsidP="003D612A">
      <w:pPr>
        <w:pStyle w:val="Odstavec"/>
        <w:numPr>
          <w:ilvl w:val="0"/>
          <w:numId w:val="11"/>
        </w:numPr>
      </w:pPr>
      <w:r w:rsidRPr="00354540">
        <w:t xml:space="preserve">Tento smluvní vztah může být, před uplynutím doby dále ukončen způsoby stanovenými v </w:t>
      </w:r>
      <w:r w:rsidR="005B459C">
        <w:t xml:space="preserve">  </w:t>
      </w:r>
      <w:r w:rsidRPr="00354540">
        <w:t>§ 2440 až 2443 zákona.</w:t>
      </w:r>
      <w:r>
        <w:t xml:space="preserve"> </w:t>
      </w:r>
    </w:p>
    <w:p w:rsidR="00CE421D" w:rsidRDefault="00CE421D" w:rsidP="003D612A">
      <w:pPr>
        <w:pStyle w:val="Odstavec"/>
        <w:numPr>
          <w:ilvl w:val="0"/>
          <w:numId w:val="11"/>
        </w:numPr>
      </w:pPr>
      <w:r w:rsidRPr="00014F41">
        <w:t xml:space="preserve">Závazek </w:t>
      </w:r>
      <w:r>
        <w:t>Příkazníka</w:t>
      </w:r>
      <w:r w:rsidRPr="00014F41">
        <w:t xml:space="preserve"> uskutečňovat sjednané záležitosti a závazek </w:t>
      </w:r>
      <w:r>
        <w:t>Příkazce</w:t>
      </w:r>
      <w:r w:rsidRPr="00014F41">
        <w:t xml:space="preserve"> hradit </w:t>
      </w:r>
      <w:r>
        <w:t>Příkazníkovi</w:t>
      </w:r>
      <w:r w:rsidRPr="00014F41">
        <w:t xml:space="preserve"> sjednané odměny zaniká ke dni skončení této smlouvy vzájemnou dohodou nebo k poslednímu dni výpovědní </w:t>
      </w:r>
      <w:r>
        <w:t>doby</w:t>
      </w:r>
      <w:r w:rsidRPr="00014F41">
        <w:t>, ledaže tato smlouva stanoví jinak</w:t>
      </w:r>
      <w:r w:rsidR="00821D5A">
        <w:t>.</w:t>
      </w:r>
    </w:p>
    <w:p w:rsidR="00746A08" w:rsidRDefault="00746A08" w:rsidP="005B629E">
      <w:pPr>
        <w:pStyle w:val="lnek"/>
        <w:spacing w:before="200" w:after="60"/>
      </w:pPr>
      <w:r>
        <w:t>X. Závěrečná ustanovení</w:t>
      </w:r>
    </w:p>
    <w:p w:rsidR="00CE421D" w:rsidRDefault="00CE421D" w:rsidP="003D612A">
      <w:pPr>
        <w:pStyle w:val="Odstavec"/>
        <w:numPr>
          <w:ilvl w:val="0"/>
          <w:numId w:val="16"/>
        </w:numPr>
      </w:pPr>
      <w:r w:rsidRPr="003C18EC">
        <w:t>Vztahy neupravené touto smlouvou se řídí pří</w:t>
      </w:r>
      <w:r>
        <w:t>slušnými ustanoveními občanského</w:t>
      </w:r>
      <w:r w:rsidRPr="003C18EC">
        <w:t xml:space="preserve"> zákoníku.</w:t>
      </w:r>
    </w:p>
    <w:p w:rsidR="00821D5A" w:rsidRPr="003C18EC" w:rsidRDefault="00821D5A" w:rsidP="003D612A">
      <w:pPr>
        <w:pStyle w:val="Odstavec"/>
        <w:numPr>
          <w:ilvl w:val="0"/>
          <w:numId w:val="16"/>
        </w:numPr>
      </w:pPr>
      <w:r w:rsidRPr="003671B4">
        <w:t>Příkazník je na základě § 2e) zákona č. 320/2001 Sb., o finanční kontrole v platném znění, osobou povinnou spolupůsobit při výkonu finanční kontroly.</w:t>
      </w:r>
    </w:p>
    <w:p w:rsidR="00CE421D" w:rsidRDefault="00CE421D" w:rsidP="003D612A">
      <w:pPr>
        <w:pStyle w:val="Odstavec"/>
        <w:numPr>
          <w:ilvl w:val="0"/>
          <w:numId w:val="16"/>
        </w:numPr>
      </w:pPr>
      <w:r w:rsidRPr="003C18EC">
        <w:t xml:space="preserve">Veškeré změny této smlouvy </w:t>
      </w:r>
      <w:r>
        <w:t xml:space="preserve">včetně ukončení platnosti </w:t>
      </w:r>
      <w:r w:rsidRPr="003C18EC">
        <w:t>je možné provést pouze písemnou formou, se souhlasem obou smluvních stran.</w:t>
      </w:r>
    </w:p>
    <w:p w:rsidR="00CE421D" w:rsidRDefault="00CE421D" w:rsidP="003D612A">
      <w:pPr>
        <w:pStyle w:val="Odstavec"/>
        <w:numPr>
          <w:ilvl w:val="0"/>
          <w:numId w:val="16"/>
        </w:numPr>
      </w:pPr>
      <w:r w:rsidRPr="003C18EC">
        <w:t xml:space="preserve">Smlouva </w:t>
      </w:r>
      <w:r w:rsidR="006D5674">
        <w:t>bude uzavřena elektronicky.</w:t>
      </w:r>
    </w:p>
    <w:p w:rsidR="00CE421D" w:rsidRDefault="00CE421D" w:rsidP="003D612A">
      <w:pPr>
        <w:pStyle w:val="Odstavec"/>
        <w:numPr>
          <w:ilvl w:val="0"/>
          <w:numId w:val="16"/>
        </w:numPr>
      </w:pPr>
      <w:r w:rsidRPr="003C18EC">
        <w:t>Smluvní strany prohlašují, že ujednání v této smlouvě obsažené jsou jim jasná a srozumitelná, jsou jimi míněna vážně a byla učiněna na základě jejich pravé a svobodné vůle. Na důkaz tohoto tvrzení smluvní strany připojují níže své podpisy.</w:t>
      </w:r>
    </w:p>
    <w:p w:rsidR="002A1EEA" w:rsidRPr="003C18EC" w:rsidRDefault="002A1EEA" w:rsidP="00D3357C">
      <w:pPr>
        <w:pStyle w:val="Odstavec"/>
        <w:ind w:left="360"/>
      </w:pPr>
    </w:p>
    <w:tbl>
      <w:tblPr>
        <w:tblpPr w:leftFromText="141" w:rightFromText="141" w:vertAnchor="text"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3615"/>
      </w:tblGrid>
      <w:tr w:rsidR="00746A08" w:rsidTr="005B459C">
        <w:tblPrEx>
          <w:tblCellMar>
            <w:top w:w="0" w:type="dxa"/>
            <w:bottom w:w="0" w:type="dxa"/>
          </w:tblCellMar>
        </w:tblPrEx>
        <w:trPr>
          <w:trHeight w:val="375"/>
        </w:trPr>
        <w:tc>
          <w:tcPr>
            <w:tcW w:w="4679" w:type="dxa"/>
            <w:tcBorders>
              <w:top w:val="nil"/>
              <w:left w:val="nil"/>
              <w:bottom w:val="nil"/>
              <w:right w:val="nil"/>
            </w:tcBorders>
          </w:tcPr>
          <w:p w:rsidR="005617C3" w:rsidRPr="002A524D" w:rsidRDefault="00ED6909" w:rsidP="005617C3">
            <w:pPr>
              <w:ind w:firstLine="0"/>
              <w:jc w:val="center"/>
            </w:pPr>
            <w:r w:rsidRPr="002A524D">
              <w:t>V</w:t>
            </w:r>
            <w:r w:rsidR="005B459C">
              <w:t> </w:t>
            </w:r>
            <w:r w:rsidR="001B3CF9">
              <w:t>Litoměřicích</w:t>
            </w:r>
            <w:r w:rsidR="005617C3">
              <w:t xml:space="preserve">, dne </w:t>
            </w:r>
            <w:r w:rsidR="00BF4D53">
              <w:t>21</w:t>
            </w:r>
            <w:r w:rsidR="00E92879">
              <w:t>.0</w:t>
            </w:r>
            <w:r w:rsidR="00BF4D53">
              <w:t>7</w:t>
            </w:r>
            <w:r w:rsidR="00E92879">
              <w:t>.2025</w:t>
            </w:r>
          </w:p>
          <w:p w:rsidR="006D5674" w:rsidRDefault="006D5674" w:rsidP="005617C3">
            <w:pPr>
              <w:jc w:val="center"/>
            </w:pPr>
          </w:p>
          <w:p w:rsidR="001B3CF9" w:rsidRDefault="001B3CF9" w:rsidP="005617C3">
            <w:pPr>
              <w:jc w:val="center"/>
            </w:pPr>
          </w:p>
          <w:p w:rsidR="001B3CF9" w:rsidRDefault="001B3CF9" w:rsidP="005617C3">
            <w:pPr>
              <w:jc w:val="center"/>
            </w:pPr>
          </w:p>
          <w:p w:rsidR="005617C3" w:rsidRPr="002A524D" w:rsidRDefault="005617C3" w:rsidP="005617C3">
            <w:pPr>
              <w:jc w:val="center"/>
            </w:pPr>
            <w:r w:rsidRPr="002A524D">
              <w:t>................</w:t>
            </w:r>
            <w:r>
              <w:t>.......................</w:t>
            </w:r>
          </w:p>
          <w:p w:rsidR="005617C3" w:rsidRDefault="00E92879" w:rsidP="005617C3">
            <w:pPr>
              <w:pStyle w:val="Normln-Tun"/>
              <w:spacing w:line="240" w:lineRule="auto"/>
              <w:jc w:val="center"/>
              <w:rPr>
                <w:rFonts w:ascii="Trebuchet MS" w:hAnsi="Trebuchet MS"/>
                <w:color w:val="auto"/>
                <w:spacing w:val="0"/>
                <w:sz w:val="21"/>
                <w:szCs w:val="22"/>
              </w:rPr>
            </w:pPr>
            <w:proofErr w:type="spellStart"/>
            <w:r>
              <w:rPr>
                <w:rFonts w:ascii="Trebuchet MS" w:hAnsi="Trebuchet MS"/>
                <w:color w:val="auto"/>
                <w:spacing w:val="0"/>
                <w:sz w:val="21"/>
                <w:szCs w:val="22"/>
              </w:rPr>
              <w:t>xxxxxxxxxxxxxx</w:t>
            </w:r>
            <w:proofErr w:type="spellEnd"/>
          </w:p>
          <w:p w:rsidR="005F1B16" w:rsidRPr="00D81CCC" w:rsidRDefault="001B3CF9" w:rsidP="00B34486">
            <w:pPr>
              <w:pStyle w:val="Normln-Tun"/>
              <w:spacing w:line="240" w:lineRule="auto"/>
              <w:jc w:val="center"/>
              <w:rPr>
                <w:b w:val="0"/>
                <w:i/>
                <w:szCs w:val="22"/>
              </w:rPr>
            </w:pPr>
            <w:r w:rsidRPr="001B3CF9">
              <w:rPr>
                <w:b w:val="0"/>
                <w:i/>
                <w:szCs w:val="22"/>
              </w:rPr>
              <w:t>ředitelka školy</w:t>
            </w:r>
          </w:p>
        </w:tc>
        <w:tc>
          <w:tcPr>
            <w:tcW w:w="3615" w:type="dxa"/>
            <w:tcBorders>
              <w:top w:val="nil"/>
              <w:left w:val="nil"/>
              <w:bottom w:val="nil"/>
              <w:right w:val="nil"/>
            </w:tcBorders>
          </w:tcPr>
          <w:p w:rsidR="00746A08" w:rsidRDefault="00746A08" w:rsidP="009C2070">
            <w:pPr>
              <w:jc w:val="center"/>
            </w:pPr>
          </w:p>
          <w:p w:rsidR="00746A08" w:rsidRDefault="00746A08" w:rsidP="009C2070">
            <w:pPr>
              <w:jc w:val="center"/>
            </w:pPr>
          </w:p>
          <w:p w:rsidR="001B3CF9" w:rsidRDefault="001B3CF9" w:rsidP="009C2070">
            <w:pPr>
              <w:jc w:val="center"/>
            </w:pPr>
          </w:p>
          <w:p w:rsidR="006D5674" w:rsidRDefault="006D5674" w:rsidP="009C2070">
            <w:pPr>
              <w:jc w:val="center"/>
            </w:pPr>
          </w:p>
          <w:p w:rsidR="00746A08" w:rsidRPr="002A524D" w:rsidRDefault="00746A08" w:rsidP="009C2070">
            <w:pPr>
              <w:jc w:val="center"/>
            </w:pPr>
            <w:r w:rsidRPr="002A524D">
              <w:t>.......................................</w:t>
            </w:r>
          </w:p>
          <w:p w:rsidR="00746A08" w:rsidRPr="005B629E" w:rsidRDefault="00E92879" w:rsidP="005B629E">
            <w:pPr>
              <w:pStyle w:val="Normln-Tun"/>
              <w:spacing w:line="240" w:lineRule="auto"/>
              <w:jc w:val="center"/>
              <w:rPr>
                <w:rFonts w:ascii="Trebuchet MS" w:hAnsi="Trebuchet MS"/>
                <w:color w:val="auto"/>
                <w:spacing w:val="0"/>
                <w:sz w:val="21"/>
                <w:szCs w:val="22"/>
              </w:rPr>
            </w:pPr>
            <w:proofErr w:type="spellStart"/>
            <w:r>
              <w:rPr>
                <w:rFonts w:ascii="Trebuchet MS" w:hAnsi="Trebuchet MS"/>
                <w:color w:val="auto"/>
                <w:spacing w:val="0"/>
                <w:sz w:val="21"/>
                <w:szCs w:val="22"/>
              </w:rPr>
              <w:t>xxxxxxxxxxxxxxx</w:t>
            </w:r>
            <w:proofErr w:type="spellEnd"/>
          </w:p>
          <w:p w:rsidR="00746A08" w:rsidRPr="00D81CCC" w:rsidRDefault="005B629E" w:rsidP="00BC5FFA">
            <w:pPr>
              <w:pStyle w:val="Normln-Kurzva"/>
              <w:spacing w:line="240" w:lineRule="auto"/>
              <w:jc w:val="center"/>
              <w:rPr>
                <w:szCs w:val="24"/>
              </w:rPr>
            </w:pPr>
            <w:r>
              <w:t>j</w:t>
            </w:r>
            <w:r w:rsidR="00746A08">
              <w:t>ednatel</w:t>
            </w:r>
          </w:p>
        </w:tc>
      </w:tr>
    </w:tbl>
    <w:p w:rsidR="002409B4" w:rsidRDefault="002409B4" w:rsidP="00CD74EF">
      <w:pPr>
        <w:ind w:firstLine="0"/>
      </w:pPr>
    </w:p>
    <w:p w:rsidR="00AE6D4B" w:rsidRPr="00AE6D4B" w:rsidRDefault="00AE6D4B" w:rsidP="00AE6D4B"/>
    <w:p w:rsidR="00AE6D4B" w:rsidRPr="00AE6D4B" w:rsidRDefault="00AE6D4B" w:rsidP="00AE6D4B"/>
    <w:p w:rsidR="00AE6D4B" w:rsidRPr="00AE6D4B" w:rsidRDefault="00AE6D4B" w:rsidP="00AE6D4B"/>
    <w:p w:rsidR="00AE6D4B" w:rsidRDefault="00AE6D4B" w:rsidP="00AE6D4B"/>
    <w:p w:rsidR="00AE6D4B" w:rsidRDefault="00AE6D4B" w:rsidP="00AE6D4B">
      <w:pPr>
        <w:tabs>
          <w:tab w:val="left" w:pos="3493"/>
        </w:tabs>
      </w:pPr>
      <w:r>
        <w:tab/>
      </w:r>
    </w:p>
    <w:p w:rsidR="00AE6D4B" w:rsidRPr="00AE6D4B" w:rsidRDefault="00AE6D4B" w:rsidP="00637B70">
      <w:pPr>
        <w:tabs>
          <w:tab w:val="left" w:pos="3493"/>
        </w:tabs>
        <w:ind w:firstLine="0"/>
      </w:pPr>
    </w:p>
    <w:sectPr w:rsidR="00AE6D4B" w:rsidRPr="00AE6D4B" w:rsidSect="009F45C1">
      <w:headerReference w:type="default" r:id="rId8"/>
      <w:footerReference w:type="default" r:id="rId9"/>
      <w:pgSz w:w="11906" w:h="16838" w:code="9"/>
      <w:pgMar w:top="1134" w:right="1134" w:bottom="1134" w:left="141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92A" w:rsidRDefault="0072192A">
      <w:pPr>
        <w:spacing w:before="0" w:after="0"/>
      </w:pPr>
      <w:r>
        <w:separator/>
      </w:r>
    </w:p>
  </w:endnote>
  <w:endnote w:type="continuationSeparator" w:id="0">
    <w:p w:rsidR="0072192A" w:rsidRDefault="007219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Condensed">
    <w:panose1 w:val="020B0606020104020203"/>
    <w:charset w:val="EE"/>
    <w:family w:val="swiss"/>
    <w:pitch w:val="variable"/>
    <w:sig w:usb0="00000007" w:usb1="00000000" w:usb2="00000000" w:usb3="00000000" w:csb0="00000003"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45E" w:rsidRDefault="008B745E" w:rsidP="00716F8F">
    <w:pPr>
      <w:pStyle w:val="Zpat"/>
      <w:framePr w:wrap="around" w:vAnchor="text" w:hAnchor="margin" w:xAlign="right" w:y="1"/>
      <w:rPr>
        <w:rStyle w:val="slostrnky"/>
      </w:rPr>
    </w:pPr>
    <w:r>
      <w:rPr>
        <w:rStyle w:val="slostrnky"/>
      </w:rPr>
      <w:t xml:space="preserve">Strana </w:t>
    </w:r>
    <w:r>
      <w:rPr>
        <w:rStyle w:val="slostrnky"/>
      </w:rPr>
      <w:fldChar w:fldCharType="begin"/>
    </w:r>
    <w:r>
      <w:rPr>
        <w:rStyle w:val="slostrnky"/>
      </w:rPr>
      <w:instrText xml:space="preserve">PAGE  </w:instrText>
    </w:r>
    <w:r>
      <w:rPr>
        <w:rStyle w:val="slostrnky"/>
      </w:rPr>
      <w:fldChar w:fldCharType="separate"/>
    </w:r>
    <w:r w:rsidR="00D17E21">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D17E21">
      <w:rPr>
        <w:rStyle w:val="slostrnky"/>
        <w:noProof/>
      </w:rPr>
      <w:t>10</w:t>
    </w:r>
    <w:r>
      <w:rPr>
        <w:rStyle w:val="slostrnky"/>
      </w:rPr>
      <w:fldChar w:fldCharType="end"/>
    </w:r>
  </w:p>
  <w:p w:rsidR="008B745E" w:rsidRDefault="008B745E" w:rsidP="00B37EBD">
    <w:pPr>
      <w:pStyle w:val="Zpat"/>
      <w:jc w:val="center"/>
      <w:rPr>
        <w:rFonts w:ascii="Arial" w:hAnsi="Arial" w:cs="Arial"/>
        <w:sz w:val="20"/>
        <w:szCs w:val="20"/>
      </w:rPr>
    </w:pPr>
  </w:p>
  <w:p w:rsidR="008B745E" w:rsidRPr="00FD2AF7" w:rsidRDefault="008B745E" w:rsidP="00B37EBD">
    <w:pPr>
      <w:pStyle w:val="Zpat"/>
      <w:pBdr>
        <w:top w:val="single" w:sz="4" w:space="0" w:color="auto"/>
      </w:pBdr>
      <w:ind w:firstLine="0"/>
      <w:jc w:val="center"/>
      <w:rPr>
        <w:rFonts w:ascii="Arial" w:hAnsi="Arial" w:cs="Arial"/>
        <w:sz w:val="20"/>
        <w:szCs w:val="20"/>
      </w:rPr>
    </w:pPr>
    <w:proofErr w:type="spellStart"/>
    <w:r w:rsidRPr="00FD2AF7">
      <w:rPr>
        <w:rFonts w:ascii="Arial" w:hAnsi="Arial" w:cs="Arial"/>
        <w:sz w:val="20"/>
        <w:szCs w:val="20"/>
      </w:rPr>
      <w:t>Eurokom</w:t>
    </w:r>
    <w:proofErr w:type="spellEnd"/>
    <w:r w:rsidRPr="00FD2AF7">
      <w:rPr>
        <w:rFonts w:ascii="Arial" w:hAnsi="Arial" w:cs="Arial"/>
        <w:sz w:val="20"/>
        <w:szCs w:val="20"/>
      </w:rPr>
      <w:t xml:space="preserve"> plus, s.r.o., </w:t>
    </w:r>
    <w:r>
      <w:rPr>
        <w:rFonts w:ascii="Arial" w:hAnsi="Arial" w:cs="Arial"/>
        <w:sz w:val="20"/>
        <w:szCs w:val="20"/>
      </w:rPr>
      <w:t>Politických vězňů 912/10</w:t>
    </w:r>
    <w:r w:rsidRPr="00FD2AF7">
      <w:rPr>
        <w:rFonts w:ascii="Arial" w:hAnsi="Arial" w:cs="Arial"/>
        <w:sz w:val="20"/>
        <w:szCs w:val="20"/>
      </w:rPr>
      <w:t>, Praha</w:t>
    </w:r>
    <w:r>
      <w:rPr>
        <w:rFonts w:ascii="Arial" w:hAnsi="Arial" w:cs="Arial"/>
        <w:sz w:val="20"/>
        <w:szCs w:val="20"/>
      </w:rPr>
      <w:t xml:space="preserve"> 1</w:t>
    </w:r>
    <w:r w:rsidRPr="00FD2AF7">
      <w:rPr>
        <w:rFonts w:ascii="Arial" w:hAnsi="Arial" w:cs="Arial"/>
        <w:sz w:val="20"/>
        <w:szCs w:val="20"/>
      </w:rPr>
      <w:t xml:space="preserve"> </w:t>
    </w:r>
    <w:r>
      <w:rPr>
        <w:rFonts w:ascii="Arial" w:hAnsi="Arial" w:cs="Arial"/>
        <w:sz w:val="20"/>
        <w:szCs w:val="20"/>
      </w:rPr>
      <w:t>–</w:t>
    </w:r>
    <w:r w:rsidRPr="00FD2AF7">
      <w:rPr>
        <w:rFonts w:ascii="Arial" w:hAnsi="Arial" w:cs="Arial"/>
        <w:sz w:val="20"/>
        <w:szCs w:val="20"/>
      </w:rPr>
      <w:t xml:space="preserve"> </w:t>
    </w:r>
    <w:r>
      <w:rPr>
        <w:rFonts w:ascii="Arial" w:hAnsi="Arial" w:cs="Arial"/>
        <w:sz w:val="20"/>
        <w:szCs w:val="20"/>
      </w:rPr>
      <w:t>Nové Město</w:t>
    </w:r>
    <w:r w:rsidRPr="00FD2AF7">
      <w:rPr>
        <w:rFonts w:ascii="Arial" w:hAnsi="Arial" w:cs="Arial"/>
        <w:sz w:val="20"/>
        <w:szCs w:val="20"/>
      </w:rPr>
      <w:t xml:space="preserve">, </w:t>
    </w:r>
    <w:r>
      <w:rPr>
        <w:rFonts w:ascii="Arial" w:hAnsi="Arial" w:cs="Arial"/>
        <w:sz w:val="20"/>
        <w:szCs w:val="20"/>
      </w:rPr>
      <w:t>110 00</w:t>
    </w:r>
    <w:r w:rsidRPr="00FD2AF7">
      <w:rPr>
        <w:rFonts w:ascii="Arial" w:hAnsi="Arial" w:cs="Arial"/>
        <w:sz w:val="20"/>
        <w:szCs w:val="20"/>
      </w:rPr>
      <w:t>,</w:t>
    </w:r>
    <w:r w:rsidRPr="00FD2AF7">
      <w:rPr>
        <w:rFonts w:ascii="Arial" w:hAnsi="Arial" w:cs="Arial"/>
        <w:sz w:val="20"/>
        <w:szCs w:val="20"/>
      </w:rPr>
      <w:br/>
      <w:t>IČ: 24698172, DIČ: CZ24698172, tel. 7</w:t>
    </w:r>
    <w:r>
      <w:rPr>
        <w:rFonts w:ascii="Arial" w:hAnsi="Arial" w:cs="Arial"/>
        <w:sz w:val="20"/>
        <w:szCs w:val="20"/>
      </w:rPr>
      <w:t>2</w:t>
    </w:r>
    <w:r w:rsidRPr="00FD2AF7">
      <w:rPr>
        <w:rFonts w:ascii="Arial" w:hAnsi="Arial" w:cs="Arial"/>
        <w:sz w:val="20"/>
        <w:szCs w:val="20"/>
      </w:rPr>
      <w:t>4 </w:t>
    </w:r>
    <w:r>
      <w:rPr>
        <w:rFonts w:ascii="Arial" w:hAnsi="Arial" w:cs="Arial"/>
        <w:sz w:val="20"/>
        <w:szCs w:val="20"/>
      </w:rPr>
      <w:t>889</w:t>
    </w:r>
    <w:r w:rsidRPr="00FD2AF7">
      <w:rPr>
        <w:rFonts w:ascii="Arial" w:hAnsi="Arial" w:cs="Arial"/>
        <w:sz w:val="20"/>
        <w:szCs w:val="20"/>
      </w:rPr>
      <w:t> </w:t>
    </w:r>
    <w:r>
      <w:rPr>
        <w:rFonts w:ascii="Arial" w:hAnsi="Arial" w:cs="Arial"/>
        <w:sz w:val="20"/>
        <w:szCs w:val="20"/>
      </w:rPr>
      <w:t>415</w:t>
    </w:r>
    <w:r w:rsidRPr="00FD2AF7">
      <w:rPr>
        <w:rFonts w:ascii="Arial" w:hAnsi="Arial" w:cs="Arial"/>
        <w:sz w:val="20"/>
        <w:szCs w:val="20"/>
      </w:rPr>
      <w:t xml:space="preserve">, mail: </w:t>
    </w:r>
    <w:r>
      <w:rPr>
        <w:rFonts w:ascii="Arial" w:hAnsi="Arial" w:cs="Arial"/>
        <w:sz w:val="20"/>
        <w:szCs w:val="20"/>
      </w:rPr>
      <w:t>vrany@eurokomplus.cz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92A" w:rsidRDefault="0072192A">
      <w:pPr>
        <w:spacing w:before="0" w:after="0"/>
      </w:pPr>
      <w:r>
        <w:separator/>
      </w:r>
    </w:p>
  </w:footnote>
  <w:footnote w:type="continuationSeparator" w:id="0">
    <w:p w:rsidR="0072192A" w:rsidRDefault="007219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C0" w:rsidRDefault="00535218" w:rsidP="00C11B87">
    <w:pPr>
      <w:pStyle w:val="Zhlav"/>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356.4pt;margin-top:-1.2pt;width:111.35pt;height:29.3pt;z-index:251658240">
          <v:imagedata r:id="rId1" o:title=""/>
        </v:shape>
      </w:pict>
    </w:r>
    <w:r w:rsidR="00BD489B">
      <w:rPr>
        <w:noProof/>
      </w:rPr>
      <w:pict>
        <v:shape id="_x0000_s2073" type="#_x0000_t75" style="position:absolute;left:0;text-align:left;margin-left:-1.2pt;margin-top:4.45pt;width:107.15pt;height:28.4pt;z-index:-251659264">
          <v:imagedata r:id="rId2" o:title="logo_eurokom_plus"/>
        </v:shape>
      </w:pict>
    </w:r>
  </w:p>
  <w:p w:rsidR="001B66C0" w:rsidRDefault="001B66C0" w:rsidP="00C11B87">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1BB"/>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654B92"/>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595772"/>
    <w:multiLevelType w:val="multilevel"/>
    <w:tmpl w:val="3DCE8054"/>
    <w:lvl w:ilvl="0">
      <w:start w:val="1"/>
      <w:numFmt w:val="lowerLetter"/>
      <w:pStyle w:val="slovn"/>
      <w:lvlText w:val="%1)"/>
      <w:lvlJc w:val="left"/>
      <w:pPr>
        <w:tabs>
          <w:tab w:val="num" w:pos="1247"/>
        </w:tabs>
        <w:ind w:left="1247" w:hanging="340"/>
      </w:pPr>
      <w:rPr>
        <w:rFonts w:ascii="Trebuchet MS" w:hAnsi="Trebuchet MS" w:hint="default"/>
        <w:sz w:val="21"/>
        <w:szCs w:val="21"/>
      </w:rPr>
    </w:lvl>
    <w:lvl w:ilvl="1">
      <w:start w:val="1"/>
      <w:numFmt w:val="lowerLetter"/>
      <w:lvlText w:val="%2."/>
      <w:lvlJc w:val="left"/>
      <w:pPr>
        <w:tabs>
          <w:tab w:val="num" w:pos="1644"/>
        </w:tabs>
        <w:ind w:left="1644" w:hanging="283"/>
      </w:pPr>
      <w:rPr>
        <w:rFonts w:ascii="Trebuchet MS" w:hAnsi="Trebuchet MS" w:hint="default"/>
        <w:sz w:val="21"/>
        <w:szCs w:val="21"/>
      </w:rPr>
    </w:lvl>
    <w:lvl w:ilvl="2">
      <w:start w:val="1"/>
      <w:numFmt w:val="lowerRoman"/>
      <w:lvlText w:val="%3."/>
      <w:lvlJc w:val="right"/>
      <w:pPr>
        <w:tabs>
          <w:tab w:val="num" w:pos="1928"/>
        </w:tabs>
        <w:ind w:left="1928" w:hanging="114"/>
      </w:pPr>
      <w:rPr>
        <w:rFonts w:ascii="Trebuchet MS" w:hAnsi="Trebuchet MS" w:hint="default"/>
        <w:sz w:val="21"/>
        <w:szCs w:val="21"/>
      </w:rPr>
    </w:lvl>
    <w:lvl w:ilvl="3">
      <w:start w:val="1"/>
      <w:numFmt w:val="decimal"/>
      <w:lvlText w:val="%4."/>
      <w:lvlJc w:val="left"/>
      <w:pPr>
        <w:tabs>
          <w:tab w:val="num" w:pos="3428"/>
        </w:tabs>
        <w:ind w:left="3428" w:hanging="360"/>
      </w:pPr>
      <w:rPr>
        <w:rFonts w:hint="default"/>
      </w:rPr>
    </w:lvl>
    <w:lvl w:ilvl="4">
      <w:start w:val="1"/>
      <w:numFmt w:val="lowerLetter"/>
      <w:lvlText w:val="%5."/>
      <w:lvlJc w:val="left"/>
      <w:pPr>
        <w:tabs>
          <w:tab w:val="num" w:pos="4148"/>
        </w:tabs>
        <w:ind w:left="4148" w:hanging="360"/>
      </w:pPr>
      <w:rPr>
        <w:rFonts w:hint="default"/>
      </w:rPr>
    </w:lvl>
    <w:lvl w:ilvl="5">
      <w:start w:val="1"/>
      <w:numFmt w:val="lowerRoman"/>
      <w:lvlText w:val="%6."/>
      <w:lvlJc w:val="right"/>
      <w:pPr>
        <w:tabs>
          <w:tab w:val="num" w:pos="4868"/>
        </w:tabs>
        <w:ind w:left="4868" w:hanging="180"/>
      </w:pPr>
      <w:rPr>
        <w:rFonts w:hint="default"/>
      </w:rPr>
    </w:lvl>
    <w:lvl w:ilvl="6">
      <w:start w:val="1"/>
      <w:numFmt w:val="decimal"/>
      <w:lvlText w:val="%7."/>
      <w:lvlJc w:val="left"/>
      <w:pPr>
        <w:tabs>
          <w:tab w:val="num" w:pos="5588"/>
        </w:tabs>
        <w:ind w:left="5588" w:hanging="360"/>
      </w:pPr>
      <w:rPr>
        <w:rFonts w:hint="default"/>
      </w:rPr>
    </w:lvl>
    <w:lvl w:ilvl="7">
      <w:start w:val="1"/>
      <w:numFmt w:val="lowerLetter"/>
      <w:lvlText w:val="%8."/>
      <w:lvlJc w:val="left"/>
      <w:pPr>
        <w:tabs>
          <w:tab w:val="num" w:pos="6308"/>
        </w:tabs>
        <w:ind w:left="6308" w:hanging="360"/>
      </w:pPr>
      <w:rPr>
        <w:rFonts w:hint="default"/>
      </w:rPr>
    </w:lvl>
    <w:lvl w:ilvl="8">
      <w:start w:val="1"/>
      <w:numFmt w:val="lowerRoman"/>
      <w:lvlText w:val="%9."/>
      <w:lvlJc w:val="right"/>
      <w:pPr>
        <w:tabs>
          <w:tab w:val="num" w:pos="7028"/>
        </w:tabs>
        <w:ind w:left="7028" w:hanging="180"/>
      </w:pPr>
      <w:rPr>
        <w:rFonts w:hint="default"/>
      </w:rPr>
    </w:lvl>
  </w:abstractNum>
  <w:abstractNum w:abstractNumId="3" w15:restartNumberingAfterBreak="0">
    <w:nsid w:val="259A3DE3"/>
    <w:multiLevelType w:val="multilevel"/>
    <w:tmpl w:val="F37439A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197CDD"/>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01584A"/>
    <w:multiLevelType w:val="hybridMultilevel"/>
    <w:tmpl w:val="A90A5658"/>
    <w:lvl w:ilvl="0" w:tplc="04050001">
      <w:start w:val="1"/>
      <w:numFmt w:val="bullet"/>
      <w:lvlText w:val=""/>
      <w:lvlJc w:val="left"/>
      <w:pPr>
        <w:tabs>
          <w:tab w:val="num" w:pos="720"/>
        </w:tabs>
        <w:ind w:left="72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11E89"/>
    <w:multiLevelType w:val="multilevel"/>
    <w:tmpl w:val="3D38F2AA"/>
    <w:lvl w:ilvl="0">
      <w:start w:val="1"/>
      <w:numFmt w:val="decimal"/>
      <w:pStyle w:val="Nadpis1"/>
      <w:suff w:val="space"/>
      <w:lvlText w:val="%1."/>
      <w:lvlJc w:val="left"/>
      <w:pPr>
        <w:ind w:left="0" w:firstLine="0"/>
      </w:pPr>
      <w:rPr>
        <w:rFonts w:ascii="Trebuchet MS" w:hAnsi="Trebuchet MS" w:hint="default"/>
        <w:b/>
        <w:i w:val="0"/>
        <w:sz w:val="28"/>
        <w:szCs w:val="28"/>
      </w:rPr>
    </w:lvl>
    <w:lvl w:ilvl="1">
      <w:start w:val="1"/>
      <w:numFmt w:val="decimal"/>
      <w:pStyle w:val="Nadpis2"/>
      <w:suff w:val="space"/>
      <w:lvlText w:val="%1.%2."/>
      <w:lvlJc w:val="left"/>
      <w:pPr>
        <w:ind w:left="284" w:firstLine="0"/>
      </w:pPr>
      <w:rPr>
        <w:rFonts w:ascii="Trebuchet MS" w:hAnsi="Trebuchet MS" w:hint="default"/>
        <w:b/>
        <w:i w:val="0"/>
        <w:sz w:val="24"/>
        <w:szCs w:val="24"/>
      </w:rPr>
    </w:lvl>
    <w:lvl w:ilvl="2">
      <w:start w:val="1"/>
      <w:numFmt w:val="decimal"/>
      <w:pStyle w:val="Nadpis3"/>
      <w:suff w:val="space"/>
      <w:lvlText w:val="%1.%2.%3."/>
      <w:lvlJc w:val="left"/>
      <w:pPr>
        <w:ind w:left="567" w:firstLine="0"/>
      </w:pPr>
      <w:rPr>
        <w:rFonts w:ascii="Trebuchet MS" w:hAnsi="Trebuchet MS" w:hint="default"/>
        <w:b/>
        <w:i w:val="0"/>
        <w:sz w:val="22"/>
        <w:szCs w:val="22"/>
      </w:rPr>
    </w:lvl>
    <w:lvl w:ilvl="3">
      <w:start w:val="1"/>
      <w:numFmt w:val="none"/>
      <w:lvlText w:val=""/>
      <w:lvlJc w:val="left"/>
      <w:pPr>
        <w:tabs>
          <w:tab w:val="num" w:pos="2498"/>
        </w:tabs>
        <w:ind w:left="2138" w:firstLine="0"/>
      </w:pPr>
      <w:rPr>
        <w:rFonts w:hint="default"/>
      </w:rPr>
    </w:lvl>
    <w:lvl w:ilvl="4">
      <w:start w:val="1"/>
      <w:numFmt w:val="decimal"/>
      <w:pStyle w:val="Nadpis5"/>
      <w:lvlText w:val="(%5)"/>
      <w:lvlJc w:val="left"/>
      <w:pPr>
        <w:tabs>
          <w:tab w:val="num" w:pos="3218"/>
        </w:tabs>
        <w:ind w:left="2858" w:firstLine="0"/>
      </w:pPr>
      <w:rPr>
        <w:rFonts w:hint="default"/>
      </w:rPr>
    </w:lvl>
    <w:lvl w:ilvl="5">
      <w:start w:val="1"/>
      <w:numFmt w:val="lowerLetter"/>
      <w:pStyle w:val="Nadpis6"/>
      <w:lvlText w:val="(%6)"/>
      <w:lvlJc w:val="left"/>
      <w:pPr>
        <w:tabs>
          <w:tab w:val="num" w:pos="3938"/>
        </w:tabs>
        <w:ind w:left="3578" w:firstLine="0"/>
      </w:pPr>
      <w:rPr>
        <w:rFonts w:hint="default"/>
      </w:rPr>
    </w:lvl>
    <w:lvl w:ilvl="6">
      <w:start w:val="1"/>
      <w:numFmt w:val="lowerRoman"/>
      <w:pStyle w:val="Nadpis7"/>
      <w:lvlText w:val="(%7)"/>
      <w:lvlJc w:val="left"/>
      <w:pPr>
        <w:tabs>
          <w:tab w:val="num" w:pos="4658"/>
        </w:tabs>
        <w:ind w:left="4298" w:firstLine="0"/>
      </w:pPr>
      <w:rPr>
        <w:rFonts w:hint="default"/>
      </w:rPr>
    </w:lvl>
    <w:lvl w:ilvl="7">
      <w:start w:val="1"/>
      <w:numFmt w:val="lowerLetter"/>
      <w:pStyle w:val="Nadpis8"/>
      <w:lvlText w:val="(%8)"/>
      <w:lvlJc w:val="left"/>
      <w:pPr>
        <w:tabs>
          <w:tab w:val="num" w:pos="5378"/>
        </w:tabs>
        <w:ind w:left="5018" w:firstLine="0"/>
      </w:pPr>
      <w:rPr>
        <w:rFonts w:hint="default"/>
      </w:rPr>
    </w:lvl>
    <w:lvl w:ilvl="8">
      <w:start w:val="1"/>
      <w:numFmt w:val="lowerRoman"/>
      <w:pStyle w:val="Nadpis9"/>
      <w:lvlText w:val="(%9)"/>
      <w:lvlJc w:val="left"/>
      <w:pPr>
        <w:tabs>
          <w:tab w:val="num" w:pos="6098"/>
        </w:tabs>
        <w:ind w:left="5738" w:firstLine="0"/>
      </w:pPr>
      <w:rPr>
        <w:rFonts w:hint="default"/>
      </w:rPr>
    </w:lvl>
  </w:abstractNum>
  <w:abstractNum w:abstractNumId="7" w15:restartNumberingAfterBreak="0">
    <w:nsid w:val="68B3696B"/>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872C8"/>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D97C36"/>
    <w:multiLevelType w:val="multilevel"/>
    <w:tmpl w:val="C958E790"/>
    <w:lvl w:ilvl="0">
      <w:start w:val="1"/>
      <w:numFmt w:val="bullet"/>
      <w:pStyle w:val="Odrky"/>
      <w:lvlText w:val=""/>
      <w:lvlJc w:val="left"/>
      <w:pPr>
        <w:tabs>
          <w:tab w:val="num" w:pos="1418"/>
        </w:tabs>
        <w:ind w:left="1418" w:hanging="284"/>
      </w:pPr>
      <w:rPr>
        <w:rFonts w:ascii="Wingdings" w:hAnsi="Wingdings" w:hint="default"/>
      </w:rPr>
    </w:lvl>
    <w:lvl w:ilvl="1">
      <w:start w:val="1"/>
      <w:numFmt w:val="bullet"/>
      <w:lvlText w:val=""/>
      <w:lvlJc w:val="left"/>
      <w:pPr>
        <w:tabs>
          <w:tab w:val="num" w:pos="1758"/>
        </w:tabs>
        <w:ind w:left="1758" w:hanging="170"/>
      </w:pPr>
      <w:rPr>
        <w:rFonts w:ascii="Wingdings" w:hAnsi="Wingdings" w:hint="default"/>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num w:numId="1">
    <w:abstractNumId w:val="6"/>
  </w:num>
  <w:num w:numId="2">
    <w:abstractNumId w:val="9"/>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drawingGridHorizontalSpacing w:val="105"/>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BDC"/>
    <w:rsid w:val="000007A4"/>
    <w:rsid w:val="00005062"/>
    <w:rsid w:val="00005E63"/>
    <w:rsid w:val="000111B5"/>
    <w:rsid w:val="00015C0A"/>
    <w:rsid w:val="00017B90"/>
    <w:rsid w:val="00022538"/>
    <w:rsid w:val="000424DA"/>
    <w:rsid w:val="00046577"/>
    <w:rsid w:val="00047F97"/>
    <w:rsid w:val="00060E12"/>
    <w:rsid w:val="00066855"/>
    <w:rsid w:val="00070043"/>
    <w:rsid w:val="00081483"/>
    <w:rsid w:val="00091546"/>
    <w:rsid w:val="000B1045"/>
    <w:rsid w:val="000C201B"/>
    <w:rsid w:val="000E1779"/>
    <w:rsid w:val="00106098"/>
    <w:rsid w:val="00123439"/>
    <w:rsid w:val="00127375"/>
    <w:rsid w:val="00131FBC"/>
    <w:rsid w:val="001325B9"/>
    <w:rsid w:val="00136B74"/>
    <w:rsid w:val="00141BAE"/>
    <w:rsid w:val="00141F7B"/>
    <w:rsid w:val="00142F6A"/>
    <w:rsid w:val="0014362A"/>
    <w:rsid w:val="00163608"/>
    <w:rsid w:val="00164872"/>
    <w:rsid w:val="00180B05"/>
    <w:rsid w:val="00183889"/>
    <w:rsid w:val="00193782"/>
    <w:rsid w:val="001A14D5"/>
    <w:rsid w:val="001B3CF9"/>
    <w:rsid w:val="001B40B6"/>
    <w:rsid w:val="001B66C0"/>
    <w:rsid w:val="001E1495"/>
    <w:rsid w:val="001E469E"/>
    <w:rsid w:val="00211011"/>
    <w:rsid w:val="0021451F"/>
    <w:rsid w:val="00223609"/>
    <w:rsid w:val="00235AA4"/>
    <w:rsid w:val="002360F7"/>
    <w:rsid w:val="002409B4"/>
    <w:rsid w:val="002422BA"/>
    <w:rsid w:val="00263C75"/>
    <w:rsid w:val="00280702"/>
    <w:rsid w:val="00282E90"/>
    <w:rsid w:val="002A1EEA"/>
    <w:rsid w:val="002A2898"/>
    <w:rsid w:val="002A2DEA"/>
    <w:rsid w:val="002A7E50"/>
    <w:rsid w:val="002B4E20"/>
    <w:rsid w:val="002D2FB2"/>
    <w:rsid w:val="002E2D28"/>
    <w:rsid w:val="00300FE3"/>
    <w:rsid w:val="00314DE2"/>
    <w:rsid w:val="00315CDA"/>
    <w:rsid w:val="00315D0B"/>
    <w:rsid w:val="00320B85"/>
    <w:rsid w:val="0033002B"/>
    <w:rsid w:val="0033472F"/>
    <w:rsid w:val="003402BE"/>
    <w:rsid w:val="00350413"/>
    <w:rsid w:val="00355E88"/>
    <w:rsid w:val="00385E7B"/>
    <w:rsid w:val="003968E7"/>
    <w:rsid w:val="003A48C5"/>
    <w:rsid w:val="003A70C9"/>
    <w:rsid w:val="003B2C8A"/>
    <w:rsid w:val="003B4B30"/>
    <w:rsid w:val="003C44AA"/>
    <w:rsid w:val="003C4603"/>
    <w:rsid w:val="003C600A"/>
    <w:rsid w:val="003D612A"/>
    <w:rsid w:val="003F0A41"/>
    <w:rsid w:val="003F1B54"/>
    <w:rsid w:val="003F7ADA"/>
    <w:rsid w:val="00400CD2"/>
    <w:rsid w:val="00403CC2"/>
    <w:rsid w:val="00410DD5"/>
    <w:rsid w:val="004165A1"/>
    <w:rsid w:val="00420918"/>
    <w:rsid w:val="00432ACF"/>
    <w:rsid w:val="0045321C"/>
    <w:rsid w:val="00455210"/>
    <w:rsid w:val="00472FCC"/>
    <w:rsid w:val="004802DF"/>
    <w:rsid w:val="0049307E"/>
    <w:rsid w:val="00493FD5"/>
    <w:rsid w:val="0049717D"/>
    <w:rsid w:val="004A1B96"/>
    <w:rsid w:val="004A2396"/>
    <w:rsid w:val="004A28AE"/>
    <w:rsid w:val="004A552C"/>
    <w:rsid w:val="004A5F9D"/>
    <w:rsid w:val="004B51C0"/>
    <w:rsid w:val="004D56B9"/>
    <w:rsid w:val="004E175C"/>
    <w:rsid w:val="00507F2F"/>
    <w:rsid w:val="0051379C"/>
    <w:rsid w:val="00516260"/>
    <w:rsid w:val="00535218"/>
    <w:rsid w:val="005617C3"/>
    <w:rsid w:val="00562F30"/>
    <w:rsid w:val="0056360A"/>
    <w:rsid w:val="00571248"/>
    <w:rsid w:val="00572450"/>
    <w:rsid w:val="00574F43"/>
    <w:rsid w:val="0057581B"/>
    <w:rsid w:val="00577965"/>
    <w:rsid w:val="00581874"/>
    <w:rsid w:val="00597386"/>
    <w:rsid w:val="005A2B07"/>
    <w:rsid w:val="005B0468"/>
    <w:rsid w:val="005B459C"/>
    <w:rsid w:val="005B629E"/>
    <w:rsid w:val="005C097F"/>
    <w:rsid w:val="005D48BE"/>
    <w:rsid w:val="005E2787"/>
    <w:rsid w:val="005F040D"/>
    <w:rsid w:val="005F1B16"/>
    <w:rsid w:val="00603558"/>
    <w:rsid w:val="00606C1C"/>
    <w:rsid w:val="006175B2"/>
    <w:rsid w:val="00637B70"/>
    <w:rsid w:val="00641CEB"/>
    <w:rsid w:val="006452C8"/>
    <w:rsid w:val="00663CA6"/>
    <w:rsid w:val="006735A0"/>
    <w:rsid w:val="0068433F"/>
    <w:rsid w:val="00686768"/>
    <w:rsid w:val="006C7A1E"/>
    <w:rsid w:val="006D24BC"/>
    <w:rsid w:val="006D5674"/>
    <w:rsid w:val="006E53D8"/>
    <w:rsid w:val="006E6841"/>
    <w:rsid w:val="006F133C"/>
    <w:rsid w:val="006F27D1"/>
    <w:rsid w:val="006F3C88"/>
    <w:rsid w:val="00702D0E"/>
    <w:rsid w:val="00705B68"/>
    <w:rsid w:val="00711C36"/>
    <w:rsid w:val="00714E89"/>
    <w:rsid w:val="0071563C"/>
    <w:rsid w:val="00716F8F"/>
    <w:rsid w:val="0072192A"/>
    <w:rsid w:val="00745C13"/>
    <w:rsid w:val="00746A08"/>
    <w:rsid w:val="00767F9B"/>
    <w:rsid w:val="007706B8"/>
    <w:rsid w:val="0077095A"/>
    <w:rsid w:val="00770EB9"/>
    <w:rsid w:val="00792267"/>
    <w:rsid w:val="007A427B"/>
    <w:rsid w:val="007B72AB"/>
    <w:rsid w:val="007E0262"/>
    <w:rsid w:val="007E6A3A"/>
    <w:rsid w:val="0080253C"/>
    <w:rsid w:val="008112F3"/>
    <w:rsid w:val="0082048C"/>
    <w:rsid w:val="00821D5A"/>
    <w:rsid w:val="00823A3A"/>
    <w:rsid w:val="008272D4"/>
    <w:rsid w:val="00827E2B"/>
    <w:rsid w:val="00841CD0"/>
    <w:rsid w:val="008462F3"/>
    <w:rsid w:val="008602DC"/>
    <w:rsid w:val="00893BA1"/>
    <w:rsid w:val="008A5E95"/>
    <w:rsid w:val="008B745E"/>
    <w:rsid w:val="00903BC8"/>
    <w:rsid w:val="0090415A"/>
    <w:rsid w:val="00906C9B"/>
    <w:rsid w:val="00910ED9"/>
    <w:rsid w:val="009340D5"/>
    <w:rsid w:val="00942E87"/>
    <w:rsid w:val="00950A2F"/>
    <w:rsid w:val="0096222E"/>
    <w:rsid w:val="00965A6D"/>
    <w:rsid w:val="009704E2"/>
    <w:rsid w:val="00974624"/>
    <w:rsid w:val="009B3654"/>
    <w:rsid w:val="009C0CDD"/>
    <w:rsid w:val="009C2070"/>
    <w:rsid w:val="009C24CC"/>
    <w:rsid w:val="009C7E80"/>
    <w:rsid w:val="009D256A"/>
    <w:rsid w:val="009F45C1"/>
    <w:rsid w:val="00A04080"/>
    <w:rsid w:val="00A07251"/>
    <w:rsid w:val="00A14CCC"/>
    <w:rsid w:val="00A225D6"/>
    <w:rsid w:val="00A31CB0"/>
    <w:rsid w:val="00A34589"/>
    <w:rsid w:val="00A42BDC"/>
    <w:rsid w:val="00A55591"/>
    <w:rsid w:val="00A56450"/>
    <w:rsid w:val="00A930C4"/>
    <w:rsid w:val="00A93A15"/>
    <w:rsid w:val="00AA1C3A"/>
    <w:rsid w:val="00AA2193"/>
    <w:rsid w:val="00AA59F5"/>
    <w:rsid w:val="00AB7801"/>
    <w:rsid w:val="00AB7D0B"/>
    <w:rsid w:val="00AC445B"/>
    <w:rsid w:val="00AD0F32"/>
    <w:rsid w:val="00AD13EE"/>
    <w:rsid w:val="00AD35E7"/>
    <w:rsid w:val="00AD48D5"/>
    <w:rsid w:val="00AE0DBA"/>
    <w:rsid w:val="00AE1237"/>
    <w:rsid w:val="00AE6D4B"/>
    <w:rsid w:val="00B06019"/>
    <w:rsid w:val="00B1086A"/>
    <w:rsid w:val="00B108D8"/>
    <w:rsid w:val="00B10F95"/>
    <w:rsid w:val="00B15D9F"/>
    <w:rsid w:val="00B34486"/>
    <w:rsid w:val="00B35CA6"/>
    <w:rsid w:val="00B36933"/>
    <w:rsid w:val="00B37EBD"/>
    <w:rsid w:val="00B41809"/>
    <w:rsid w:val="00B44467"/>
    <w:rsid w:val="00B44D76"/>
    <w:rsid w:val="00B545D9"/>
    <w:rsid w:val="00B61BD6"/>
    <w:rsid w:val="00B77D00"/>
    <w:rsid w:val="00B814DC"/>
    <w:rsid w:val="00B82062"/>
    <w:rsid w:val="00B822E1"/>
    <w:rsid w:val="00B86F5B"/>
    <w:rsid w:val="00B916C3"/>
    <w:rsid w:val="00B95E5D"/>
    <w:rsid w:val="00BA2C5D"/>
    <w:rsid w:val="00BB70F7"/>
    <w:rsid w:val="00BC5FFA"/>
    <w:rsid w:val="00BD0C25"/>
    <w:rsid w:val="00BD489B"/>
    <w:rsid w:val="00BF4D53"/>
    <w:rsid w:val="00C060D9"/>
    <w:rsid w:val="00C11B87"/>
    <w:rsid w:val="00C23250"/>
    <w:rsid w:val="00C34201"/>
    <w:rsid w:val="00C3481A"/>
    <w:rsid w:val="00C34CA4"/>
    <w:rsid w:val="00C36245"/>
    <w:rsid w:val="00C42ADE"/>
    <w:rsid w:val="00C61A5A"/>
    <w:rsid w:val="00C63443"/>
    <w:rsid w:val="00C6656E"/>
    <w:rsid w:val="00C705CA"/>
    <w:rsid w:val="00C73615"/>
    <w:rsid w:val="00C8234D"/>
    <w:rsid w:val="00C9237B"/>
    <w:rsid w:val="00CA0077"/>
    <w:rsid w:val="00CA12E9"/>
    <w:rsid w:val="00CB1F60"/>
    <w:rsid w:val="00CC28FC"/>
    <w:rsid w:val="00CC4B0E"/>
    <w:rsid w:val="00CD74EF"/>
    <w:rsid w:val="00CE421D"/>
    <w:rsid w:val="00CF2EE5"/>
    <w:rsid w:val="00D02B2D"/>
    <w:rsid w:val="00D04F5A"/>
    <w:rsid w:val="00D14F4E"/>
    <w:rsid w:val="00D17E21"/>
    <w:rsid w:val="00D218C0"/>
    <w:rsid w:val="00D2549D"/>
    <w:rsid w:val="00D3357C"/>
    <w:rsid w:val="00D3504A"/>
    <w:rsid w:val="00D42C78"/>
    <w:rsid w:val="00D50536"/>
    <w:rsid w:val="00D530AE"/>
    <w:rsid w:val="00D62EFD"/>
    <w:rsid w:val="00D663E0"/>
    <w:rsid w:val="00D70F1F"/>
    <w:rsid w:val="00D7503B"/>
    <w:rsid w:val="00D807FA"/>
    <w:rsid w:val="00D81A15"/>
    <w:rsid w:val="00DA12DE"/>
    <w:rsid w:val="00DA139D"/>
    <w:rsid w:val="00DB3032"/>
    <w:rsid w:val="00DB3E9F"/>
    <w:rsid w:val="00DC42F9"/>
    <w:rsid w:val="00DD32D7"/>
    <w:rsid w:val="00E01864"/>
    <w:rsid w:val="00E022D1"/>
    <w:rsid w:val="00E11BB4"/>
    <w:rsid w:val="00E34791"/>
    <w:rsid w:val="00E71E44"/>
    <w:rsid w:val="00E86DD1"/>
    <w:rsid w:val="00E90C47"/>
    <w:rsid w:val="00E90F12"/>
    <w:rsid w:val="00E92879"/>
    <w:rsid w:val="00EA23D2"/>
    <w:rsid w:val="00EA2D6F"/>
    <w:rsid w:val="00EA53C0"/>
    <w:rsid w:val="00EB4356"/>
    <w:rsid w:val="00EC056C"/>
    <w:rsid w:val="00EC2081"/>
    <w:rsid w:val="00ED6909"/>
    <w:rsid w:val="00EE54BB"/>
    <w:rsid w:val="00EF77B3"/>
    <w:rsid w:val="00F15475"/>
    <w:rsid w:val="00F31012"/>
    <w:rsid w:val="00F36FC4"/>
    <w:rsid w:val="00F62190"/>
    <w:rsid w:val="00F66FEB"/>
    <w:rsid w:val="00F67265"/>
    <w:rsid w:val="00F7195E"/>
    <w:rsid w:val="00F83485"/>
    <w:rsid w:val="00F87029"/>
    <w:rsid w:val="00FA0F9C"/>
    <w:rsid w:val="00FA17BB"/>
    <w:rsid w:val="00FB2F65"/>
    <w:rsid w:val="00FC6AAB"/>
    <w:rsid w:val="00FC725E"/>
    <w:rsid w:val="00FC75AF"/>
    <w:rsid w:val="00FD2AF7"/>
    <w:rsid w:val="00FE0B2D"/>
    <w:rsid w:val="00FE39D7"/>
    <w:rsid w:val="00FF1D45"/>
    <w:rsid w:val="00FF3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F8BEBB-5060-4917-AF2D-37983C69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3A3A"/>
    <w:pPr>
      <w:spacing w:before="120" w:after="120"/>
      <w:ind w:firstLine="454"/>
      <w:jc w:val="both"/>
    </w:pPr>
    <w:rPr>
      <w:rFonts w:ascii="Trebuchet MS" w:hAnsi="Trebuchet MS"/>
      <w:sz w:val="21"/>
      <w:szCs w:val="24"/>
    </w:rPr>
  </w:style>
  <w:style w:type="paragraph" w:styleId="Nadpis1">
    <w:name w:val="heading 1"/>
    <w:basedOn w:val="Normln"/>
    <w:next w:val="Normln"/>
    <w:uiPriority w:val="9"/>
    <w:qFormat/>
    <w:rsid w:val="009704E2"/>
    <w:pPr>
      <w:keepNext/>
      <w:widowControl w:val="0"/>
      <w:numPr>
        <w:numId w:val="1"/>
      </w:numPr>
      <w:shd w:val="clear" w:color="auto" w:fill="8C8C8C"/>
      <w:spacing w:before="240" w:after="60"/>
      <w:outlineLvl w:val="0"/>
    </w:pPr>
    <w:rPr>
      <w:rFonts w:cs="Arial"/>
      <w:b/>
      <w:bCs/>
      <w:color w:val="FFFFFF"/>
      <w:kern w:val="32"/>
      <w:sz w:val="28"/>
      <w:szCs w:val="32"/>
    </w:rPr>
  </w:style>
  <w:style w:type="paragraph" w:styleId="Nadpis2">
    <w:name w:val="heading 2"/>
    <w:basedOn w:val="Normln"/>
    <w:next w:val="Normln"/>
    <w:qFormat/>
    <w:rsid w:val="009704E2"/>
    <w:pPr>
      <w:keepNext/>
      <w:widowControl w:val="0"/>
      <w:numPr>
        <w:ilvl w:val="1"/>
        <w:numId w:val="1"/>
      </w:numPr>
      <w:shd w:val="clear" w:color="auto" w:fill="E0E0E0"/>
      <w:outlineLvl w:val="1"/>
    </w:pPr>
    <w:rPr>
      <w:rFonts w:cs="Arial"/>
      <w:b/>
      <w:bCs/>
      <w:iCs/>
      <w:sz w:val="24"/>
      <w:szCs w:val="28"/>
    </w:rPr>
  </w:style>
  <w:style w:type="paragraph" w:styleId="Nadpis3">
    <w:name w:val="heading 3"/>
    <w:basedOn w:val="Normln"/>
    <w:next w:val="Normln"/>
    <w:qFormat/>
    <w:rsid w:val="009704E2"/>
    <w:pPr>
      <w:keepNext/>
      <w:numPr>
        <w:ilvl w:val="2"/>
        <w:numId w:val="1"/>
      </w:numPr>
      <w:outlineLvl w:val="2"/>
    </w:pPr>
    <w:rPr>
      <w:rFonts w:cs="Arial"/>
      <w:b/>
      <w:bCs/>
      <w:sz w:val="22"/>
      <w:szCs w:val="26"/>
    </w:rPr>
  </w:style>
  <w:style w:type="paragraph" w:styleId="Nadpis4">
    <w:name w:val="heading 4"/>
    <w:basedOn w:val="Normln"/>
    <w:next w:val="Normln"/>
    <w:link w:val="Nadpis4Char"/>
    <w:qFormat/>
    <w:rsid w:val="009704E2"/>
    <w:pPr>
      <w:keepNext/>
      <w:ind w:left="454" w:firstLine="0"/>
      <w:outlineLvl w:val="3"/>
    </w:pPr>
    <w:rPr>
      <w:b/>
      <w:bCs/>
      <w:szCs w:val="28"/>
    </w:rPr>
  </w:style>
  <w:style w:type="paragraph" w:styleId="Nadpis5">
    <w:name w:val="heading 5"/>
    <w:basedOn w:val="Normln"/>
    <w:next w:val="Normln"/>
    <w:qFormat/>
    <w:rsid w:val="00D50536"/>
    <w:pPr>
      <w:numPr>
        <w:ilvl w:val="4"/>
        <w:numId w:val="1"/>
      </w:numPr>
      <w:spacing w:before="240" w:after="60"/>
      <w:outlineLvl w:val="4"/>
    </w:pPr>
    <w:rPr>
      <w:b/>
      <w:bCs/>
      <w:i/>
      <w:iCs/>
      <w:sz w:val="26"/>
      <w:szCs w:val="26"/>
    </w:rPr>
  </w:style>
  <w:style w:type="paragraph" w:styleId="Nadpis6">
    <w:name w:val="heading 6"/>
    <w:basedOn w:val="Normln"/>
    <w:next w:val="Normln"/>
    <w:qFormat/>
    <w:rsid w:val="00D50536"/>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qFormat/>
    <w:rsid w:val="00D50536"/>
    <w:pPr>
      <w:numPr>
        <w:ilvl w:val="6"/>
        <w:numId w:val="1"/>
      </w:numPr>
      <w:spacing w:before="240" w:after="60"/>
      <w:outlineLvl w:val="6"/>
    </w:pPr>
    <w:rPr>
      <w:rFonts w:ascii="Times New Roman" w:hAnsi="Times New Roman"/>
      <w:sz w:val="24"/>
    </w:rPr>
  </w:style>
  <w:style w:type="paragraph" w:styleId="Nadpis8">
    <w:name w:val="heading 8"/>
    <w:basedOn w:val="Normln"/>
    <w:next w:val="Normln"/>
    <w:qFormat/>
    <w:rsid w:val="00D50536"/>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qFormat/>
    <w:rsid w:val="00D50536"/>
    <w:pPr>
      <w:numPr>
        <w:ilvl w:val="8"/>
        <w:numId w:val="1"/>
      </w:num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Odrky">
    <w:name w:val="Odrážky"/>
    <w:basedOn w:val="Normln"/>
    <w:rsid w:val="002409B4"/>
    <w:pPr>
      <w:numPr>
        <w:numId w:val="2"/>
      </w:numPr>
      <w:contextualSpacing/>
    </w:pPr>
  </w:style>
  <w:style w:type="paragraph" w:customStyle="1" w:styleId="slovn">
    <w:name w:val="Číslování"/>
    <w:basedOn w:val="Normln"/>
    <w:link w:val="slovnChar"/>
    <w:rsid w:val="0077095A"/>
    <w:pPr>
      <w:numPr>
        <w:numId w:val="3"/>
      </w:numPr>
    </w:pPr>
  </w:style>
  <w:style w:type="table" w:styleId="Mkatabulky">
    <w:name w:val="Table Grid"/>
    <w:basedOn w:val="Normlntabulka"/>
    <w:rsid w:val="00D663E0"/>
    <w:rPr>
      <w:rFonts w:ascii="Trebuchet MS" w:hAnsi="Trebuchet MS"/>
      <w:sz w:val="16"/>
      <w:szCs w:val="16"/>
    </w:rPr>
    <w:tblP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Pr>
    <w:tcPr>
      <w:vAlign w:val="center"/>
    </w:tcPr>
    <w:tblStylePr w:type="firstRow">
      <w:pPr>
        <w:jc w:val="center"/>
      </w:pPr>
      <w:rPr>
        <w:rFonts w:ascii="Segoe UI" w:hAnsi="Segoe UI"/>
        <w:b/>
        <w:sz w:val="18"/>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E6E6E6"/>
      </w:tcPr>
    </w:tblStylePr>
  </w:style>
  <w:style w:type="paragraph" w:customStyle="1" w:styleId="Tabulka-text">
    <w:name w:val="Tabulka - text"/>
    <w:basedOn w:val="Normln"/>
    <w:rsid w:val="00D663E0"/>
    <w:pPr>
      <w:spacing w:before="40" w:after="40"/>
      <w:ind w:firstLine="0"/>
      <w:jc w:val="left"/>
    </w:pPr>
    <w:rPr>
      <w:sz w:val="16"/>
      <w:szCs w:val="16"/>
    </w:rPr>
  </w:style>
  <w:style w:type="paragraph" w:customStyle="1" w:styleId="Tabulka-hlavika">
    <w:name w:val="Tabulka - hlavička"/>
    <w:basedOn w:val="Normln"/>
    <w:rsid w:val="00D663E0"/>
    <w:pPr>
      <w:spacing w:before="60" w:after="60"/>
      <w:ind w:firstLine="0"/>
      <w:jc w:val="center"/>
    </w:pPr>
    <w:rPr>
      <w:sz w:val="18"/>
      <w:szCs w:val="16"/>
    </w:rPr>
  </w:style>
  <w:style w:type="paragraph" w:styleId="Titulek">
    <w:name w:val="caption"/>
    <w:basedOn w:val="Normln"/>
    <w:next w:val="Normln"/>
    <w:qFormat/>
    <w:rsid w:val="00716F8F"/>
    <w:rPr>
      <w:b/>
      <w:bCs/>
      <w:sz w:val="20"/>
      <w:szCs w:val="20"/>
    </w:rPr>
  </w:style>
  <w:style w:type="paragraph" w:styleId="Zpat">
    <w:name w:val="footer"/>
    <w:basedOn w:val="Normln"/>
    <w:rsid w:val="00716F8F"/>
    <w:pPr>
      <w:tabs>
        <w:tab w:val="center" w:pos="4536"/>
        <w:tab w:val="right" w:pos="9072"/>
      </w:tabs>
    </w:pPr>
    <w:rPr>
      <w:color w:val="808080"/>
      <w:sz w:val="18"/>
    </w:rPr>
  </w:style>
  <w:style w:type="character" w:styleId="slostrnky">
    <w:name w:val="page number"/>
    <w:rsid w:val="00716F8F"/>
    <w:rPr>
      <w:rFonts w:ascii="Trebuchet MS" w:hAnsi="Trebuchet MS"/>
      <w:color w:val="808080"/>
      <w:sz w:val="21"/>
    </w:rPr>
  </w:style>
  <w:style w:type="paragraph" w:styleId="Zhlav">
    <w:name w:val="header"/>
    <w:basedOn w:val="Normln"/>
    <w:rsid w:val="00716F8F"/>
    <w:pPr>
      <w:tabs>
        <w:tab w:val="center" w:pos="4536"/>
        <w:tab w:val="right" w:pos="9072"/>
      </w:tabs>
    </w:pPr>
    <w:rPr>
      <w:color w:val="808080"/>
      <w:sz w:val="18"/>
    </w:rPr>
  </w:style>
  <w:style w:type="paragraph" w:customStyle="1" w:styleId="Kryclist">
    <w:name w:val="Krycí list"/>
    <w:basedOn w:val="Normln"/>
    <w:rsid w:val="00282E90"/>
    <w:pPr>
      <w:jc w:val="right"/>
    </w:pPr>
    <w:rPr>
      <w:b/>
      <w:sz w:val="26"/>
    </w:rPr>
  </w:style>
  <w:style w:type="character" w:customStyle="1" w:styleId="slovnChar">
    <w:name w:val="Číslování Char"/>
    <w:link w:val="slovn"/>
    <w:rsid w:val="0077095A"/>
    <w:rPr>
      <w:rFonts w:ascii="Trebuchet MS" w:hAnsi="Trebuchet MS"/>
      <w:sz w:val="21"/>
      <w:szCs w:val="24"/>
    </w:rPr>
  </w:style>
  <w:style w:type="character" w:styleId="Hypertextovodkaz">
    <w:name w:val="Hyperlink"/>
    <w:rsid w:val="0057581B"/>
    <w:rPr>
      <w:color w:val="0000FF"/>
      <w:u w:val="single"/>
    </w:rPr>
  </w:style>
  <w:style w:type="paragraph" w:customStyle="1" w:styleId="Bez">
    <w:name w:val="Bez"/>
    <w:basedOn w:val="Normln"/>
    <w:rsid w:val="00AD0F32"/>
    <w:pPr>
      <w:ind w:firstLine="0"/>
    </w:pPr>
  </w:style>
  <w:style w:type="paragraph" w:customStyle="1" w:styleId="Zhlavtext">
    <w:name w:val="Záhlaví text"/>
    <w:rsid w:val="003A48C5"/>
    <w:pPr>
      <w:jc w:val="center"/>
    </w:pPr>
    <w:rPr>
      <w:rFonts w:ascii="Tw Cen MT Condensed" w:hAnsi="Tw Cen MT Condensed"/>
      <w:color w:val="052638"/>
    </w:rPr>
  </w:style>
  <w:style w:type="paragraph" w:customStyle="1" w:styleId="Zpat11-B-ervenCharChar">
    <w:name w:val="Zápatí 11-B-červená Char Char"/>
    <w:link w:val="Zpat11-B-ervenCharCharChar"/>
    <w:rsid w:val="003A48C5"/>
    <w:rPr>
      <w:rFonts w:ascii="Tw Cen MT" w:hAnsi="Tw Cen MT"/>
      <w:b/>
      <w:color w:val="991426"/>
      <w:sz w:val="22"/>
      <w:szCs w:val="24"/>
    </w:rPr>
  </w:style>
  <w:style w:type="character" w:customStyle="1" w:styleId="Zpat11-B-ervenCharCharChar">
    <w:name w:val="Zápatí 11-B-červená Char Char Char"/>
    <w:link w:val="Zpat11-B-ervenCharChar"/>
    <w:rsid w:val="003A48C5"/>
    <w:rPr>
      <w:rFonts w:ascii="Tw Cen MT" w:hAnsi="Tw Cen MT"/>
      <w:b/>
      <w:color w:val="991426"/>
      <w:sz w:val="22"/>
      <w:szCs w:val="24"/>
      <w:lang w:val="cs-CZ" w:eastAsia="cs-CZ" w:bidi="ar-SA"/>
    </w:rPr>
  </w:style>
  <w:style w:type="paragraph" w:customStyle="1" w:styleId="Zpat-14-B-erven">
    <w:name w:val="Zápatí -14-B-červená"/>
    <w:rsid w:val="003A48C5"/>
    <w:pPr>
      <w:jc w:val="center"/>
    </w:pPr>
    <w:rPr>
      <w:rFonts w:ascii="Tw Cen MT" w:hAnsi="Tw Cen MT"/>
      <w:b/>
      <w:color w:val="991426"/>
      <w:sz w:val="28"/>
      <w:szCs w:val="24"/>
    </w:rPr>
  </w:style>
  <w:style w:type="paragraph" w:customStyle="1" w:styleId="Zpat10-Bl">
    <w:name w:val="Zápatí 10-Bílá"/>
    <w:rsid w:val="003A48C5"/>
    <w:pPr>
      <w:jc w:val="center"/>
    </w:pPr>
    <w:rPr>
      <w:rFonts w:ascii="Tw Cen MT" w:hAnsi="Tw Cen MT"/>
      <w:color w:val="FFFFFF"/>
      <w:szCs w:val="24"/>
    </w:rPr>
  </w:style>
  <w:style w:type="paragraph" w:styleId="Rozvrendokumentu">
    <w:name w:val="Rozvržení dokumentu"/>
    <w:basedOn w:val="Normln"/>
    <w:link w:val="RozvrendokumentuChar"/>
    <w:uiPriority w:val="99"/>
    <w:semiHidden/>
    <w:unhideWhenUsed/>
    <w:rsid w:val="00FD2AF7"/>
    <w:rPr>
      <w:rFonts w:ascii="Tahoma" w:hAnsi="Tahoma" w:cs="Tahoma"/>
      <w:sz w:val="16"/>
      <w:szCs w:val="16"/>
    </w:rPr>
  </w:style>
  <w:style w:type="character" w:customStyle="1" w:styleId="RozvrendokumentuChar">
    <w:name w:val="Rozvržení dokumentu Char"/>
    <w:link w:val="Rozvrendokumentu"/>
    <w:uiPriority w:val="99"/>
    <w:semiHidden/>
    <w:rsid w:val="00FD2AF7"/>
    <w:rPr>
      <w:rFonts w:ascii="Tahoma" w:hAnsi="Tahoma" w:cs="Tahoma"/>
      <w:sz w:val="16"/>
      <w:szCs w:val="16"/>
    </w:rPr>
  </w:style>
  <w:style w:type="character" w:customStyle="1" w:styleId="value">
    <w:name w:val="value"/>
    <w:basedOn w:val="Standardnpsmoodstavce"/>
    <w:rsid w:val="008462F3"/>
  </w:style>
  <w:style w:type="paragraph" w:customStyle="1" w:styleId="Normln-Kurzva">
    <w:name w:val="Normální - Kurzíva"/>
    <w:basedOn w:val="Normln"/>
    <w:rsid w:val="00746A08"/>
    <w:pPr>
      <w:tabs>
        <w:tab w:val="left" w:pos="2127"/>
      </w:tabs>
      <w:overflowPunct w:val="0"/>
      <w:autoSpaceDE w:val="0"/>
      <w:autoSpaceDN w:val="0"/>
      <w:adjustRightInd w:val="0"/>
      <w:spacing w:before="0" w:after="0" w:line="360" w:lineRule="auto"/>
      <w:ind w:firstLine="0"/>
      <w:textAlignment w:val="baseline"/>
    </w:pPr>
    <w:rPr>
      <w:rFonts w:ascii="Verdana" w:hAnsi="Verdana"/>
      <w:i/>
      <w:color w:val="333333"/>
      <w:spacing w:val="-4"/>
      <w:sz w:val="20"/>
      <w:szCs w:val="20"/>
    </w:rPr>
  </w:style>
  <w:style w:type="paragraph" w:customStyle="1" w:styleId="Nadpis">
    <w:name w:val="Nadpis"/>
    <w:rsid w:val="00746A08"/>
    <w:pPr>
      <w:keepNext/>
      <w:keepLines/>
      <w:overflowPunct w:val="0"/>
      <w:autoSpaceDE w:val="0"/>
      <w:autoSpaceDN w:val="0"/>
      <w:adjustRightInd w:val="0"/>
      <w:spacing w:before="144" w:after="72"/>
      <w:jc w:val="center"/>
      <w:textAlignment w:val="baseline"/>
    </w:pPr>
    <w:rPr>
      <w:rFonts w:ascii="Verdana" w:hAnsi="Verdana"/>
      <w:b/>
      <w:caps/>
      <w:color w:val="333333"/>
      <w:sz w:val="36"/>
      <w:szCs w:val="48"/>
    </w:rPr>
  </w:style>
  <w:style w:type="paragraph" w:customStyle="1" w:styleId="Normln-Tun">
    <w:name w:val="Normální - Tučné"/>
    <w:basedOn w:val="Normln"/>
    <w:link w:val="Normln-TunChar"/>
    <w:rsid w:val="00746A08"/>
    <w:pPr>
      <w:overflowPunct w:val="0"/>
      <w:autoSpaceDE w:val="0"/>
      <w:autoSpaceDN w:val="0"/>
      <w:adjustRightInd w:val="0"/>
      <w:spacing w:before="0" w:after="0" w:line="360" w:lineRule="auto"/>
      <w:ind w:firstLine="0"/>
      <w:textAlignment w:val="baseline"/>
    </w:pPr>
    <w:rPr>
      <w:rFonts w:ascii="Verdana" w:hAnsi="Verdana"/>
      <w:b/>
      <w:color w:val="333333"/>
      <w:spacing w:val="-4"/>
      <w:sz w:val="20"/>
      <w:szCs w:val="20"/>
    </w:rPr>
  </w:style>
  <w:style w:type="character" w:customStyle="1" w:styleId="Normln-TunChar">
    <w:name w:val="Normální - Tučné Char"/>
    <w:link w:val="Normln-Tun"/>
    <w:rsid w:val="00746A08"/>
    <w:rPr>
      <w:rFonts w:ascii="Verdana" w:hAnsi="Verdana"/>
      <w:b/>
      <w:color w:val="333333"/>
      <w:spacing w:val="-4"/>
    </w:rPr>
  </w:style>
  <w:style w:type="paragraph" w:customStyle="1" w:styleId="lnek">
    <w:name w:val="Článek"/>
    <w:basedOn w:val="Normln"/>
    <w:rsid w:val="00746A08"/>
    <w:pPr>
      <w:overflowPunct w:val="0"/>
      <w:autoSpaceDE w:val="0"/>
      <w:autoSpaceDN w:val="0"/>
      <w:adjustRightInd w:val="0"/>
      <w:spacing w:before="360" w:line="360" w:lineRule="auto"/>
      <w:ind w:firstLine="0"/>
      <w:jc w:val="center"/>
      <w:textAlignment w:val="baseline"/>
    </w:pPr>
    <w:rPr>
      <w:rFonts w:ascii="Verdana" w:hAnsi="Verdana"/>
      <w:b/>
      <w:color w:val="333333"/>
      <w:spacing w:val="-4"/>
      <w:sz w:val="20"/>
      <w:szCs w:val="20"/>
    </w:rPr>
  </w:style>
  <w:style w:type="paragraph" w:customStyle="1" w:styleId="Odstavec">
    <w:name w:val="Odstavec"/>
    <w:basedOn w:val="Normln"/>
    <w:rsid w:val="00746A08"/>
    <w:pPr>
      <w:overflowPunct w:val="0"/>
      <w:autoSpaceDE w:val="0"/>
      <w:autoSpaceDN w:val="0"/>
      <w:adjustRightInd w:val="0"/>
      <w:spacing w:before="0" w:after="0" w:line="340" w:lineRule="exact"/>
      <w:ind w:firstLine="0"/>
      <w:textAlignment w:val="baseline"/>
    </w:pPr>
    <w:rPr>
      <w:rFonts w:ascii="Verdana" w:hAnsi="Verdana"/>
      <w:color w:val="333333"/>
      <w:spacing w:val="-4"/>
      <w:sz w:val="20"/>
      <w:szCs w:val="20"/>
    </w:rPr>
  </w:style>
  <w:style w:type="paragraph" w:styleId="Odstavecseseznamem">
    <w:name w:val="List Paragraph"/>
    <w:basedOn w:val="Normln"/>
    <w:uiPriority w:val="34"/>
    <w:qFormat/>
    <w:rsid w:val="00746A08"/>
    <w:pPr>
      <w:overflowPunct w:val="0"/>
      <w:autoSpaceDE w:val="0"/>
      <w:autoSpaceDN w:val="0"/>
      <w:adjustRightInd w:val="0"/>
      <w:spacing w:before="0" w:after="0" w:line="360" w:lineRule="auto"/>
      <w:ind w:left="708" w:firstLine="0"/>
      <w:textAlignment w:val="baseline"/>
    </w:pPr>
    <w:rPr>
      <w:rFonts w:ascii="Verdana" w:hAnsi="Verdana"/>
      <w:color w:val="333333"/>
      <w:spacing w:val="-4"/>
      <w:sz w:val="20"/>
      <w:szCs w:val="20"/>
    </w:rPr>
  </w:style>
  <w:style w:type="paragraph" w:customStyle="1" w:styleId="Normodsaz">
    <w:name w:val="Norm.odsaz."/>
    <w:basedOn w:val="Normln"/>
    <w:rsid w:val="00CE421D"/>
    <w:pPr>
      <w:numPr>
        <w:ilvl w:val="1"/>
        <w:numId w:val="11"/>
      </w:numPr>
      <w:spacing w:before="0" w:after="0"/>
    </w:pPr>
    <w:rPr>
      <w:rFonts w:ascii="Times New Roman" w:hAnsi="Times New Roman"/>
      <w:sz w:val="24"/>
      <w:szCs w:val="20"/>
    </w:rPr>
  </w:style>
  <w:style w:type="character" w:customStyle="1" w:styleId="Nadpis4Char">
    <w:name w:val="Nadpis 4 Char"/>
    <w:link w:val="Nadpis4"/>
    <w:rsid w:val="004B51C0"/>
    <w:rPr>
      <w:rFonts w:ascii="Trebuchet MS" w:hAnsi="Trebuchet MS"/>
      <w:b/>
      <w:bCs/>
      <w:sz w:val="21"/>
      <w:szCs w:val="28"/>
    </w:rPr>
  </w:style>
  <w:style w:type="character" w:styleId="Siln">
    <w:name w:val="Strong"/>
    <w:uiPriority w:val="22"/>
    <w:qFormat/>
    <w:rsid w:val="00410DD5"/>
    <w:rPr>
      <w:b/>
      <w:bCs/>
    </w:rPr>
  </w:style>
  <w:style w:type="paragraph" w:styleId="Textbubliny">
    <w:name w:val="Balloon Text"/>
    <w:basedOn w:val="Normln"/>
    <w:link w:val="TextbublinyChar"/>
    <w:uiPriority w:val="99"/>
    <w:semiHidden/>
    <w:unhideWhenUsed/>
    <w:rsid w:val="003F0A41"/>
    <w:pPr>
      <w:spacing w:before="0" w:after="0"/>
    </w:pPr>
    <w:rPr>
      <w:rFonts w:ascii="Segoe UI" w:hAnsi="Segoe UI" w:cs="Segoe UI"/>
      <w:sz w:val="18"/>
      <w:szCs w:val="18"/>
    </w:rPr>
  </w:style>
  <w:style w:type="character" w:customStyle="1" w:styleId="TextbublinyChar">
    <w:name w:val="Text bubliny Char"/>
    <w:link w:val="Textbubliny"/>
    <w:uiPriority w:val="99"/>
    <w:semiHidden/>
    <w:rsid w:val="003F0A41"/>
    <w:rPr>
      <w:rFonts w:ascii="Segoe UI" w:hAnsi="Segoe UI" w:cs="Segoe UI"/>
      <w:sz w:val="18"/>
      <w:szCs w:val="18"/>
    </w:rPr>
  </w:style>
  <w:style w:type="paragraph" w:styleId="Revize">
    <w:name w:val="Revision"/>
    <w:hidden/>
    <w:uiPriority w:val="99"/>
    <w:semiHidden/>
    <w:rsid w:val="00F7195E"/>
    <w:rPr>
      <w:rFonts w:ascii="Trebuchet MS" w:hAnsi="Trebuchet M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8209">
      <w:bodyDiv w:val="1"/>
      <w:marLeft w:val="0"/>
      <w:marRight w:val="0"/>
      <w:marTop w:val="0"/>
      <w:marBottom w:val="0"/>
      <w:divBdr>
        <w:top w:val="none" w:sz="0" w:space="0" w:color="auto"/>
        <w:left w:val="none" w:sz="0" w:space="0" w:color="auto"/>
        <w:bottom w:val="none" w:sz="0" w:space="0" w:color="auto"/>
        <w:right w:val="none" w:sz="0" w:space="0" w:color="auto"/>
      </w:divBdr>
    </w:div>
    <w:div w:id="204408887">
      <w:bodyDiv w:val="1"/>
      <w:marLeft w:val="0"/>
      <w:marRight w:val="0"/>
      <w:marTop w:val="0"/>
      <w:marBottom w:val="0"/>
      <w:divBdr>
        <w:top w:val="none" w:sz="0" w:space="0" w:color="auto"/>
        <w:left w:val="none" w:sz="0" w:space="0" w:color="auto"/>
        <w:bottom w:val="none" w:sz="0" w:space="0" w:color="auto"/>
        <w:right w:val="none" w:sz="0" w:space="0" w:color="auto"/>
      </w:divBdr>
    </w:div>
    <w:div w:id="1199508256">
      <w:bodyDiv w:val="1"/>
      <w:marLeft w:val="0"/>
      <w:marRight w:val="0"/>
      <w:marTop w:val="0"/>
      <w:marBottom w:val="0"/>
      <w:divBdr>
        <w:top w:val="none" w:sz="0" w:space="0" w:color="auto"/>
        <w:left w:val="none" w:sz="0" w:space="0" w:color="auto"/>
        <w:bottom w:val="none" w:sz="0" w:space="0" w:color="auto"/>
        <w:right w:val="none" w:sz="0" w:space="0" w:color="auto"/>
      </w:divBdr>
    </w:div>
    <w:div w:id="1402215780">
      <w:bodyDiv w:val="1"/>
      <w:marLeft w:val="0"/>
      <w:marRight w:val="0"/>
      <w:marTop w:val="0"/>
      <w:marBottom w:val="0"/>
      <w:divBdr>
        <w:top w:val="none" w:sz="0" w:space="0" w:color="auto"/>
        <w:left w:val="none" w:sz="0" w:space="0" w:color="auto"/>
        <w:bottom w:val="none" w:sz="0" w:space="0" w:color="auto"/>
        <w:right w:val="none" w:sz="0" w:space="0" w:color="auto"/>
      </w:divBdr>
      <w:divsChild>
        <w:div w:id="2056849587">
          <w:marLeft w:val="300"/>
          <w:marRight w:val="300"/>
          <w:marTop w:val="0"/>
          <w:marBottom w:val="0"/>
          <w:divBdr>
            <w:top w:val="none" w:sz="0" w:space="0" w:color="auto"/>
            <w:left w:val="none" w:sz="0" w:space="0" w:color="auto"/>
            <w:bottom w:val="none" w:sz="0" w:space="0" w:color="auto"/>
            <w:right w:val="none" w:sz="0" w:space="0" w:color="auto"/>
          </w:divBdr>
          <w:divsChild>
            <w:div w:id="2029672961">
              <w:marLeft w:val="0"/>
              <w:marRight w:val="0"/>
              <w:marTop w:val="0"/>
              <w:marBottom w:val="0"/>
              <w:divBdr>
                <w:top w:val="none" w:sz="0" w:space="0" w:color="auto"/>
                <w:left w:val="none" w:sz="0" w:space="0" w:color="auto"/>
                <w:bottom w:val="none" w:sz="0" w:space="0" w:color="auto"/>
                <w:right w:val="none" w:sz="0" w:space="0" w:color="auto"/>
              </w:divBdr>
              <w:divsChild>
                <w:div w:id="405610281">
                  <w:marLeft w:val="0"/>
                  <w:marRight w:val="0"/>
                  <w:marTop w:val="0"/>
                  <w:marBottom w:val="0"/>
                  <w:divBdr>
                    <w:top w:val="none" w:sz="0" w:space="0" w:color="auto"/>
                    <w:left w:val="none" w:sz="0" w:space="0" w:color="auto"/>
                    <w:bottom w:val="none" w:sz="0" w:space="0" w:color="auto"/>
                    <w:right w:val="none" w:sz="0" w:space="0" w:color="auto"/>
                  </w:divBdr>
                  <w:divsChild>
                    <w:div w:id="1978483914">
                      <w:marLeft w:val="2400"/>
                      <w:marRight w:val="0"/>
                      <w:marTop w:val="0"/>
                      <w:marBottom w:val="0"/>
                      <w:divBdr>
                        <w:top w:val="none" w:sz="0" w:space="0" w:color="auto"/>
                        <w:left w:val="none" w:sz="0" w:space="0" w:color="auto"/>
                        <w:bottom w:val="none" w:sz="0" w:space="0" w:color="auto"/>
                        <w:right w:val="none" w:sz="0" w:space="0" w:color="auto"/>
                      </w:divBdr>
                      <w:divsChild>
                        <w:div w:id="1710107494">
                          <w:marLeft w:val="0"/>
                          <w:marRight w:val="0"/>
                          <w:marTop w:val="120"/>
                          <w:marBottom w:val="0"/>
                          <w:divBdr>
                            <w:top w:val="none" w:sz="0" w:space="0" w:color="auto"/>
                            <w:left w:val="none" w:sz="0" w:space="0" w:color="auto"/>
                            <w:bottom w:val="none" w:sz="0" w:space="0" w:color="auto"/>
                            <w:right w:val="none" w:sz="0" w:space="0" w:color="auto"/>
                          </w:divBdr>
                          <w:divsChild>
                            <w:div w:id="9228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88332">
      <w:bodyDiv w:val="1"/>
      <w:marLeft w:val="0"/>
      <w:marRight w:val="0"/>
      <w:marTop w:val="0"/>
      <w:marBottom w:val="0"/>
      <w:divBdr>
        <w:top w:val="none" w:sz="0" w:space="0" w:color="auto"/>
        <w:left w:val="none" w:sz="0" w:space="0" w:color="auto"/>
        <w:bottom w:val="none" w:sz="0" w:space="0" w:color="auto"/>
        <w:right w:val="none" w:sz="0" w:space="0" w:color="auto"/>
      </w:divBdr>
    </w:div>
    <w:div w:id="1746685057">
      <w:bodyDiv w:val="1"/>
      <w:marLeft w:val="0"/>
      <w:marRight w:val="0"/>
      <w:marTop w:val="0"/>
      <w:marBottom w:val="0"/>
      <w:divBdr>
        <w:top w:val="none" w:sz="0" w:space="0" w:color="auto"/>
        <w:left w:val="none" w:sz="0" w:space="0" w:color="auto"/>
        <w:bottom w:val="none" w:sz="0" w:space="0" w:color="auto"/>
        <w:right w:val="none" w:sz="0" w:space="0" w:color="auto"/>
      </w:divBdr>
    </w:div>
    <w:div w:id="2003001668">
      <w:bodyDiv w:val="1"/>
      <w:marLeft w:val="0"/>
      <w:marRight w:val="0"/>
      <w:marTop w:val="0"/>
      <w:marBottom w:val="0"/>
      <w:divBdr>
        <w:top w:val="none" w:sz="0" w:space="0" w:color="auto"/>
        <w:left w:val="none" w:sz="0" w:space="0" w:color="auto"/>
        <w:bottom w:val="none" w:sz="0" w:space="0" w:color="auto"/>
        <w:right w:val="none" w:sz="0" w:space="0" w:color="auto"/>
      </w:divBdr>
    </w:div>
    <w:div w:id="2073192484">
      <w:bodyDiv w:val="1"/>
      <w:marLeft w:val="0"/>
      <w:marRight w:val="0"/>
      <w:marTop w:val="0"/>
      <w:marBottom w:val="0"/>
      <w:divBdr>
        <w:top w:val="none" w:sz="0" w:space="0" w:color="auto"/>
        <w:left w:val="none" w:sz="0" w:space="0" w:color="auto"/>
        <w:bottom w:val="none" w:sz="0" w:space="0" w:color="auto"/>
        <w:right w:val="none" w:sz="0" w:space="0" w:color="auto"/>
      </w:divBdr>
      <w:divsChild>
        <w:div w:id="409733584">
          <w:marLeft w:val="0"/>
          <w:marRight w:val="0"/>
          <w:marTop w:val="0"/>
          <w:marBottom w:val="0"/>
          <w:divBdr>
            <w:top w:val="none" w:sz="0" w:space="0" w:color="auto"/>
            <w:left w:val="none" w:sz="0" w:space="0" w:color="auto"/>
            <w:bottom w:val="none" w:sz="0" w:space="0" w:color="auto"/>
            <w:right w:val="none" w:sz="0" w:space="0" w:color="auto"/>
          </w:divBdr>
          <w:divsChild>
            <w:div w:id="9036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0\Data\%23%23%23%20Vzory%20a%20&#353;ablony%20%23%23%23\!!!%20Dokument%20!!!.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E6F6-A757-4A5E-AF4B-4CB9D139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Dokument !!!</Template>
  <TotalTime>0</TotalTime>
  <Pages>11</Pages>
  <Words>3701</Words>
  <Characters>21838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1</vt:lpstr>
    </vt:vector>
  </TitlesOfParts>
  <Company>Projektová a rozvojová agentura, a.s.</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Tomáš Pápol</dc:creator>
  <cp:keywords/>
  <cp:lastModifiedBy>Jarmila Lopušníková</cp:lastModifiedBy>
  <cp:revision>2</cp:revision>
  <cp:lastPrinted>2024-04-05T09:23:00Z</cp:lastPrinted>
  <dcterms:created xsi:type="dcterms:W3CDTF">2025-08-19T12:09:00Z</dcterms:created>
  <dcterms:modified xsi:type="dcterms:W3CDTF">2025-08-19T12:09:00Z</dcterms:modified>
</cp:coreProperties>
</file>