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ČESTNÉ PROHLÁŠENÍ K FINANČNÍM SANKCÍM</w:t>
      </w:r>
    </w:p>
    <w:p>
      <w:pPr>
        <w:pStyle w:val="Style2"/>
        <w:keepNext w:val="0"/>
        <w:keepLines w:val="0"/>
        <w:widowControl w:val="0"/>
        <w:shd w:val="clear" w:color="auto" w:fill="auto"/>
        <w:tabs>
          <w:tab w:pos="2117"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tab/>
      </w:r>
      <w:r>
        <w:rPr>
          <w:b/>
          <w:bCs/>
          <w:color w:val="000000"/>
          <w:spacing w:val="0"/>
          <w:w w:val="100"/>
          <w:position w:val="0"/>
          <w:sz w:val="24"/>
          <w:szCs w:val="24"/>
          <w:shd w:val="clear" w:color="auto" w:fill="auto"/>
          <w:lang w:val="cs-CZ" w:eastAsia="cs-CZ" w:bidi="cs-CZ"/>
        </w:rPr>
        <w:t>PD Žatec - Vstupy do administrativní budovy</w:t>
      </w:r>
    </w:p>
    <w:p>
      <w:pPr>
        <w:pStyle w:val="Style2"/>
        <w:keepNext w:val="0"/>
        <w:keepLines w:val="0"/>
        <w:widowControl w:val="0"/>
        <w:shd w:val="clear" w:color="auto" w:fill="auto"/>
        <w:tabs>
          <w:tab w:pos="2117"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2"/>
        <w:keepNext w:val="0"/>
        <w:keepLines w:val="0"/>
        <w:widowControl w:val="0"/>
        <w:shd w:val="clear" w:color="auto" w:fill="auto"/>
        <w:bidi w:val="0"/>
        <w:spacing w:before="0" w:after="200" w:line="218"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 výše uvedené veřejné zakázky:</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BOHEMIA PLAST GROUP s.r.o., IČO: 24725447 </w:t>
      </w:r>
      <w:r>
        <w:rPr>
          <w:color w:val="000000"/>
          <w:spacing w:val="0"/>
          <w:w w:val="100"/>
          <w:position w:val="0"/>
          <w:shd w:val="clear" w:color="auto" w:fill="auto"/>
          <w:lang w:val="cs-CZ" w:eastAsia="cs-CZ" w:bidi="cs-CZ"/>
        </w:rPr>
        <w:t>jednající prostřednictvím</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(dále jen „zhotovitel“),</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Zhotovitel čestně prohlašuje, že</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0" w:name="bookmark0"/>
      <w:bookmarkEnd w:id="0"/>
      <w:r>
        <w:rPr>
          <w:color w:val="000000"/>
          <w:spacing w:val="0"/>
          <w:w w:val="100"/>
          <w:position w:val="0"/>
          <w:shd w:val="clear" w:color="auto" w:fill="auto"/>
          <w:lang w:val="cs-CZ" w:eastAsia="cs-CZ" w:bidi="cs-CZ"/>
        </w:rPr>
        <w:t>proti němu, jeho přímým či nepřímým vlastníkům, ani jeho podzhotovitelům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 w:name="bookmark1"/>
      <w:bookmarkEnd w:id="1"/>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2" w:name="bookmark2"/>
      <w:bookmarkEnd w:id="2"/>
      <w:r>
        <w:rPr>
          <w:color w:val="000000"/>
          <w:spacing w:val="0"/>
          <w:w w:val="100"/>
          <w:position w:val="0"/>
          <w:shd w:val="clear" w:color="auto" w:fill="auto"/>
          <w:lang w:val="cs-CZ" w:eastAsia="cs-CZ" w:bidi="cs-CZ"/>
        </w:rPr>
        <w:t>jiné aplikovatelné sankce platné v České republice nebo zemi sídla zhotovitele, kterými je sledován stejný účel jako těmi ze Základních nařízení;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3" w:name="bookmark3"/>
      <w:bookmarkEnd w:id="3"/>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4" w:name="bookmark4"/>
      <w:bookmarkEnd w:id="4"/>
      <w:r>
        <w:rPr>
          <w:color w:val="000000"/>
          <w:spacing w:val="0"/>
          <w:w w:val="100"/>
          <w:position w:val="0"/>
          <w:shd w:val="clear" w:color="auto" w:fill="auto"/>
          <w:lang w:val="cs-CZ" w:eastAsia="cs-CZ" w:bidi="cs-CZ"/>
        </w:rPr>
        <w:t>k jejímu plnění nevyužije podzhotovitele, na nějž byly takové sankce uvaleny, a to ať už se budou týkat přímo osoby podzhotovitele nebo jeho přímých nebo nepřímých vlastníků, a</w:t>
      </w:r>
    </w:p>
    <w:p>
      <w:pPr>
        <w:pStyle w:val="Style2"/>
        <w:keepNext w:val="0"/>
        <w:keepLines w:val="0"/>
        <w:widowControl w:val="0"/>
        <w:numPr>
          <w:ilvl w:val="0"/>
          <w:numId w:val="5"/>
        </w:numPr>
        <w:shd w:val="clear" w:color="auto" w:fill="auto"/>
        <w:tabs>
          <w:tab w:pos="354" w:val="left"/>
        </w:tabs>
        <w:bidi w:val="0"/>
        <w:spacing w:before="0" w:line="240" w:lineRule="auto"/>
        <w:ind w:left="300" w:right="0" w:hanging="300"/>
        <w:jc w:val="both"/>
      </w:pPr>
      <w:bookmarkStart w:id="5" w:name="bookmark5"/>
      <w:bookmarkEnd w:id="5"/>
      <w:r>
        <w:rPr>
          <w:color w:val="000000"/>
          <w:spacing w:val="0"/>
          <w:w w:val="100"/>
          <w:position w:val="0"/>
          <w:shd w:val="clear" w:color="auto" w:fill="auto"/>
          <w:lang w:val="cs-CZ" w:eastAsia="cs-CZ" w:bidi="cs-CZ"/>
        </w:rPr>
        <w:t>v případě uvalení sankcí na kteréhokoliv svého podzhotovitele nebo jeho přímého nebo nepřímého vlastníka v průběhu jeho poskytování plnění veřejné zakázky takového podzhotovitele bez zbytečného odkladu nahradí v souladu se zněním smlouvy na veřejnou zakázku.</w:t>
      </w:r>
    </w:p>
    <w:p>
      <w:pPr>
        <w:pStyle w:val="Style2"/>
        <w:keepNext w:val="0"/>
        <w:keepLines w:val="0"/>
        <w:widowControl w:val="0"/>
        <w:shd w:val="clear" w:color="auto" w:fill="auto"/>
        <w:bidi w:val="0"/>
        <w:spacing w:before="0" w:after="440" w:line="240" w:lineRule="auto"/>
        <w:ind w:left="0" w:right="0" w:firstLine="0"/>
        <w:jc w:val="both"/>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2"/>
        <w:keepNext w:val="0"/>
        <w:keepLines w:val="0"/>
        <w:widowControl w:val="0"/>
        <w:shd w:val="clear" w:color="auto" w:fill="auto"/>
        <w:bidi w:val="0"/>
        <w:spacing w:before="0" w:after="0" w:line="240" w:lineRule="auto"/>
        <w:ind w:left="0" w:right="0" w:firstLine="0"/>
        <w:jc w:val="both"/>
        <w:sectPr>
          <w:footerReference w:type="default" r:id="rId5"/>
          <w:footnotePr>
            <w:pos w:val="pageBottom"/>
            <w:numFmt w:val="decimal"/>
            <w:numRestart w:val="continuous"/>
          </w:footnotePr>
          <w:pgSz w:w="11909" w:h="16838"/>
          <w:pgMar w:top="1104" w:left="1111" w:right="1101" w:bottom="2517" w:header="676" w:footer="3" w:gutter="0"/>
          <w:pgNumType w:start="1"/>
          <w:cols w:space="720"/>
          <w:noEndnote/>
          <w:rtlGutter w:val="0"/>
          <w:docGrid w:linePitch="360"/>
        </w:sectPr>
      </w:pPr>
      <w:r>
        <mc:AlternateContent>
          <mc:Choice Requires="wps">
            <w:drawing>
              <wp:anchor distT="0" distB="0" distL="114300" distR="114300" simplePos="0" relativeHeight="125829378" behindDoc="0" locked="0" layoutInCell="1" allowOverlap="1">
                <wp:simplePos x="0" y="0"/>
                <wp:positionH relativeFrom="page">
                  <wp:posOffset>3850640</wp:posOffset>
                </wp:positionH>
                <wp:positionV relativeFrom="paragraph">
                  <wp:posOffset>12700</wp:posOffset>
                </wp:positionV>
                <wp:extent cx="1222375" cy="228600"/>
                <wp:wrapSquare wrapText="left"/>
                <wp:docPr id="3" name="Shape 3"/>
                <a:graphic xmlns:a="http://schemas.openxmlformats.org/drawingml/2006/main">
                  <a:graphicData uri="http://schemas.microsoft.com/office/word/2010/wordprocessingShape">
                    <wps:wsp>
                      <wps:cNvSpPr txBox="1"/>
                      <wps:spPr>
                        <a:xfrm>
                          <a:ext cx="1222375"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Digitálně podepsal:</w:t>
                            </w:r>
                          </w:p>
                        </w:txbxContent>
                      </wps:txbx>
                      <wps:bodyPr wrap="none" lIns="0" tIns="0" rIns="0" bIns="0">
                        <a:noAutoFit/>
                      </wps:bodyPr>
                    </wps:wsp>
                  </a:graphicData>
                </a:graphic>
              </wp:anchor>
            </w:drawing>
          </mc:Choice>
          <mc:Fallback>
            <w:pict>
              <v:shape id="_x0000_s1029" type="#_x0000_t202" style="position:absolute;margin-left:303.19999999999999pt;margin-top:1.pt;width:96.25pt;height:18.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Digitálně podepsal:</w:t>
                      </w:r>
                    </w:p>
                  </w:txbxContent>
                </v:textbox>
                <w10:wrap type="square" side="left" anchorx="page"/>
              </v:shape>
            </w:pict>
          </mc:Fallback>
        </mc:AlternateContent>
      </w:r>
      <w:r>
        <w:rPr>
          <w:color w:val="000000"/>
          <w:spacing w:val="0"/>
          <w:w w:val="100"/>
          <w:position w:val="0"/>
          <w:shd w:val="clear" w:color="auto" w:fill="auto"/>
          <w:lang w:val="cs-CZ" w:eastAsia="cs-CZ" w:bidi="cs-CZ"/>
        </w:rPr>
        <w:t>Digitálně podepsal:</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4" w:after="10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04" w:left="0" w:right="0" w:bottom="1291"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04" w:left="1111" w:right="3146" w:bottom="1291" w:header="0" w:footer="3" w:gutter="0"/>
          <w:cols w:num="2" w:space="2256"/>
          <w:noEndnote/>
          <w:rtlGutter w:val="0"/>
          <w:docGrid w:linePitch="360"/>
        </w:sectPr>
      </w:pPr>
      <w:r>
        <w:rPr>
          <w:color w:val="000000"/>
          <w:spacing w:val="0"/>
          <w:w w:val="100"/>
          <w:position w:val="0"/>
          <w:shd w:val="clear" w:color="auto" w:fill="auto"/>
          <w:lang w:val="cs-CZ" w:eastAsia="cs-CZ" w:bidi="cs-CZ"/>
        </w:rPr>
        <w:t>………………………………</w:t>
      </w:r>
    </w:p>
    <w:sectPr>
      <w:footnotePr>
        <w:pos w:val="pageBottom"/>
        <w:numFmt w:val="decimal"/>
        <w:numRestart w:val="continuous"/>
      </w:footnotePr>
      <w:type w:val="continuous"/>
      <w:pgSz w:w="11909" w:h="16838"/>
      <w:pgMar w:top="1104" w:left="1111" w:right="3146" w:bottom="1291" w:header="0" w:footer="3" w:gutter="0"/>
      <w:cols w:num="2" w:space="2256"/>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6.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28"/>
      <w:szCs w:val="28"/>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200"/>
    </w:pPr>
    <w:rPr>
      <w:rFonts w:ascii="Arial" w:eastAsia="Arial" w:hAnsi="Arial" w:cs="Arial"/>
      <w:b/>
      <w:bCs/>
      <w:i w:val="0"/>
      <w:iCs w:val="0"/>
      <w:smallCaps w:val="0"/>
      <w:strike w:val="0"/>
      <w:sz w:val="28"/>
      <w:szCs w:val="28"/>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