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EA88" w14:textId="77777777" w:rsidR="00F53E39" w:rsidRDefault="00F53E39">
      <w:pPr>
        <w:spacing w:line="1" w:lineRule="exact"/>
      </w:pPr>
    </w:p>
    <w:p w14:paraId="352A693B" w14:textId="77777777" w:rsidR="00F53E39" w:rsidRDefault="00000000">
      <w:pPr>
        <w:pStyle w:val="Zhlavnebozpat0"/>
        <w:framePr w:wrap="none" w:vAnchor="page" w:hAnchor="page" w:x="9527" w:y="683"/>
      </w:pPr>
      <w:r>
        <w:t>NS_1745/MO1</w:t>
      </w:r>
    </w:p>
    <w:p w14:paraId="3713BFCC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260"/>
        <w:jc w:val="both"/>
      </w:pPr>
      <w:r>
        <w:t>Níže uvedeného dne, měsíce a roku uzavřely osoby dle svého vlastního prohlášení svéprávné k právním jednáním</w:t>
      </w:r>
    </w:p>
    <w:p w14:paraId="0BB1B3E7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0" w:line="286" w:lineRule="auto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statutární město Pardubice, </w:t>
      </w:r>
      <w:r>
        <w:t>se sídlem v Pardubicích, Pernštýnské nám. 1, PSČ 530 21</w:t>
      </w:r>
    </w:p>
    <w:p w14:paraId="3B4F60A3" w14:textId="77777777" w:rsidR="00F53E39" w:rsidRDefault="00000000">
      <w:pPr>
        <w:pStyle w:val="Zkladntext90"/>
        <w:framePr w:w="9806" w:h="4608" w:hRule="exact" w:wrap="none" w:vAnchor="page" w:hAnchor="page" w:x="1074" w:y="1413"/>
        <w:spacing w:after="0" w:line="286" w:lineRule="auto"/>
      </w:pPr>
      <w:r>
        <w:t>IČO: 002 74 046</w:t>
      </w:r>
    </w:p>
    <w:p w14:paraId="6F3B1E23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0" w:line="286" w:lineRule="auto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či. 12 směrnice č. 11/2024 Organizační řád v platném znění</w:t>
      </w:r>
    </w:p>
    <w:p w14:paraId="4A000526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260" w:line="286" w:lineRule="auto"/>
        <w:jc w:val="both"/>
      </w:pPr>
      <w:r>
        <w:rPr>
          <w:i/>
          <w:iCs/>
        </w:rPr>
        <w:t>(dále jen pronajímatel)</w:t>
      </w:r>
    </w:p>
    <w:p w14:paraId="7DD253F3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260" w:line="283" w:lineRule="auto"/>
      </w:pPr>
      <w:r>
        <w:t>a</w:t>
      </w:r>
    </w:p>
    <w:p w14:paraId="08EB869E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0"/>
      </w:pPr>
      <w:r>
        <w:rPr>
          <w:rFonts w:ascii="Arial" w:eastAsia="Arial" w:hAnsi="Arial" w:cs="Arial"/>
          <w:b/>
          <w:bCs/>
          <w:sz w:val="20"/>
          <w:szCs w:val="20"/>
          <w:lang w:val="en-US" w:eastAsia="en-US" w:bidi="en-US"/>
        </w:rPr>
        <w:t xml:space="preserve">REDSTONE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HOUSE s.r.o., </w:t>
      </w:r>
      <w:r>
        <w:t>se sídlem v Olomouci, tř. Kosmonautů 1221/2a, PSČ 779 00</w:t>
      </w:r>
    </w:p>
    <w:p w14:paraId="4E982042" w14:textId="77777777" w:rsidR="00F53E39" w:rsidRDefault="00000000">
      <w:pPr>
        <w:pStyle w:val="Zkladntext90"/>
        <w:framePr w:w="9806" w:h="4608" w:hRule="exact" w:wrap="none" w:vAnchor="page" w:hAnchor="page" w:x="1074" w:y="1413"/>
        <w:spacing w:after="0"/>
      </w:pPr>
      <w:r>
        <w:t>IČO: 074 36 394</w:t>
      </w:r>
    </w:p>
    <w:p w14:paraId="3D1A5B0B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0"/>
      </w:pPr>
      <w:r>
        <w:t>zastoupená Richardem Morávkem, jednatelem a Ing. Pavlem Nádvorníkem, jednatelem</w:t>
      </w:r>
    </w:p>
    <w:p w14:paraId="37239162" w14:textId="77777777" w:rsidR="00F53E39" w:rsidRDefault="00000000">
      <w:pPr>
        <w:pStyle w:val="Zkladntext1"/>
        <w:framePr w:w="9806" w:h="4608" w:hRule="exact" w:wrap="none" w:vAnchor="page" w:hAnchor="page" w:x="1074" w:y="1413"/>
        <w:spacing w:after="0"/>
      </w:pPr>
      <w:r>
        <w:t xml:space="preserve">zapsaná v obchodním rejstříku vedeném u Krajského soudu v Ostravě, oddíl C, vložka 75778 </w:t>
      </w:r>
      <w:r>
        <w:rPr>
          <w:i/>
          <w:iCs/>
        </w:rPr>
        <w:t xml:space="preserve">(dále jen </w:t>
      </w:r>
      <w:r>
        <w:rPr>
          <w:b/>
          <w:bCs/>
          <w:i/>
          <w:iCs/>
        </w:rPr>
        <w:t>nájemce)</w:t>
      </w:r>
    </w:p>
    <w:p w14:paraId="6A8D3504" w14:textId="77777777" w:rsidR="00F53E39" w:rsidRDefault="00000000">
      <w:pPr>
        <w:pStyle w:val="Nadpis10"/>
        <w:framePr w:w="9806" w:h="8760" w:hRule="exact" w:wrap="none" w:vAnchor="page" w:hAnchor="page" w:x="1074" w:y="6837"/>
        <w:spacing w:after="40"/>
        <w:jc w:val="center"/>
        <w:rPr>
          <w:sz w:val="28"/>
          <w:szCs w:val="28"/>
        </w:rPr>
      </w:pPr>
      <w:bookmarkStart w:id="0" w:name="bookmark0"/>
      <w:r>
        <w:rPr>
          <w:rFonts w:ascii="Arial" w:eastAsia="Arial" w:hAnsi="Arial" w:cs="Arial"/>
          <w:b/>
          <w:bCs/>
          <w:i w:val="0"/>
          <w:iCs w:val="0"/>
          <w:color w:val="000000"/>
          <w:sz w:val="28"/>
          <w:szCs w:val="28"/>
        </w:rPr>
        <w:t>dodatek č. 4</w:t>
      </w:r>
      <w:bookmarkEnd w:id="0"/>
    </w:p>
    <w:p w14:paraId="4637C12E" w14:textId="77777777" w:rsidR="00F53E39" w:rsidRDefault="00000000">
      <w:pPr>
        <w:pStyle w:val="Zkladntext90"/>
        <w:framePr w:w="9806" w:h="8760" w:hRule="exact" w:wrap="none" w:vAnchor="page" w:hAnchor="page" w:x="1074" w:y="6837"/>
        <w:spacing w:after="260" w:line="286" w:lineRule="auto"/>
        <w:jc w:val="center"/>
      </w:pPr>
      <w:r>
        <w:t>k nájemní smlouvě ze dne 23.12.2021 ve znění dodatků č.1-3</w:t>
      </w:r>
    </w:p>
    <w:p w14:paraId="63FADCAC" w14:textId="77777777" w:rsidR="00F53E39" w:rsidRDefault="00000000">
      <w:pPr>
        <w:pStyle w:val="Zkladntext1"/>
        <w:framePr w:w="9806" w:h="8760" w:hRule="exact" w:wrap="none" w:vAnchor="page" w:hAnchor="page" w:x="1074" w:y="6837"/>
        <w:spacing w:after="260" w:line="286" w:lineRule="auto"/>
        <w:ind w:firstLine="300"/>
        <w:jc w:val="both"/>
      </w:pPr>
      <w:r>
        <w:t>v souladu s ustanovením § 2201 a násl. zákona č. 89/2012 Sb., občanský zákoník v platném znění</w:t>
      </w:r>
    </w:p>
    <w:p w14:paraId="29F09FF5" w14:textId="77777777" w:rsidR="00F53E39" w:rsidRDefault="00F53E39">
      <w:pPr>
        <w:pStyle w:val="Nadpis30"/>
        <w:framePr w:w="9806" w:h="8760" w:hRule="exact" w:wrap="none" w:vAnchor="page" w:hAnchor="page" w:x="1074" w:y="6837"/>
        <w:numPr>
          <w:ilvl w:val="0"/>
          <w:numId w:val="1"/>
        </w:numPr>
        <w:spacing w:after="0" w:line="283" w:lineRule="auto"/>
        <w:jc w:val="center"/>
        <w:rPr>
          <w:sz w:val="20"/>
          <w:szCs w:val="20"/>
        </w:rPr>
      </w:pPr>
    </w:p>
    <w:p w14:paraId="0F353BF2" w14:textId="73257596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2"/>
        </w:numPr>
        <w:tabs>
          <w:tab w:val="left" w:pos="387"/>
        </w:tabs>
        <w:spacing w:after="260" w:line="283" w:lineRule="auto"/>
        <w:ind w:left="360" w:hanging="360"/>
        <w:jc w:val="both"/>
      </w:pPr>
      <w:r>
        <w:t xml:space="preserve">Pronajímatel a nájemce spolu dne 23.12.2021 uzavřeli nájemní smlouvu, ve znění dodatků č. 1-3, jejímž předmětem je nájem pozemků definovaných v článku II. odst.1. této smlouvy za účelem umístění staveniště, oplocení, stavebních objektů </w:t>
      </w:r>
      <w:r>
        <w:rPr>
          <w:lang w:val="en-US" w:eastAsia="en-US" w:bidi="en-US"/>
        </w:rPr>
        <w:t xml:space="preserve">SO </w:t>
      </w:r>
      <w:r>
        <w:t xml:space="preserve">102 lávka od parku, </w:t>
      </w:r>
      <w:r>
        <w:rPr>
          <w:lang w:val="en-US" w:eastAsia="en-US" w:bidi="en-US"/>
        </w:rPr>
        <w:t xml:space="preserve">SO </w:t>
      </w:r>
      <w:r>
        <w:t xml:space="preserve">114 záliv pro bus a taxi, </w:t>
      </w:r>
      <w:r>
        <w:rPr>
          <w:lang w:val="en-US" w:eastAsia="en-US" w:bidi="en-US"/>
        </w:rPr>
        <w:t xml:space="preserve">SO </w:t>
      </w:r>
      <w:r>
        <w:t xml:space="preserve">100 Galerie Pardubice, </w:t>
      </w:r>
      <w:r>
        <w:rPr>
          <w:lang w:val="en-US" w:eastAsia="en-US" w:bidi="en-US"/>
        </w:rPr>
        <w:t xml:space="preserve">SO </w:t>
      </w:r>
      <w:r>
        <w:t xml:space="preserve">99 - 273 ks kotev pažení stavebních jam v rámci realizace stavby „Galerie Pardubice“ (dále jenom </w:t>
      </w:r>
      <w:r>
        <w:rPr>
          <w:i/>
          <w:iCs/>
        </w:rPr>
        <w:t>„</w:t>
      </w:r>
      <w:r w:rsidR="00B8262D">
        <w:rPr>
          <w:i/>
          <w:iCs/>
        </w:rPr>
        <w:t>nájemní smlouva</w:t>
      </w:r>
      <w:r>
        <w:rPr>
          <w:i/>
          <w:iCs/>
        </w:rPr>
        <w:t>“).</w:t>
      </w:r>
    </w:p>
    <w:p w14:paraId="08496066" w14:textId="77777777" w:rsidR="00F53E39" w:rsidRDefault="00F53E39">
      <w:pPr>
        <w:pStyle w:val="Nadpis30"/>
        <w:framePr w:w="9806" w:h="8760" w:hRule="exact" w:wrap="none" w:vAnchor="page" w:hAnchor="page" w:x="1074" w:y="6837"/>
        <w:numPr>
          <w:ilvl w:val="0"/>
          <w:numId w:val="1"/>
        </w:numPr>
        <w:spacing w:after="0" w:line="283" w:lineRule="auto"/>
        <w:jc w:val="center"/>
        <w:rPr>
          <w:sz w:val="20"/>
          <w:szCs w:val="20"/>
        </w:rPr>
      </w:pPr>
    </w:p>
    <w:p w14:paraId="0203E65A" w14:textId="77777777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3"/>
        </w:numPr>
        <w:tabs>
          <w:tab w:val="left" w:pos="387"/>
        </w:tabs>
        <w:spacing w:after="0" w:line="283" w:lineRule="auto"/>
        <w:jc w:val="both"/>
      </w:pPr>
      <w:r>
        <w:t>Pronajímatel a nájemce se dohodli na níže uvedených změnách nájemní smlouvy:</w:t>
      </w:r>
    </w:p>
    <w:p w14:paraId="6AA8AE22" w14:textId="77777777" w:rsidR="00F53E39" w:rsidRDefault="00000000">
      <w:pPr>
        <w:pStyle w:val="Zkladntext1"/>
        <w:framePr w:w="9806" w:h="8760" w:hRule="exact" w:wrap="none" w:vAnchor="page" w:hAnchor="page" w:x="1074" w:y="6837"/>
        <w:spacing w:after="0" w:line="283" w:lineRule="auto"/>
        <w:ind w:left="780" w:hanging="340"/>
        <w:jc w:val="both"/>
      </w:pPr>
      <w:r>
        <w:t xml:space="preserve">- účel nájmu se rozšiřuje o stavbu lávky v rámci akce „Galerie </w:t>
      </w:r>
      <w:proofErr w:type="spellStart"/>
      <w:r>
        <w:t>Pernerka</w:t>
      </w:r>
      <w:proofErr w:type="spellEnd"/>
      <w:r>
        <w:t xml:space="preserve"> - lávka“ na částech pozemků označených jako </w:t>
      </w:r>
      <w:proofErr w:type="spellStart"/>
      <w:r>
        <w:t>p.p.č</w:t>
      </w:r>
      <w:proofErr w:type="spellEnd"/>
      <w:r>
        <w:t xml:space="preserve">. 1749/6 o výměře 52 m2 a </w:t>
      </w:r>
      <w:proofErr w:type="spellStart"/>
      <w:r>
        <w:t>p.p.č</w:t>
      </w:r>
      <w:proofErr w:type="spellEnd"/>
      <w:r>
        <w:t xml:space="preserve">. 2075/8 o výměře 11 m2, vše v </w:t>
      </w:r>
      <w:proofErr w:type="spellStart"/>
      <w:r>
        <w:t>k.ú</w:t>
      </w:r>
      <w:proofErr w:type="spellEnd"/>
      <w:r>
        <w:t>. Pardubice, a to dle zákresu, který je přílohou tohoto dodatku.</w:t>
      </w:r>
    </w:p>
    <w:p w14:paraId="642D4B55" w14:textId="77777777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3"/>
        </w:numPr>
        <w:tabs>
          <w:tab w:val="left" w:pos="387"/>
        </w:tabs>
        <w:spacing w:after="260" w:line="283" w:lineRule="auto"/>
        <w:jc w:val="both"/>
      </w:pPr>
      <w:r>
        <w:t>Ostatní ustanovení nájemní smlouvy zůstávají nezměněna.</w:t>
      </w:r>
    </w:p>
    <w:p w14:paraId="38AFEBD3" w14:textId="77777777" w:rsidR="00F53E39" w:rsidRDefault="00F53E39">
      <w:pPr>
        <w:pStyle w:val="Nadpis30"/>
        <w:framePr w:w="9806" w:h="8760" w:hRule="exact" w:wrap="none" w:vAnchor="page" w:hAnchor="page" w:x="1074" w:y="6837"/>
        <w:numPr>
          <w:ilvl w:val="0"/>
          <w:numId w:val="1"/>
        </w:numPr>
        <w:spacing w:after="0" w:line="286" w:lineRule="auto"/>
        <w:jc w:val="center"/>
        <w:rPr>
          <w:sz w:val="20"/>
          <w:szCs w:val="20"/>
        </w:rPr>
      </w:pPr>
    </w:p>
    <w:p w14:paraId="4FF6BF5D" w14:textId="77777777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4"/>
        </w:numPr>
        <w:tabs>
          <w:tab w:val="left" w:pos="387"/>
        </w:tabs>
        <w:spacing w:after="0" w:line="286" w:lineRule="auto"/>
        <w:ind w:left="420" w:hanging="420"/>
        <w:jc w:val="both"/>
      </w:pPr>
      <w: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48183817" w14:textId="0D7A88BE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4"/>
        </w:numPr>
        <w:tabs>
          <w:tab w:val="left" w:pos="387"/>
        </w:tabs>
        <w:spacing w:after="0" w:line="286" w:lineRule="auto"/>
        <w:ind w:left="420" w:hanging="420"/>
        <w:jc w:val="both"/>
      </w:pPr>
      <w:r>
        <w:t xml:space="preserve">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</w:t>
      </w:r>
      <w:r w:rsidR="00B8262D">
        <w:t>smluv jako</w:t>
      </w:r>
      <w:r>
        <w:t xml:space="preserve"> kontakt pro notifikaci o uveřejnění.</w:t>
      </w:r>
    </w:p>
    <w:p w14:paraId="642C9402" w14:textId="77777777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4"/>
        </w:numPr>
        <w:tabs>
          <w:tab w:val="left" w:pos="387"/>
        </w:tabs>
        <w:spacing w:after="0" w:line="286" w:lineRule="auto"/>
        <w:ind w:left="420" w:hanging="420"/>
        <w:jc w:val="both"/>
      </w:pPr>
      <w:r>
        <w:t>Smluvní strany berou na vědomí, že nebude-li dodatek uveřejněn ani do tří měsíců ode dne jeho uzavření, je následujícím dnem zrušen od počátku s účinky případného bezdůvodného obohacení.</w:t>
      </w:r>
    </w:p>
    <w:p w14:paraId="1D36FFC6" w14:textId="77777777" w:rsidR="00F53E39" w:rsidRDefault="00000000">
      <w:pPr>
        <w:pStyle w:val="Zkladntext1"/>
        <w:framePr w:w="9806" w:h="8760" w:hRule="exact" w:wrap="none" w:vAnchor="page" w:hAnchor="page" w:x="1074" w:y="6837"/>
        <w:numPr>
          <w:ilvl w:val="0"/>
          <w:numId w:val="4"/>
        </w:numPr>
        <w:tabs>
          <w:tab w:val="left" w:pos="387"/>
        </w:tabs>
        <w:spacing w:after="0" w:line="286" w:lineRule="auto"/>
        <w:ind w:left="420" w:hanging="420"/>
        <w:jc w:val="both"/>
      </w:pPr>
      <w:r>
        <w:t>Smluvní strany prohlašují, že žádná část dodatku nenaplňuje znaky obchodního tajemství (§ 504 zákona č. 89/2012 Sb., občanský zákoník).</w:t>
      </w:r>
    </w:p>
    <w:p w14:paraId="61FF09BF" w14:textId="77777777" w:rsidR="00F53E39" w:rsidRDefault="00000000">
      <w:pPr>
        <w:pStyle w:val="Zhlavnebozpat0"/>
        <w:framePr w:wrap="none" w:vAnchor="page" w:hAnchor="page" w:x="5437" w:y="1577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1025D4C8" w14:textId="77777777" w:rsidR="00F53E39" w:rsidRDefault="00F53E39">
      <w:pPr>
        <w:spacing w:line="1" w:lineRule="exact"/>
        <w:sectPr w:rsidR="00F53E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60C1D1" w14:textId="77777777" w:rsidR="00F53E39" w:rsidRDefault="00F53E39">
      <w:pPr>
        <w:spacing w:line="1" w:lineRule="exact"/>
      </w:pPr>
    </w:p>
    <w:p w14:paraId="18F83B81" w14:textId="77777777" w:rsidR="00F53E39" w:rsidRDefault="00000000">
      <w:pPr>
        <w:pStyle w:val="Zhlavnebozpat0"/>
        <w:framePr w:wrap="none" w:vAnchor="page" w:hAnchor="page" w:x="9548" w:y="717"/>
      </w:pPr>
      <w:r>
        <w:t>NS_1745/MO1</w:t>
      </w:r>
    </w:p>
    <w:p w14:paraId="060F8FC5" w14:textId="77777777" w:rsidR="00F53E39" w:rsidRDefault="00F53E39">
      <w:pPr>
        <w:pStyle w:val="Nadpis30"/>
        <w:framePr w:w="9773" w:h="1085" w:hRule="exact" w:wrap="none" w:vAnchor="page" w:hAnchor="page" w:x="1091" w:y="1447"/>
        <w:numPr>
          <w:ilvl w:val="0"/>
          <w:numId w:val="1"/>
        </w:numPr>
        <w:spacing w:after="0" w:line="276" w:lineRule="auto"/>
        <w:jc w:val="center"/>
        <w:rPr>
          <w:sz w:val="20"/>
          <w:szCs w:val="20"/>
        </w:rPr>
      </w:pPr>
    </w:p>
    <w:p w14:paraId="1E0B2C1F" w14:textId="77777777" w:rsidR="00F53E39" w:rsidRDefault="00000000">
      <w:pPr>
        <w:pStyle w:val="Zkladntext1"/>
        <w:framePr w:w="9773" w:h="1085" w:hRule="exact" w:wrap="none" w:vAnchor="page" w:hAnchor="page" w:x="1091" w:y="1447"/>
        <w:numPr>
          <w:ilvl w:val="0"/>
          <w:numId w:val="5"/>
        </w:numPr>
        <w:tabs>
          <w:tab w:val="left" w:pos="413"/>
        </w:tabs>
        <w:spacing w:after="0"/>
        <w:ind w:left="440" w:hanging="440"/>
      </w:pPr>
      <w:r>
        <w:t>Smluvní strany prohlašují, že tento dodatek uzavřely svobodně a vážně, nikoli v tísni za nápadně nevýhodných podmínek. Na důkaz toho připojují své vlastnoruční podpisy. Dodatek je sepsán ve 3 vyhotoveních, z nichž 1 obdrží nájemce a 2 si ponechá pronajímatel.</w:t>
      </w:r>
    </w:p>
    <w:p w14:paraId="2DA8538A" w14:textId="77777777" w:rsidR="00F53E39" w:rsidRDefault="00000000">
      <w:pPr>
        <w:pStyle w:val="Zkladntext80"/>
        <w:framePr w:w="9773" w:h="1234" w:hRule="exact" w:wrap="none" w:vAnchor="page" w:hAnchor="page" w:x="1091" w:y="3093"/>
        <w:spacing w:after="0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2D99AA67" w14:textId="77777777" w:rsidR="00F53E39" w:rsidRDefault="00000000">
      <w:pPr>
        <w:pStyle w:val="Zkladntext80"/>
        <w:framePr w:w="9773" w:h="1234" w:hRule="exact" w:wrap="none" w:vAnchor="page" w:hAnchor="page" w:x="1091" w:y="3093"/>
        <w:spacing w:after="0"/>
      </w:pPr>
      <w:r>
        <w:t xml:space="preserve">schváleno: usnesením </w:t>
      </w:r>
      <w:proofErr w:type="spellStart"/>
      <w:r>
        <w:t>RmP</w:t>
      </w:r>
      <w:proofErr w:type="spellEnd"/>
      <w:r>
        <w:t xml:space="preserve"> dne 21.5.2025 usnesením č. R/5551/2025 bod </w:t>
      </w:r>
      <w:r>
        <w:rPr>
          <w:color w:val="000000"/>
          <w:lang w:val="en-US" w:eastAsia="en-US" w:bidi="en-US"/>
        </w:rPr>
        <w:t>III.</w:t>
      </w:r>
    </w:p>
    <w:p w14:paraId="7B2B0004" w14:textId="77777777" w:rsidR="00F53E39" w:rsidRDefault="00000000">
      <w:pPr>
        <w:pStyle w:val="Zkladntext80"/>
        <w:framePr w:w="9773" w:h="1234" w:hRule="exact" w:wrap="none" w:vAnchor="page" w:hAnchor="page" w:x="1091" w:y="3093"/>
        <w:spacing w:after="0"/>
      </w:pPr>
      <w:r>
        <w:t>Záměr byl zveřejněn na úřední desce a elektronické úřední desce Magistrátu města Pardubic: vyvěšeno dne: 5.5.2025 svěšeno dne: 21.5.2025</w:t>
      </w:r>
    </w:p>
    <w:p w14:paraId="3BAC880C" w14:textId="77777777" w:rsidR="00F53E39" w:rsidRDefault="00000000">
      <w:pPr>
        <w:pStyle w:val="Nadpis20"/>
        <w:framePr w:w="9773" w:h="504" w:hRule="exact" w:wrap="none" w:vAnchor="page" w:hAnchor="page" w:x="1091" w:y="4514"/>
        <w:ind w:left="2020"/>
        <w:rPr>
          <w:sz w:val="28"/>
          <w:szCs w:val="28"/>
        </w:rPr>
      </w:pPr>
      <w:bookmarkStart w:id="1" w:name="bookmark10"/>
      <w:r>
        <w:rPr>
          <w:rFonts w:ascii="Palatino Linotype" w:eastAsia="Palatino Linotype" w:hAnsi="Palatino Linotype" w:cs="Palatino Linotype"/>
          <w:w w:val="60"/>
          <w:sz w:val="28"/>
          <w:szCs w:val="28"/>
        </w:rPr>
        <w:t>1 8 -08- 2025</w:t>
      </w:r>
      <w:bookmarkEnd w:id="1"/>
    </w:p>
    <w:p w14:paraId="64EC1218" w14:textId="77777777" w:rsidR="00F53E39" w:rsidRDefault="00000000">
      <w:pPr>
        <w:pStyle w:val="Zkladntext1"/>
        <w:framePr w:w="9773" w:h="504" w:hRule="exact" w:wrap="none" w:vAnchor="page" w:hAnchor="page" w:x="1091" w:y="4514"/>
        <w:tabs>
          <w:tab w:val="left" w:leader="dot" w:pos="3058"/>
        </w:tabs>
        <w:spacing w:after="0" w:line="180" w:lineRule="auto"/>
      </w:pPr>
      <w:r>
        <w:t>V Pardubicích dne</w:t>
      </w:r>
      <w:r>
        <w:tab/>
      </w:r>
    </w:p>
    <w:p w14:paraId="4F7F0579" w14:textId="64CFD90B" w:rsidR="00F53E39" w:rsidRDefault="00000000" w:rsidP="00B8262D">
      <w:pPr>
        <w:pStyle w:val="Zkladntext90"/>
        <w:framePr w:w="9773" w:h="1261" w:hRule="exact" w:wrap="none" w:vAnchor="page" w:hAnchor="page" w:x="1091" w:y="5963"/>
        <w:tabs>
          <w:tab w:val="left" w:leader="dot" w:pos="605"/>
          <w:tab w:val="left" w:leader="dot" w:pos="1037"/>
          <w:tab w:val="left" w:leader="dot" w:pos="2842"/>
        </w:tabs>
        <w:spacing w:line="161" w:lineRule="auto"/>
      </w:pPr>
      <w:r>
        <w:br/>
        <w:t>statutami město Pardubice</w:t>
      </w:r>
    </w:p>
    <w:p w14:paraId="5701DC3B" w14:textId="77777777" w:rsidR="00F53E39" w:rsidRDefault="00000000" w:rsidP="00B8262D">
      <w:pPr>
        <w:pStyle w:val="Zkladntext90"/>
        <w:framePr w:w="9773" w:h="1261" w:hRule="exact" w:wrap="none" w:vAnchor="page" w:hAnchor="page" w:x="1091" w:y="5963"/>
        <w:spacing w:after="0"/>
      </w:pPr>
      <w:r>
        <w:t>Ing. Miroslav Macela</w:t>
      </w:r>
      <w:r>
        <w:br/>
        <w:t>vedoucí oddělení</w:t>
      </w:r>
    </w:p>
    <w:p w14:paraId="7D6AA523" w14:textId="77777777" w:rsidR="00F53E39" w:rsidRDefault="00000000">
      <w:pPr>
        <w:pStyle w:val="Zkladntext90"/>
        <w:framePr w:w="2491" w:h="816" w:hRule="exact" w:wrap="none" w:vAnchor="page" w:hAnchor="page" w:x="6361" w:y="6136"/>
        <w:spacing w:after="0"/>
      </w:pPr>
      <w:r>
        <w:rPr>
          <w:lang w:val="en-US" w:eastAsia="en-US" w:bidi="en-US"/>
        </w:rPr>
        <w:t xml:space="preserve">REDSTONE </w:t>
      </w:r>
      <w:r>
        <w:t>HOUSE s.r.o.</w:t>
      </w:r>
    </w:p>
    <w:p w14:paraId="7F4E2A85" w14:textId="77777777" w:rsidR="00F53E39" w:rsidRDefault="00000000">
      <w:pPr>
        <w:pStyle w:val="Zkladntext90"/>
        <w:framePr w:w="2491" w:h="816" w:hRule="exact" w:wrap="none" w:vAnchor="page" w:hAnchor="page" w:x="6361" w:y="6136"/>
        <w:spacing w:after="0"/>
      </w:pPr>
      <w:r>
        <w:t>Richard Morávek</w:t>
      </w:r>
      <w:r>
        <w:br/>
        <w:t>jednatel</w:t>
      </w:r>
    </w:p>
    <w:p w14:paraId="74C2256D" w14:textId="1D266890" w:rsidR="00F53E39" w:rsidRDefault="00F53E39">
      <w:pPr>
        <w:pStyle w:val="Zkladntext50"/>
        <w:framePr w:w="9773" w:h="1094" w:hRule="exact" w:wrap="none" w:vAnchor="page" w:hAnchor="page" w:x="1091" w:y="8066"/>
        <w:tabs>
          <w:tab w:val="left" w:leader="dot" w:pos="5855"/>
          <w:tab w:val="left" w:leader="dot" w:pos="7679"/>
        </w:tabs>
        <w:ind w:left="5240" w:firstLine="20"/>
        <w:jc w:val="left"/>
        <w:rPr>
          <w:sz w:val="20"/>
          <w:szCs w:val="20"/>
        </w:rPr>
      </w:pPr>
    </w:p>
    <w:p w14:paraId="5722C334" w14:textId="77777777" w:rsidR="00F53E39" w:rsidRDefault="00000000">
      <w:pPr>
        <w:pStyle w:val="Zkladntext90"/>
        <w:framePr w:w="9773" w:h="1094" w:hRule="exact" w:wrap="none" w:vAnchor="page" w:hAnchor="page" w:x="1091" w:y="8066"/>
        <w:spacing w:line="230" w:lineRule="auto"/>
        <w:ind w:left="5240" w:firstLine="20"/>
      </w:pPr>
      <w:r>
        <w:rPr>
          <w:lang w:val="en-US" w:eastAsia="en-US" w:bidi="en-US"/>
        </w:rPr>
        <w:t xml:space="preserve">REDSTONE </w:t>
      </w:r>
      <w:r>
        <w:t>HOUSE s.r.o.</w:t>
      </w:r>
    </w:p>
    <w:p w14:paraId="6C84501E" w14:textId="77777777" w:rsidR="00B8262D" w:rsidRDefault="00000000">
      <w:pPr>
        <w:pStyle w:val="Zkladntext90"/>
        <w:framePr w:w="9773" w:h="1094" w:hRule="exact" w:wrap="none" w:vAnchor="page" w:hAnchor="page" w:x="1091" w:y="8066"/>
        <w:spacing w:after="0" w:line="307" w:lineRule="auto"/>
        <w:ind w:left="5240" w:firstLine="20"/>
      </w:pPr>
      <w:r>
        <w:t>Ing. Pavel Nádvorník</w:t>
      </w:r>
    </w:p>
    <w:p w14:paraId="6BA77E6D" w14:textId="76260BC8" w:rsidR="00F53E39" w:rsidRDefault="00B8262D" w:rsidP="00B8262D">
      <w:pPr>
        <w:pStyle w:val="Zkladntext90"/>
        <w:framePr w:w="9773" w:h="1094" w:hRule="exact" w:wrap="none" w:vAnchor="page" w:hAnchor="page" w:x="1091" w:y="8066"/>
        <w:spacing w:after="0" w:line="307" w:lineRule="auto"/>
      </w:pPr>
      <w:r>
        <w:t xml:space="preserve">                                                                                              </w:t>
      </w:r>
      <w:r w:rsidR="00000000">
        <w:t xml:space="preserve"> jednatel</w:t>
      </w:r>
    </w:p>
    <w:p w14:paraId="13AA01F4" w14:textId="77777777" w:rsidR="00F53E39" w:rsidRDefault="00000000">
      <w:pPr>
        <w:pStyle w:val="Zhlavnebozpat0"/>
        <w:framePr w:wrap="none" w:vAnchor="page" w:hAnchor="page" w:x="5430" w:y="1578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Stránka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14:paraId="7C19A5E9" w14:textId="77777777" w:rsidR="00F53E39" w:rsidRDefault="00F53E39">
      <w:pPr>
        <w:spacing w:line="1" w:lineRule="exact"/>
        <w:sectPr w:rsidR="00F53E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FEC54A" w14:textId="77777777" w:rsidR="00F53E39" w:rsidRDefault="00F53E39">
      <w:pPr>
        <w:spacing w:line="1" w:lineRule="exact"/>
      </w:pPr>
    </w:p>
    <w:p w14:paraId="4F609DFB" w14:textId="3FD532A8" w:rsidR="00F53E39" w:rsidRDefault="00F53E39">
      <w:pPr>
        <w:pStyle w:val="Zhlavnebozpat0"/>
        <w:framePr w:w="840" w:h="432" w:hRule="exact" w:wrap="none" w:vAnchor="page" w:hAnchor="page" w:x="5444" w:y="16734"/>
        <w:jc w:val="center"/>
        <w:rPr>
          <w:sz w:val="22"/>
          <w:szCs w:val="22"/>
        </w:rPr>
      </w:pPr>
    </w:p>
    <w:p w14:paraId="48997575" w14:textId="77777777" w:rsidR="00F53E39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23BEA16" wp14:editId="0F902D01">
            <wp:simplePos x="0" y="0"/>
            <wp:positionH relativeFrom="page">
              <wp:posOffset>2377440</wp:posOffset>
            </wp:positionH>
            <wp:positionV relativeFrom="page">
              <wp:posOffset>1670050</wp:posOffset>
            </wp:positionV>
            <wp:extent cx="7156450" cy="5083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5645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3E39">
      <w:pgSz w:w="16248" w:h="1954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0423" w14:textId="77777777" w:rsidR="008B6067" w:rsidRDefault="008B6067">
      <w:r>
        <w:separator/>
      </w:r>
    </w:p>
  </w:endnote>
  <w:endnote w:type="continuationSeparator" w:id="0">
    <w:p w14:paraId="599D57D8" w14:textId="77777777" w:rsidR="008B6067" w:rsidRDefault="008B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576F" w14:textId="77777777" w:rsidR="008B6067" w:rsidRDefault="008B6067"/>
  </w:footnote>
  <w:footnote w:type="continuationSeparator" w:id="0">
    <w:p w14:paraId="506DC68F" w14:textId="77777777" w:rsidR="008B6067" w:rsidRDefault="008B6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042"/>
    <w:multiLevelType w:val="multilevel"/>
    <w:tmpl w:val="B896F7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E264ED"/>
    <w:multiLevelType w:val="multilevel"/>
    <w:tmpl w:val="2B129C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270A7"/>
    <w:multiLevelType w:val="multilevel"/>
    <w:tmpl w:val="15BE655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A61B8A"/>
    <w:multiLevelType w:val="multilevel"/>
    <w:tmpl w:val="4DA663C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421A06"/>
    <w:multiLevelType w:val="multilevel"/>
    <w:tmpl w:val="0DE8FD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9402272">
    <w:abstractNumId w:val="2"/>
  </w:num>
  <w:num w:numId="2" w16cid:durableId="1923638921">
    <w:abstractNumId w:val="4"/>
  </w:num>
  <w:num w:numId="3" w16cid:durableId="1699819028">
    <w:abstractNumId w:val="3"/>
  </w:num>
  <w:num w:numId="4" w16cid:durableId="1405253857">
    <w:abstractNumId w:val="0"/>
  </w:num>
  <w:num w:numId="5" w16cid:durableId="133511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9"/>
    <w:rsid w:val="002B55E2"/>
    <w:rsid w:val="008B6067"/>
    <w:rsid w:val="00B8262D"/>
    <w:rsid w:val="00F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0C48"/>
  <w15:docId w15:val="{274E2E8E-AF3C-4025-94F3-C921932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ACC"/>
      <w:sz w:val="70"/>
      <w:szCs w:val="7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color w:val="16161B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pacing w:after="40"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right"/>
      <w:outlineLvl w:val="0"/>
    </w:pPr>
    <w:rPr>
      <w:rFonts w:ascii="Times New Roman" w:eastAsia="Times New Roman" w:hAnsi="Times New Roman" w:cs="Times New Roman"/>
      <w:i/>
      <w:iCs/>
      <w:color w:val="615ACC"/>
      <w:sz w:val="70"/>
      <w:szCs w:val="70"/>
    </w:rPr>
  </w:style>
  <w:style w:type="paragraph" w:customStyle="1" w:styleId="Nadpis30">
    <w:name w:val="Nadpis #3"/>
    <w:basedOn w:val="Normln"/>
    <w:link w:val="Nadpis3"/>
    <w:pPr>
      <w:spacing w:after="20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pacing w:after="200" w:line="338" w:lineRule="auto"/>
    </w:pPr>
    <w:rPr>
      <w:rFonts w:ascii="Arial" w:eastAsia="Arial" w:hAnsi="Arial" w:cs="Arial"/>
      <w:color w:val="16161B"/>
      <w:sz w:val="15"/>
      <w:szCs w:val="15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Franklin Gothic Demi Cond" w:eastAsia="Franklin Gothic Demi Cond" w:hAnsi="Franklin Gothic Demi Cond" w:cs="Franklin Gothic Demi Cond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2025-08-19T07:02:00Z</dcterms:created>
  <dcterms:modified xsi:type="dcterms:W3CDTF">2025-08-19T07:04:00Z</dcterms:modified>
</cp:coreProperties>
</file>