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1068070</wp:posOffset>
            </wp:positionH>
            <wp:positionV relativeFrom="paragraph">
              <wp:posOffset>12700</wp:posOffset>
            </wp:positionV>
            <wp:extent cx="652145" cy="66421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52145" cy="664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Magistrát města Pardubic</w:t>
        <w:br/>
        <w:t>Pernštýnské nám. 1</w:t>
        <w:br/>
        <w:t>Pardubice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PROTOKOL O PŘEDÁNÍ A PŘEVZETÍ STAVBY</w:t>
        <w:br/>
        <w:t>NEBO JEJÍ DOKONČENÉ ČÁSTI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zahájení přejímacího řízení - není datumem převzetí do majetku města: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2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07.03.2025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stavby: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„Parkovací dům Pardubice, Na Hrádku, část obce Zelené Předměstí"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 předávaného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převodu a převzetí do majetku je tato technická infrastruktura: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Vstupy do objektu „Parkovací dům Pardubice", na p. p. č. 316/13 a chodník na východní straně budovy na p. p. č. 316/41 vše v k.ú. Pardubice, odvodňovací žlab a potrubí k odvodnění uličních vpustí, liniový žlab. Dva kusy veřejného osvětlení umístěného na výložnících připevněných na plášť budovy Parkovacího domu.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Pozemek označený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 p. č. 316/3 o výměře 37 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p. p. č. 316/13 o výměře 97 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p. p. č. 316/7 o výměře 3 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vše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obci 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k.ú. Pardubice,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 stavebníkovi zapůjčen na základě: Smlouva o výpůjčce - V_0480/M01 ze dne 28.06.2021.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Kolaudační souhlas s užíváním stavby Sp. zn.: SÚ 125991/2024/Se Č.j.: MmP 146970/2024, byl vydán dne 4.11.2024 Magistrátem města Pardubic, stavebním úřadem.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0" w:right="0" w:hanging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Celkové náklady na vybudování výše uvedeného díla byly stavebníkem vyčísleny na: Infrastruktura 562.000, - 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Veřejné osvětlení 335.000, - Kč včetně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Záruka na předávané dílo, která je držena společností PSN s.r.o. je stanovena na 60 měsíců a končí dne 30.10.2029.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10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PSN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s.r.o., se sídlem Seifertova 823/9, 130 00 Praha, IČ: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170 48 869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Přejímající:</w:t>
      </w:r>
    </w:p>
    <w:tbl>
      <w:tblPr>
        <w:tblOverlap w:val="never"/>
        <w:jc w:val="left"/>
        <w:tblLayout w:type="fixed"/>
      </w:tblPr>
      <w:tblGrid>
        <w:gridCol w:w="961"/>
        <w:gridCol w:w="6458"/>
      </w:tblGrid>
      <w:tr>
        <w:trPr>
          <w:trHeight w:val="8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Statutární město Pardubice,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 v Pardubicích, Pernštýnské nám. 1, PSČ 530 21, IČ: 00 27 40 46, zastoupené Odborem dopravy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372"/>
        <w:gridCol w:w="2311"/>
        <w:gridCol w:w="2164"/>
        <w:gridCol w:w="3971"/>
      </w:tblGrid>
      <w:tr>
        <w:trPr>
          <w:trHeight w:val="4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Firma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 a příjmení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Podpis a rázítkqpsN s.r.o.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předávajícího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PSN s.r.o.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Mgr. Ondřej Heřman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907" w:val="left"/>
                <w:tab w:pos="2966" w:val="left"/>
              </w:tabs>
              <w:bidi w:val="0"/>
              <w:spacing w:before="0" w:after="0" w:line="202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xíťTlo^ 1'30'00 Praha 3, Seifertova 9/823 </w:t>
            </w:r>
            <w:r>
              <w:rPr>
                <w:rFonts w:ascii="Times New Roman" w:eastAsia="Times New Roman" w:hAnsi="Times New Roman" w:cs="Times New Roman"/>
                <w:color w:val="58539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/ \</w:t>
              <w:tab/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Z/lČO: 170 48 86)</w:t>
              <w:tab/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bscript"/>
                <w:lang w:val="cs-CZ" w:eastAsia="cs-CZ" w:bidi="cs-C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.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76" w:val="left"/>
              </w:tabs>
              <w:bidi w:val="0"/>
              <w:spacing w:before="0" w:after="0" w:line="226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8539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w v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MěstŠlčysoud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 Praze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47" w:val="left"/>
                <w:tab w:pos="2936" w:val="left"/>
              </w:tabs>
              <w:bidi w:val="0"/>
              <w:spacing w:before="0" w:after="0" w:line="226" w:lineRule="auto"/>
              <w:ind w:left="0" w:right="0" w:firstLine="7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58539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</w:t>
              <w:tab/>
              <w:t>V</w:t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6 71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28" w:val="left"/>
              </w:tabs>
              <w:bidi w:val="0"/>
              <w:spacing w:before="0" w:after="0" w:line="226" w:lineRule="auto"/>
              <w:ind w:left="132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8539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\</w:t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pobočka Pardubice</w:t>
            </w:r>
          </w:p>
        </w:tc>
      </w:tr>
      <w:tr>
        <w:trPr>
          <w:trHeight w:val="10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přejímajícího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Odbor dopravy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vlastník infrastruktury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Tomáš Urbánek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087" w:val="left"/>
                <w:tab w:leader="dot" w:pos="3371" w:val="left"/>
              </w:tabs>
              <w:bidi w:val="0"/>
              <w:spacing w:before="0" w:after="0" w:line="254" w:lineRule="auto"/>
              <w:ind w:left="340" w:right="0" w:firstLine="140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 xml:space="preserve">Suková třída č.p. 1556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Statutární město Pardubice Magistrát města^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odbor.dopra^-^''"'</w:t>
              <w:tab/>
            </w:r>
            <w:r>
              <w:rPr>
                <w:rFonts w:ascii="Arial" w:eastAsia="Arial" w:hAnsi="Arial" w:cs="Arial"/>
                <w:i/>
                <w:iCs/>
                <w:color w:val="5853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  <w:t>"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530 M-Pařďúbíce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přejímajícího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Služby města Pardubic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vlastník veřejného osvětlení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Kristýna Kubánkové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688" w:val="right"/>
              </w:tabs>
              <w:bidi w:val="0"/>
              <w:spacing w:before="0" w:after="0" w:line="132" w:lineRule="auto"/>
              <w:ind w:left="0" w:right="60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03962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</w:t>
              <w:tab/>
              <w:t>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3262" w:val="righ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SLUŽBY MĚSTA</w:t>
              <w:tab/>
            </w:r>
            <w:r>
              <w:rPr>
                <w:rFonts w:ascii="Arial" w:eastAsia="Arial" w:hAnsi="Arial" w:cs="Arial"/>
                <w:color w:val="585396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52" w:val="left"/>
                <w:tab w:pos="3126" w:val="right"/>
              </w:tabs>
              <w:bidi w:val="0"/>
              <w:spacing w:before="0" w:after="0" w:line="134" w:lineRule="auto"/>
              <w:ind w:left="0" w:right="0" w:firstLine="70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Bílé předměstí,</w:t>
              <w:tab/>
              <w:t xml:space="preserve">Hůrka </w:t>
            </w:r>
            <w:r>
              <w:rPr>
                <w:rFonts w:ascii="Tahoma" w:eastAsia="Tahoma" w:hAnsi="Tahoma" w:cs="Tahoma"/>
                <w:color w:val="585396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180/7-7</w:t>
              <w:tab/>
              <w:t>'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34" w:lineRule="auto"/>
              <w:ind w:left="104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530 02 Pardubice </w:t>
            </w:r>
            <w:r>
              <w:rPr>
                <w:rFonts w:ascii="Tahoma" w:eastAsia="Tahoma" w:hAnsi="Tahoma" w:cs="Tahoma"/>
                <w:color w:val="585396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/// / /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1134" w:val="left"/>
                <w:tab w:pos="2434" w:val="left"/>
              </w:tabs>
              <w:bidi w:val="0"/>
              <w:spacing w:before="0" w:after="0" w:line="134" w:lineRule="auto"/>
              <w:ind w:left="0" w:right="1120" w:firstLine="0"/>
              <w:jc w:val="right"/>
              <w:rPr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DIČ: CZ25É62572 </w:t>
            </w:r>
            <w:r>
              <w:rPr>
                <w:rFonts w:ascii="Tahoma" w:eastAsia="Tahoma" w:hAnsi="Tahoma" w:cs="Tahoma"/>
                <w:color w:val="585396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ahoma" w:eastAsia="Tahoma" w:hAnsi="Tahoma" w:cs="Tahoma"/>
                <w:color w:val="40396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/ </w:t>
              <w:tab/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5"/>
                <w:szCs w:val="15"/>
                <w:u w:val="single"/>
                <w:shd w:val="clear" w:color="auto" w:fill="auto"/>
                <w:lang w:val="cs-CZ" w:eastAsia="cs-CZ" w:bidi="cs-CZ"/>
              </w:rPr>
              <w:t>Tr&gt;r\CS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962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U</w:t>
            </w:r>
            <w:r>
              <w:rPr>
                <w:rFonts w:ascii="Tahoma" w:eastAsia="Tahoma" w:hAnsi="Tahoma" w:cs="Tahoma"/>
                <w:color w:val="403962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 xml:space="preserve"> 1/ &lt;</w:t>
            </w:r>
          </w:p>
        </w:tc>
      </w:tr>
      <w:tr>
        <w:trPr>
          <w:trHeight w:val="223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8272" w:val="left"/>
              </w:tabs>
              <w:bidi w:val="0"/>
              <w:spacing w:before="0" w:after="0" w:line="240" w:lineRule="auto"/>
              <w:ind w:left="698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iulaj.</w:t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870" w:right="588" w:bottom="700" w:left="1495" w:header="442" w:footer="2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0">
    <w:name w:val="Jiné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220"/>
      <w:ind w:firstLine="17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auto"/>
      <w:spacing w:after="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