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EBA4" w14:textId="16B38A29" w:rsidR="004C3D6F" w:rsidRDefault="009D37E5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C015A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IČO 48136450</w:t>
      </w:r>
    </w:p>
    <w:p w14:paraId="00C80A09" w14:textId="77777777" w:rsidR="00C12506" w:rsidRPr="00966FB5" w:rsidRDefault="00C12506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6207D65" w14:textId="1E1E468A" w:rsidR="009D37E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4C3D6F"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 w:rsidR="004C3D6F">
        <w:rPr>
          <w:rFonts w:ascii="Arial" w:hAnsi="Arial" w:cs="Arial"/>
          <w:sz w:val="22"/>
          <w:szCs w:val="22"/>
        </w:rPr>
        <w:t>Jetenským</w:t>
      </w:r>
      <w:proofErr w:type="spellEnd"/>
      <w:r w:rsidR="004C3D6F">
        <w:rPr>
          <w:rFonts w:ascii="Arial" w:hAnsi="Arial" w:cs="Arial"/>
          <w:sz w:val="22"/>
          <w:szCs w:val="22"/>
        </w:rPr>
        <w:t>, CIA, FCCA,</w:t>
      </w:r>
      <w:r w:rsidR="00437971">
        <w:rPr>
          <w:rFonts w:ascii="Arial" w:hAnsi="Arial" w:cs="Arial"/>
          <w:sz w:val="22"/>
          <w:szCs w:val="22"/>
        </w:rPr>
        <w:t xml:space="preserve"> ředitelem odboru region Čechy</w:t>
      </w:r>
    </w:p>
    <w:p w14:paraId="27774158" w14:textId="3D812AFC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</w:t>
      </w:r>
      <w:r w:rsidR="00437971">
        <w:rPr>
          <w:rFonts w:ascii="Arial" w:hAnsi="Arial" w:cs="Arial"/>
          <w:sz w:val="22"/>
          <w:szCs w:val="22"/>
        </w:rPr>
        <w:t>ferátu platebních služeb</w:t>
      </w:r>
      <w:r>
        <w:rPr>
          <w:rFonts w:ascii="Arial" w:hAnsi="Arial" w:cs="Arial"/>
          <w:sz w:val="22"/>
          <w:szCs w:val="22"/>
        </w:rPr>
        <w:t xml:space="preserve"> Praha</w:t>
      </w:r>
    </w:p>
    <w:p w14:paraId="2512828B" w14:textId="77777777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7E18B509" w14:textId="43748FEB" w:rsidR="00437971" w:rsidRDefault="00437971" w:rsidP="00437971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9C20196" w14:textId="4B26DB3F" w:rsidR="00437971" w:rsidRPr="00437971" w:rsidRDefault="00437971" w:rsidP="00437971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  <w:r w:rsidRPr="00437971">
        <w:rPr>
          <w:rFonts w:ascii="Arial" w:hAnsi="Arial" w:cs="Arial"/>
          <w:b/>
          <w:sz w:val="22"/>
          <w:szCs w:val="22"/>
        </w:rPr>
        <w:t>Česká centra</w:t>
      </w:r>
    </w:p>
    <w:p w14:paraId="222F6981" w14:textId="6D2ED7B0" w:rsidR="00B212BD" w:rsidRDefault="00437971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Václavské náměstí 49, 110 00 Prah</w:t>
      </w:r>
      <w:r w:rsidR="007448A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1</w:t>
      </w:r>
      <w:r w:rsidR="009D37E5" w:rsidRPr="00F211FD">
        <w:rPr>
          <w:rFonts w:ascii="Arial" w:hAnsi="Arial" w:cs="Arial"/>
          <w:sz w:val="22"/>
          <w:szCs w:val="22"/>
        </w:rPr>
        <w:tab/>
      </w:r>
    </w:p>
    <w:p w14:paraId="16319382" w14:textId="6D305413" w:rsidR="009D37E5" w:rsidRPr="00F211FD" w:rsidRDefault="009D37E5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IČO </w:t>
      </w:r>
      <w:r w:rsidR="00437971">
        <w:rPr>
          <w:rFonts w:ascii="Arial" w:hAnsi="Arial" w:cs="Arial"/>
          <w:sz w:val="22"/>
          <w:szCs w:val="22"/>
        </w:rPr>
        <w:t>48546038</w:t>
      </w:r>
    </w:p>
    <w:p w14:paraId="06F4981B" w14:textId="77777777" w:rsidR="009D37E5" w:rsidRDefault="009D37E5" w:rsidP="009D37E5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7ADBBE54" w14:textId="4C35F725" w:rsidR="009D37E5" w:rsidRDefault="00437971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9D37E5" w:rsidRPr="00F211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paní Jitkou Pánek Jurkovou</w:t>
      </w:r>
      <w:r w:rsidR="004C3D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Ph.D.,</w:t>
      </w:r>
      <w:r w:rsidR="004C3D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generální ředitelkou</w:t>
      </w:r>
    </w:p>
    <w:p w14:paraId="01ABCE28" w14:textId="51CD2A65" w:rsidR="00A05BFB" w:rsidRDefault="00A05BFB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2FC03C0C" w14:textId="1535A528" w:rsidR="009D37E5" w:rsidRDefault="009D37E5" w:rsidP="009D37E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F211FD">
          <w:rPr>
            <w:rFonts w:ascii="Arial" w:hAnsi="Arial" w:cs="Arial"/>
            <w:sz w:val="22"/>
            <w:szCs w:val="22"/>
          </w:rPr>
          <w:t>2662 a</w:t>
        </w:r>
      </w:smartTag>
      <w:r w:rsidRPr="00F211FD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07BCFF91" w14:textId="77777777" w:rsidR="00C12506" w:rsidRDefault="00C12506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004ED37" w14:textId="1749DD57" w:rsidR="009D37E5" w:rsidRDefault="009D37E5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211FD">
        <w:rPr>
          <w:rFonts w:ascii="Arial" w:hAnsi="Arial" w:cs="Arial"/>
          <w:b/>
          <w:sz w:val="22"/>
          <w:szCs w:val="22"/>
        </w:rPr>
        <w:t>smlouvu o účtu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0A8A32F" w14:textId="77777777" w:rsidR="00B260C1" w:rsidRPr="00F211FD" w:rsidRDefault="00B260C1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80D1207" w14:textId="4A3F23A6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ČNB </w:t>
      </w:r>
      <w:r w:rsidR="00952707">
        <w:rPr>
          <w:rFonts w:ascii="Arial" w:hAnsi="Arial" w:cs="Arial"/>
          <w:sz w:val="22"/>
          <w:szCs w:val="22"/>
        </w:rPr>
        <w:t>vede</w:t>
      </w:r>
      <w:r w:rsidRPr="00F211FD">
        <w:rPr>
          <w:rFonts w:ascii="Arial" w:hAnsi="Arial" w:cs="Arial"/>
          <w:sz w:val="22"/>
          <w:szCs w:val="22"/>
        </w:rPr>
        <w:t xml:space="preserve"> klientovi účet čís</w:t>
      </w:r>
      <w:r w:rsidR="004C3D6F">
        <w:rPr>
          <w:rFonts w:ascii="Arial" w:hAnsi="Arial" w:cs="Arial"/>
          <w:sz w:val="22"/>
          <w:szCs w:val="22"/>
        </w:rPr>
        <w:t xml:space="preserve">lo </w:t>
      </w:r>
      <w:r w:rsidR="00A14EBA" w:rsidRPr="00A14EBA">
        <w:rPr>
          <w:rFonts w:ascii="Arial" w:hAnsi="Arial" w:cs="Arial"/>
          <w:b/>
          <w:sz w:val="22"/>
          <w:szCs w:val="22"/>
        </w:rPr>
        <w:t>XXXXXX</w:t>
      </w:r>
      <w:r w:rsidR="00952707">
        <w:rPr>
          <w:rFonts w:ascii="Arial" w:hAnsi="Arial" w:cs="Arial"/>
          <w:b/>
          <w:sz w:val="22"/>
          <w:szCs w:val="22"/>
        </w:rPr>
        <w:t>-</w:t>
      </w:r>
      <w:r w:rsidR="00A14EBA">
        <w:rPr>
          <w:rFonts w:ascii="Arial" w:hAnsi="Arial" w:cs="Arial"/>
          <w:b/>
          <w:sz w:val="22"/>
          <w:szCs w:val="22"/>
        </w:rPr>
        <w:t>XXXXXXXXXX</w:t>
      </w:r>
      <w:r w:rsidRPr="00F211FD">
        <w:rPr>
          <w:rFonts w:ascii="Arial" w:hAnsi="Arial" w:cs="Arial"/>
          <w:b/>
          <w:sz w:val="22"/>
          <w:szCs w:val="22"/>
        </w:rPr>
        <w:t>/0710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11FD">
        <w:rPr>
          <w:rFonts w:ascii="Arial" w:hAnsi="Arial" w:cs="Arial"/>
          <w:sz w:val="22"/>
          <w:szCs w:val="22"/>
        </w:rPr>
        <w:t xml:space="preserve">(IBAN </w:t>
      </w:r>
      <w:r w:rsidR="00A14EBA">
        <w:rPr>
          <w:rFonts w:ascii="Arial" w:hAnsi="Arial" w:cs="Arial"/>
          <w:sz w:val="22"/>
          <w:szCs w:val="22"/>
        </w:rPr>
        <w:t>XXXXXXXXXX</w:t>
      </w:r>
      <w:r w:rsidR="004C3D6F">
        <w:rPr>
          <w:rFonts w:ascii="Arial" w:hAnsi="Arial" w:cs="Arial"/>
          <w:sz w:val="22"/>
          <w:szCs w:val="22"/>
        </w:rPr>
        <w:t xml:space="preserve"> BIC CNBACZPP)</w:t>
      </w:r>
      <w:r w:rsidR="001E0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„účet“)</w:t>
      </w:r>
      <w:r w:rsidRPr="00F211FD">
        <w:rPr>
          <w:rFonts w:ascii="Arial" w:hAnsi="Arial" w:cs="Arial"/>
          <w:sz w:val="22"/>
          <w:szCs w:val="22"/>
        </w:rPr>
        <w:t>. Účet je veden v českých korunách. Účet je účtem podřízeným státní pokladně.</w:t>
      </w:r>
    </w:p>
    <w:p w14:paraId="6A15FBF5" w14:textId="77777777" w:rsidR="00C52274" w:rsidRPr="00560021" w:rsidRDefault="00C52274" w:rsidP="00C52274">
      <w:pPr>
        <w:pStyle w:val="Zkladntext"/>
        <w:numPr>
          <w:ilvl w:val="0"/>
          <w:numId w:val="1"/>
        </w:numPr>
        <w:shd w:val="clear" w:color="auto" w:fill="FFFFFF" w:themeFill="background1"/>
        <w:snapToGrid w:val="0"/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bankovnictví, Podmínky České národní banky pro poskytování debetních karet právnickým osobám a jejich používání, Část I Ceníku peněžních a obchodních služeb České národní banky a Část XII Ceníku peněžních        a obchodních služeb České národní banky. Klient současně s podpisem této smlouvy potvrzuje, že uvedené podmínky a ceníky obdržel, seznámil se s jejich obsahem             a významem, jsou mu srozumitelné a přijímá je.</w:t>
      </w:r>
    </w:p>
    <w:p w14:paraId="00DCEAB3" w14:textId="77777777" w:rsidR="009D37E5" w:rsidRPr="00560021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Tato smlouva se uzavírá na dobu neurčitou.</w:t>
      </w:r>
    </w:p>
    <w:p w14:paraId="36247C5E" w14:textId="77777777" w:rsidR="009D37E5" w:rsidRPr="00560021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6968F25" w14:textId="733482B9" w:rsidR="00560021" w:rsidRDefault="0056002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Touto smlouvou se ruší a nahrazuje</w:t>
      </w:r>
      <w:r>
        <w:rPr>
          <w:rFonts w:ascii="Arial" w:hAnsi="Arial" w:cs="Arial"/>
          <w:sz w:val="22"/>
          <w:szCs w:val="22"/>
        </w:rPr>
        <w:t xml:space="preserve"> smlouva o účtu</w:t>
      </w:r>
      <w:r w:rsidRPr="00560021">
        <w:rPr>
          <w:rFonts w:ascii="Arial" w:hAnsi="Arial" w:cs="Arial"/>
          <w:sz w:val="22"/>
          <w:szCs w:val="22"/>
        </w:rPr>
        <w:t xml:space="preserve"> uzavře</w:t>
      </w:r>
      <w:r>
        <w:rPr>
          <w:rFonts w:ascii="Arial" w:hAnsi="Arial" w:cs="Arial"/>
          <w:sz w:val="22"/>
          <w:szCs w:val="22"/>
        </w:rPr>
        <w:t>ná mezi klientem a ČNB dne 16.11.2016</w:t>
      </w:r>
      <w:r w:rsidR="00ED117A">
        <w:rPr>
          <w:rFonts w:ascii="Arial" w:hAnsi="Arial" w:cs="Arial"/>
          <w:sz w:val="22"/>
          <w:szCs w:val="22"/>
        </w:rPr>
        <w:t>.</w:t>
      </w:r>
    </w:p>
    <w:p w14:paraId="75DE9A83" w14:textId="4E0C90AB" w:rsidR="00B260C1" w:rsidRPr="00560021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Tato smlouva bude</w:t>
      </w:r>
      <w:r w:rsidR="00203B07" w:rsidRPr="00560021">
        <w:rPr>
          <w:rFonts w:ascii="Arial" w:hAnsi="Arial" w:cs="Arial"/>
          <w:sz w:val="22"/>
          <w:szCs w:val="22"/>
        </w:rPr>
        <w:t xml:space="preserve"> </w:t>
      </w:r>
      <w:r w:rsidRPr="00560021">
        <w:rPr>
          <w:rFonts w:ascii="Arial" w:hAnsi="Arial" w:cs="Arial"/>
          <w:sz w:val="22"/>
          <w:szCs w:val="22"/>
        </w:rPr>
        <w:t>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5DFDDDD9" w14:textId="7841E8D6" w:rsidR="00B260C1" w:rsidRPr="00560021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0021"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p w14:paraId="6948B97C" w14:textId="77777777" w:rsidR="009D37E5" w:rsidRPr="00560021" w:rsidRDefault="009D37E5" w:rsidP="009D37E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9D37E5" w:rsidRPr="00966FB5" w14:paraId="3FC1BE22" w14:textId="77777777" w:rsidTr="007C1667">
        <w:tc>
          <w:tcPr>
            <w:tcW w:w="4401" w:type="dxa"/>
          </w:tcPr>
          <w:p w14:paraId="76264D88" w14:textId="77777777" w:rsidR="009D37E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2600A683" w14:textId="326209FF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00A89D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E514B46" w14:textId="45BD40BF" w:rsidR="009D37E5" w:rsidRPr="00966FB5" w:rsidRDefault="009D37E5" w:rsidP="00F7344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52707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C12506" w:rsidRPr="00966FB5" w14:paraId="6A601E98" w14:textId="77777777" w:rsidTr="007C1667">
        <w:tc>
          <w:tcPr>
            <w:tcW w:w="4401" w:type="dxa"/>
          </w:tcPr>
          <w:p w14:paraId="3F95C15F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282DE1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74FECE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069989" w14:textId="542C06AD" w:rsidR="00C051E9" w:rsidRDefault="00C051E9">
      <w:pPr>
        <w:rPr>
          <w:rFonts w:ascii="Arial" w:hAnsi="Arial" w:cs="Arial"/>
          <w:sz w:val="22"/>
          <w:szCs w:val="22"/>
        </w:rPr>
      </w:pPr>
    </w:p>
    <w:p w14:paraId="38090D6A" w14:textId="4E546AEE" w:rsidR="00CA49A1" w:rsidRDefault="00CA49A1">
      <w:pPr>
        <w:rPr>
          <w:rFonts w:ascii="Arial" w:hAnsi="Arial" w:cs="Arial"/>
          <w:sz w:val="22"/>
          <w:szCs w:val="22"/>
        </w:rPr>
      </w:pPr>
    </w:p>
    <w:p w14:paraId="17971AFC" w14:textId="1AF2E5F4" w:rsidR="00CA49A1" w:rsidRDefault="00CA49A1">
      <w:pPr>
        <w:rPr>
          <w:rFonts w:ascii="Arial" w:hAnsi="Arial" w:cs="Arial"/>
          <w:sz w:val="22"/>
          <w:szCs w:val="22"/>
        </w:rPr>
      </w:pPr>
    </w:p>
    <w:p w14:paraId="736C8227" w14:textId="24C9FB12" w:rsidR="00CA49A1" w:rsidRDefault="00CA49A1">
      <w:pPr>
        <w:rPr>
          <w:rFonts w:ascii="Arial" w:hAnsi="Arial" w:cs="Arial"/>
          <w:sz w:val="22"/>
          <w:szCs w:val="22"/>
        </w:rPr>
      </w:pPr>
    </w:p>
    <w:p w14:paraId="56A543FB" w14:textId="3FA25AAD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……………………………………..           </w:t>
      </w:r>
      <w:r w:rsidR="00E73544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5B3C0569" w14:textId="32FACD11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03B07">
        <w:rPr>
          <w:rFonts w:ascii="Arial" w:hAnsi="Arial" w:cs="Arial"/>
          <w:sz w:val="22"/>
          <w:szCs w:val="22"/>
        </w:rPr>
        <w:t>za ČNB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03B0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E7354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</w:t>
      </w:r>
      <w:r w:rsidR="00203B0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klienta</w:t>
      </w:r>
    </w:p>
    <w:p w14:paraId="73B1A067" w14:textId="374D8151" w:rsidR="00CA49A1" w:rsidRPr="00966FB5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sectPr w:rsidR="00CA49A1" w:rsidRPr="00966FB5" w:rsidSect="00C12506">
      <w:headerReference w:type="default" r:id="rId8"/>
      <w:footerReference w:type="default" r:id="rId9"/>
      <w:pgSz w:w="11906" w:h="16838"/>
      <w:pgMar w:top="993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9F8A63F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223D7AC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C3D6F">
      <w:rPr>
        <w:rFonts w:ascii="Arial" w:hAnsi="Arial" w:cs="Arial"/>
      </w:rPr>
      <w:t xml:space="preserve"> </w:t>
    </w:r>
    <w:r w:rsidR="00952707">
      <w:rPr>
        <w:rFonts w:ascii="Arial" w:hAnsi="Arial" w:cs="Arial"/>
      </w:rPr>
      <w:t>120055</w:t>
    </w:r>
    <w:r w:rsidR="0011312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80828"/>
    <w:rsid w:val="000A1612"/>
    <w:rsid w:val="000A7A91"/>
    <w:rsid w:val="000C0F76"/>
    <w:rsid w:val="000E55D6"/>
    <w:rsid w:val="00113124"/>
    <w:rsid w:val="00127B1B"/>
    <w:rsid w:val="00151DDB"/>
    <w:rsid w:val="0015767B"/>
    <w:rsid w:val="00182A10"/>
    <w:rsid w:val="001A4033"/>
    <w:rsid w:val="001B6E81"/>
    <w:rsid w:val="001B749B"/>
    <w:rsid w:val="001E0831"/>
    <w:rsid w:val="001E7E06"/>
    <w:rsid w:val="00203B07"/>
    <w:rsid w:val="00236D89"/>
    <w:rsid w:val="00247481"/>
    <w:rsid w:val="00260C69"/>
    <w:rsid w:val="00263CD9"/>
    <w:rsid w:val="002753D9"/>
    <w:rsid w:val="002B680A"/>
    <w:rsid w:val="002C238B"/>
    <w:rsid w:val="002F34E1"/>
    <w:rsid w:val="00315D26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37971"/>
    <w:rsid w:val="00472C31"/>
    <w:rsid w:val="004A5838"/>
    <w:rsid w:val="004C3D6F"/>
    <w:rsid w:val="004D7298"/>
    <w:rsid w:val="005442AB"/>
    <w:rsid w:val="0054786A"/>
    <w:rsid w:val="00560021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A6E9B"/>
    <w:rsid w:val="006E52CE"/>
    <w:rsid w:val="00702A64"/>
    <w:rsid w:val="00730BC8"/>
    <w:rsid w:val="00733C25"/>
    <w:rsid w:val="007448AC"/>
    <w:rsid w:val="00750D9E"/>
    <w:rsid w:val="007548C9"/>
    <w:rsid w:val="00771937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2DC1"/>
    <w:rsid w:val="00926937"/>
    <w:rsid w:val="00935C75"/>
    <w:rsid w:val="00947BE6"/>
    <w:rsid w:val="00947EDF"/>
    <w:rsid w:val="00952707"/>
    <w:rsid w:val="00966FB5"/>
    <w:rsid w:val="009A50D3"/>
    <w:rsid w:val="009D37E5"/>
    <w:rsid w:val="00A05BFB"/>
    <w:rsid w:val="00A14EBA"/>
    <w:rsid w:val="00A33882"/>
    <w:rsid w:val="00A34912"/>
    <w:rsid w:val="00A3762C"/>
    <w:rsid w:val="00A55FB1"/>
    <w:rsid w:val="00A77117"/>
    <w:rsid w:val="00AD5BCD"/>
    <w:rsid w:val="00AE4721"/>
    <w:rsid w:val="00AF5D3B"/>
    <w:rsid w:val="00B212BD"/>
    <w:rsid w:val="00B260C1"/>
    <w:rsid w:val="00B94E38"/>
    <w:rsid w:val="00BF1258"/>
    <w:rsid w:val="00C01DB8"/>
    <w:rsid w:val="00C051E9"/>
    <w:rsid w:val="00C12506"/>
    <w:rsid w:val="00C50165"/>
    <w:rsid w:val="00C52274"/>
    <w:rsid w:val="00C57138"/>
    <w:rsid w:val="00CA49A1"/>
    <w:rsid w:val="00CC15BC"/>
    <w:rsid w:val="00CE0C3B"/>
    <w:rsid w:val="00CE0DA9"/>
    <w:rsid w:val="00D111C7"/>
    <w:rsid w:val="00D355BB"/>
    <w:rsid w:val="00D42CE4"/>
    <w:rsid w:val="00D605F8"/>
    <w:rsid w:val="00DB2E04"/>
    <w:rsid w:val="00DE43A9"/>
    <w:rsid w:val="00DE47FC"/>
    <w:rsid w:val="00DE5003"/>
    <w:rsid w:val="00DF1BE8"/>
    <w:rsid w:val="00E20B67"/>
    <w:rsid w:val="00E64F95"/>
    <w:rsid w:val="00E73544"/>
    <w:rsid w:val="00ED117A"/>
    <w:rsid w:val="00F00895"/>
    <w:rsid w:val="00F63BD2"/>
    <w:rsid w:val="00F73448"/>
    <w:rsid w:val="00F8117C"/>
    <w:rsid w:val="00FA1CA0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D37E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D430-9C5E-48C8-A9C2-D2D6F5AE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2</cp:revision>
  <cp:lastPrinted>2024-10-16T08:32:00Z</cp:lastPrinted>
  <dcterms:created xsi:type="dcterms:W3CDTF">2025-08-18T06:59:00Z</dcterms:created>
  <dcterms:modified xsi:type="dcterms:W3CDTF">2025-08-18T06:59:00Z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