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91" w:rsidRDefault="00604D91" w:rsidP="00604D91">
      <w:pPr>
        <w:pStyle w:val="Nadpis1"/>
        <w:rPr>
          <w:rFonts w:eastAsia="Arial Unicode MS"/>
          <w:sz w:val="28"/>
        </w:rPr>
      </w:pPr>
      <w:r>
        <w:rPr>
          <w:sz w:val="28"/>
        </w:rPr>
        <w:t>Kupní smlouva</w:t>
      </w:r>
    </w:p>
    <w:p w:rsidR="00604D91" w:rsidRDefault="00604D91" w:rsidP="00604D91">
      <w:pPr>
        <w:jc w:val="center"/>
        <w:rPr>
          <w:b/>
        </w:rPr>
      </w:pPr>
      <w:r>
        <w:rPr>
          <w:b/>
          <w:bCs/>
        </w:rPr>
        <w:t>o prodeji pohonných hmot</w:t>
      </w:r>
      <w:r>
        <w:t xml:space="preserve"> </w:t>
      </w:r>
      <w:r w:rsidR="008A6BD8">
        <w:rPr>
          <w:b/>
        </w:rPr>
        <w:t xml:space="preserve">č.  </w:t>
      </w:r>
      <w:r w:rsidR="008A6BD8" w:rsidRPr="00FC47EF">
        <w:rPr>
          <w:b/>
        </w:rPr>
        <w:t xml:space="preserve">KS </w:t>
      </w:r>
      <w:r w:rsidR="003B2937">
        <w:rPr>
          <w:b/>
        </w:rPr>
        <w:t>9</w:t>
      </w:r>
      <w:r w:rsidR="00C12C31" w:rsidRPr="00FC47EF">
        <w:rPr>
          <w:b/>
        </w:rPr>
        <w:t>/20</w:t>
      </w:r>
      <w:r w:rsidR="00EB43FB">
        <w:rPr>
          <w:b/>
        </w:rPr>
        <w:t>2</w:t>
      </w:r>
      <w:r w:rsidR="00690533">
        <w:rPr>
          <w:b/>
        </w:rPr>
        <w:t>5</w:t>
      </w:r>
    </w:p>
    <w:p w:rsidR="00604D91" w:rsidRDefault="00604D91" w:rsidP="00604D91"/>
    <w:p w:rsidR="00604D91" w:rsidRDefault="00604D91" w:rsidP="00604D91">
      <w:r>
        <w:t>uzavřena mezi smluvními stranami:</w:t>
      </w:r>
    </w:p>
    <w:p w:rsidR="00604D91" w:rsidRDefault="00604D91" w:rsidP="00604D91">
      <w:pPr>
        <w:rPr>
          <w:b/>
        </w:rPr>
      </w:pPr>
    </w:p>
    <w:p w:rsidR="00EB43FB" w:rsidRDefault="00604D91" w:rsidP="00604D91">
      <w:pPr>
        <w:pStyle w:val="strany"/>
        <w:widowControl w:val="0"/>
        <w:tabs>
          <w:tab w:val="left" w:pos="0"/>
        </w:tabs>
        <w:spacing w:after="0"/>
        <w:ind w:left="0" w:firstLine="0"/>
        <w:rPr>
          <w:b/>
        </w:rPr>
      </w:pPr>
      <w:r>
        <w:rPr>
          <w:b/>
        </w:rPr>
        <w:t xml:space="preserve">Kupující:       </w:t>
      </w:r>
      <w:r w:rsidR="003B2937">
        <w:rPr>
          <w:b/>
        </w:rPr>
        <w:t>JAMAVAMA s.r.o.</w:t>
      </w:r>
    </w:p>
    <w:p w:rsidR="003B2937" w:rsidRDefault="00EB43FB" w:rsidP="00EB43FB">
      <w:pPr>
        <w:pStyle w:val="strany"/>
        <w:widowControl w:val="0"/>
        <w:tabs>
          <w:tab w:val="left" w:pos="0"/>
        </w:tabs>
        <w:spacing w:before="0" w:after="0"/>
        <w:ind w:left="0" w:firstLine="0"/>
      </w:pPr>
      <w:r w:rsidRPr="00EB43FB">
        <w:t xml:space="preserve">                       </w:t>
      </w:r>
      <w:r w:rsidR="00F172EE">
        <w:t xml:space="preserve"> </w:t>
      </w:r>
      <w:r w:rsidR="003B2937">
        <w:t>Prstná 44, 735 72 Petrovice u Karviné</w:t>
      </w:r>
    </w:p>
    <w:p w:rsidR="00EB43FB" w:rsidRPr="00EB43FB" w:rsidRDefault="003B2937" w:rsidP="003B2937">
      <w:pPr>
        <w:pStyle w:val="strany"/>
        <w:widowControl w:val="0"/>
        <w:tabs>
          <w:tab w:val="clear" w:pos="2835"/>
          <w:tab w:val="left" w:pos="0"/>
          <w:tab w:val="left" w:pos="1418"/>
        </w:tabs>
        <w:spacing w:before="0" w:after="0"/>
        <w:ind w:left="0" w:firstLine="0"/>
      </w:pPr>
      <w:r>
        <w:tab/>
        <w:t>zapsána v OR vedeném KS v Ostravě, oddíl C, vložka 28207</w:t>
      </w:r>
    </w:p>
    <w:p w:rsidR="000D4A62" w:rsidRDefault="003B2937" w:rsidP="00E37090">
      <w:pPr>
        <w:pStyle w:val="strany"/>
        <w:widowControl w:val="0"/>
        <w:tabs>
          <w:tab w:val="left" w:pos="0"/>
        </w:tabs>
        <w:spacing w:before="0" w:after="0"/>
        <w:ind w:left="1416" w:firstLine="0"/>
      </w:pPr>
      <w:r>
        <w:t>Zastoupena: Tomášem Malczykem, jednatelem</w:t>
      </w:r>
    </w:p>
    <w:p w:rsidR="003B2937" w:rsidRPr="00EB43FB" w:rsidRDefault="003B2937" w:rsidP="003B2937">
      <w:pPr>
        <w:pStyle w:val="strany"/>
        <w:widowControl w:val="0"/>
        <w:tabs>
          <w:tab w:val="clear" w:pos="2835"/>
          <w:tab w:val="left" w:pos="0"/>
          <w:tab w:val="left" w:pos="1418"/>
        </w:tabs>
        <w:spacing w:before="0" w:after="0"/>
        <w:ind w:left="0" w:firstLine="0"/>
      </w:pPr>
      <w:r>
        <w:tab/>
        <w:t>IČ: 26844931</w:t>
      </w:r>
    </w:p>
    <w:p w:rsidR="003B2937" w:rsidRDefault="003B2937" w:rsidP="003B2937">
      <w:pPr>
        <w:pStyle w:val="strany"/>
        <w:widowControl w:val="0"/>
        <w:tabs>
          <w:tab w:val="clear" w:pos="2835"/>
          <w:tab w:val="left" w:pos="0"/>
          <w:tab w:val="left" w:pos="1418"/>
        </w:tabs>
        <w:spacing w:before="0" w:after="0"/>
      </w:pPr>
      <w:r>
        <w:tab/>
      </w:r>
      <w:r>
        <w:tab/>
        <w:t>DIČ: 26844931</w:t>
      </w:r>
    </w:p>
    <w:p w:rsidR="00604D91" w:rsidRDefault="003B2937" w:rsidP="00604D91">
      <w:pPr>
        <w:pStyle w:val="strany"/>
        <w:widowControl w:val="0"/>
        <w:tabs>
          <w:tab w:val="left" w:pos="0"/>
        </w:tabs>
        <w:spacing w:before="0" w:after="0"/>
        <w:ind w:left="1416" w:firstLine="0"/>
        <w:rPr>
          <w:color w:val="000000"/>
        </w:rPr>
      </w:pPr>
      <w:r>
        <w:rPr>
          <w:color w:val="000000"/>
        </w:rPr>
        <w:t>Kontakt</w:t>
      </w:r>
      <w:r w:rsidR="00604D91">
        <w:rPr>
          <w:color w:val="000000"/>
        </w:rPr>
        <w:t xml:space="preserve">: </w:t>
      </w:r>
      <w:r w:rsidR="000A003D">
        <w:rPr>
          <w:color w:val="000000"/>
        </w:rPr>
        <w:t>xxxxxxxxxxxxx</w:t>
      </w:r>
      <w:bookmarkStart w:id="0" w:name="_GoBack"/>
      <w:bookmarkEnd w:id="0"/>
    </w:p>
    <w:p w:rsidR="00604D91" w:rsidRDefault="00604D91" w:rsidP="00604D91">
      <w:r>
        <w:tab/>
      </w:r>
      <w:r>
        <w:tab/>
        <w:t>(dále jen kupující)</w:t>
      </w:r>
    </w:p>
    <w:p w:rsidR="00C936D9" w:rsidRDefault="00C936D9">
      <w:pPr>
        <w:rPr>
          <w:b/>
          <w:bCs/>
        </w:rPr>
      </w:pPr>
    </w:p>
    <w:p w:rsidR="00C936D9" w:rsidRDefault="00C936D9">
      <w:pPr>
        <w:rPr>
          <w:b/>
          <w:bCs/>
        </w:rPr>
      </w:pPr>
      <w:r>
        <w:rPr>
          <w:b/>
          <w:bCs/>
        </w:rPr>
        <w:t>Prodávající:  Technické služby Karviná, a.s.</w:t>
      </w:r>
    </w:p>
    <w:p w:rsidR="00C936D9" w:rsidRDefault="00C936D9">
      <w:r>
        <w:tab/>
      </w:r>
      <w:r>
        <w:tab/>
        <w:t>Bohumínská 1878, Karviná – Nové Město, PSČ 735 06</w:t>
      </w:r>
    </w:p>
    <w:p w:rsidR="00C936D9" w:rsidRDefault="00C936D9" w:rsidP="0020422E">
      <w:r>
        <w:tab/>
      </w:r>
      <w:r>
        <w:tab/>
        <w:t>zapsán</w:t>
      </w:r>
      <w:r w:rsidR="00611379">
        <w:t>a</w:t>
      </w:r>
      <w:r>
        <w:t xml:space="preserve"> v </w:t>
      </w:r>
      <w:r w:rsidR="0020422E">
        <w:t>OR</w:t>
      </w:r>
      <w:r>
        <w:t xml:space="preserve"> vedeném K</w:t>
      </w:r>
      <w:r w:rsidR="0020422E">
        <w:t>S</w:t>
      </w:r>
      <w:r>
        <w:t xml:space="preserve"> v Ostravě, oddíl B, vložka 1215</w:t>
      </w:r>
    </w:p>
    <w:p w:rsidR="007B23D5" w:rsidRDefault="00C936D9">
      <w:pPr>
        <w:ind w:left="2832" w:hanging="1452"/>
      </w:pPr>
      <w:r>
        <w:t>Zastoupena:</w:t>
      </w:r>
      <w:r>
        <w:tab/>
      </w:r>
      <w:r w:rsidR="007B23D5">
        <w:t xml:space="preserve">Ing. Zbyňkem Gajdaczem, MPA, ředitelem společnosti, na </w:t>
      </w:r>
    </w:p>
    <w:p w:rsidR="00C809D3" w:rsidRPr="00530B6B" w:rsidRDefault="007B23D5">
      <w:pPr>
        <w:ind w:left="2832" w:hanging="1452"/>
        <w:rPr>
          <w:color w:val="FF0000"/>
        </w:rPr>
      </w:pPr>
      <w:r>
        <w:tab/>
      </w:r>
      <w:r w:rsidR="00F86E5D">
        <w:t>z</w:t>
      </w:r>
      <w:r>
        <w:t xml:space="preserve">ákladě plné moci udělené představenstvem ze dne </w:t>
      </w:r>
      <w:r w:rsidR="00690533">
        <w:t>27</w:t>
      </w:r>
      <w:r w:rsidR="008A6BD8">
        <w:t xml:space="preserve">. </w:t>
      </w:r>
      <w:r w:rsidR="00690533">
        <w:t>11</w:t>
      </w:r>
      <w:r w:rsidR="001B7EA2">
        <w:t>. 202</w:t>
      </w:r>
      <w:r w:rsidR="00690533">
        <w:t>4</w:t>
      </w:r>
      <w:r w:rsidR="00E01D8D">
        <w:t xml:space="preserve"> </w:t>
      </w:r>
    </w:p>
    <w:p w:rsidR="000C70D8" w:rsidRDefault="0020422E" w:rsidP="00C809D3">
      <w:r>
        <w:tab/>
      </w:r>
      <w:r>
        <w:tab/>
        <w:t>IČ:</w:t>
      </w:r>
      <w:r w:rsidR="006C694D">
        <w:tab/>
      </w:r>
      <w:r w:rsidR="006C694D">
        <w:tab/>
      </w:r>
      <w:r>
        <w:t>65138082</w:t>
      </w:r>
      <w:r>
        <w:tab/>
      </w:r>
      <w:r w:rsidR="00C809D3">
        <w:tab/>
      </w:r>
      <w:r w:rsidR="00C809D3">
        <w:tab/>
      </w:r>
    </w:p>
    <w:p w:rsidR="00C936D9" w:rsidRDefault="00C936D9" w:rsidP="000C70D8">
      <w:pPr>
        <w:ind w:left="708" w:firstLine="708"/>
      </w:pPr>
      <w:r>
        <w:t>DIČ:</w:t>
      </w:r>
      <w:r w:rsidR="0020422E">
        <w:t xml:space="preserve"> </w:t>
      </w:r>
      <w:r w:rsidR="006C694D">
        <w:tab/>
      </w:r>
      <w:r w:rsidR="006C694D">
        <w:tab/>
      </w:r>
      <w:r>
        <w:t>CZ65138082</w:t>
      </w:r>
    </w:p>
    <w:p w:rsidR="000C70D8" w:rsidRDefault="00C936D9">
      <w:r>
        <w:tab/>
      </w:r>
      <w:r>
        <w:tab/>
        <w:t>Bank. spoj.:</w:t>
      </w:r>
      <w:r>
        <w:tab/>
        <w:t>K</w:t>
      </w:r>
      <w:r w:rsidR="00611379">
        <w:t>omerční banka, a. s.</w:t>
      </w:r>
      <w:r>
        <w:t xml:space="preserve"> Karviná</w:t>
      </w:r>
    </w:p>
    <w:p w:rsidR="00C936D9" w:rsidRDefault="000C70D8">
      <w:r>
        <w:tab/>
      </w:r>
      <w:r>
        <w:tab/>
      </w:r>
      <w:r w:rsidR="00C936D9">
        <w:t>č. ú.</w:t>
      </w:r>
      <w:r w:rsidR="006C694D">
        <w:t>:</w:t>
      </w:r>
      <w:r w:rsidR="006C694D">
        <w:tab/>
      </w:r>
      <w:r w:rsidR="006C694D">
        <w:tab/>
      </w:r>
      <w:r w:rsidR="00C936D9">
        <w:t>19-3488910297/0100</w:t>
      </w:r>
    </w:p>
    <w:p w:rsidR="00C936D9" w:rsidRDefault="000B3EB3">
      <w:r>
        <w:tab/>
      </w:r>
      <w:r>
        <w:tab/>
        <w:t>Tel:</w:t>
      </w:r>
      <w:r>
        <w:tab/>
        <w:t>596 302 110</w:t>
      </w:r>
      <w:r w:rsidR="00C936D9">
        <w:tab/>
      </w:r>
      <w:r w:rsidR="00C936D9">
        <w:tab/>
        <w:t xml:space="preserve">E-mail: </w:t>
      </w:r>
      <w:hyperlink r:id="rId8" w:history="1">
        <w:r w:rsidR="00C936D9" w:rsidRPr="00363132">
          <w:rPr>
            <w:rStyle w:val="Hypertextovodkaz"/>
            <w:color w:val="auto"/>
            <w:u w:val="none"/>
          </w:rPr>
          <w:t>tsk@tsk.cz</w:t>
        </w:r>
      </w:hyperlink>
    </w:p>
    <w:p w:rsidR="00C936D9" w:rsidRDefault="00C936D9">
      <w:r>
        <w:tab/>
      </w:r>
      <w:r>
        <w:tab/>
        <w:t xml:space="preserve">(dále jen </w:t>
      </w:r>
      <w:r w:rsidR="006F5FDE">
        <w:t>„technické služby“</w:t>
      </w:r>
      <w:r>
        <w:t>)</w:t>
      </w:r>
    </w:p>
    <w:p w:rsidR="006F5FDE" w:rsidRDefault="006F5FDE" w:rsidP="006F5FDE">
      <w:pPr>
        <w:jc w:val="both"/>
      </w:pPr>
    </w:p>
    <w:p w:rsidR="006F5FDE" w:rsidRPr="006F5FDE" w:rsidRDefault="006F5FDE" w:rsidP="006F5FDE">
      <w:pPr>
        <w:jc w:val="both"/>
      </w:pPr>
    </w:p>
    <w:p w:rsidR="00813BE1" w:rsidRDefault="00813BE1" w:rsidP="00813BE1">
      <w:pPr>
        <w:jc w:val="center"/>
        <w:rPr>
          <w:b/>
        </w:rPr>
      </w:pPr>
      <w:r>
        <w:rPr>
          <w:b/>
        </w:rPr>
        <w:t>I.</w:t>
      </w:r>
    </w:p>
    <w:p w:rsidR="00813BE1" w:rsidRDefault="00813BE1" w:rsidP="00813BE1">
      <w:pPr>
        <w:jc w:val="center"/>
        <w:rPr>
          <w:b/>
        </w:rPr>
      </w:pPr>
      <w:r>
        <w:rPr>
          <w:b/>
        </w:rPr>
        <w:t>Předmět smlouvy</w:t>
      </w:r>
    </w:p>
    <w:p w:rsidR="00813BE1" w:rsidRDefault="00813BE1" w:rsidP="00813BE1">
      <w:pPr>
        <w:rPr>
          <w:b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>
        <w:rPr>
          <w:rFonts w:ascii="Times New Roman" w:hAnsi="Times New Roman" w:cs="Times New Roman"/>
          <w:sz w:val="24"/>
        </w:rPr>
        <w:tab/>
        <w:t xml:space="preserve">Předmětem této smlouvy je samoobslužný prodej pohonných hmot (motorová nafta, benzín Natural 95), dále jen PHM, do nádrží vozidel a do přivezených obalů kupujícího prostřednictvím výdejních stojanů čerpací stanice PHM v areálu sídla prodávajícího.  </w:t>
      </w:r>
    </w:p>
    <w:p w:rsidR="00813BE1" w:rsidRDefault="00813BE1" w:rsidP="00813BE1">
      <w:pPr>
        <w:jc w:val="both"/>
        <w:rPr>
          <w:bCs/>
        </w:rPr>
      </w:pPr>
    </w:p>
    <w:p w:rsidR="00813BE1" w:rsidRDefault="00813BE1" w:rsidP="00813BE1">
      <w:pPr>
        <w:ind w:left="705" w:hanging="705"/>
        <w:jc w:val="both"/>
      </w:pPr>
      <w:r>
        <w:t>1.2</w:t>
      </w:r>
      <w:r>
        <w:tab/>
        <w:t xml:space="preserve">Na jednotlivých výdejních stojanech jsou umístěny výdejní terminály, které jsou připojeny k pokladnímu PC, na kterém jsou automaticky zaznamenány údaje o odběru PHM. Uvedené terminály mají čtecí zařízení na identifikační médium (čipové karty </w:t>
      </w:r>
      <w:r>
        <w:br/>
        <w:t xml:space="preserve">a čipové klíče). Pomocí těchto čtecích zařízení se identifikuje osoba kupujícího </w:t>
      </w:r>
      <w:r>
        <w:br/>
        <w:t>a vozidlo a je umožněno samoobslužné čerpání PHM.</w:t>
      </w:r>
    </w:p>
    <w:p w:rsidR="00813BE1" w:rsidRDefault="00813BE1" w:rsidP="00813BE1">
      <w:pPr>
        <w:jc w:val="both"/>
      </w:pPr>
    </w:p>
    <w:p w:rsidR="00813BE1" w:rsidRPr="00EE37E8" w:rsidRDefault="00813BE1" w:rsidP="00813BE1">
      <w:pPr>
        <w:ind w:left="705" w:hanging="705"/>
        <w:jc w:val="both"/>
        <w:rPr>
          <w:bCs/>
        </w:rPr>
      </w:pPr>
      <w:r>
        <w:t>1.3</w:t>
      </w:r>
      <w:r>
        <w:tab/>
        <w:t>Identifikační medium: Čipová bezkontaktní karta se přikládá na terč snímače (modrý bod) jakoukoliv stranou kolmo a chvíli se setrvá v prostoru snímače. Citlivost je cca   5 cm od snímače. Čipový klíč se přikládá na terč snímače bílou plochou.</w:t>
      </w:r>
    </w:p>
    <w:p w:rsidR="00813BE1" w:rsidRPr="00EE37E8" w:rsidRDefault="00813BE1" w:rsidP="00813BE1">
      <w:pPr>
        <w:jc w:val="both"/>
        <w:rPr>
          <w:bCs/>
        </w:rPr>
      </w:pPr>
    </w:p>
    <w:p w:rsidR="00813BE1" w:rsidRDefault="00813BE1" w:rsidP="00813BE1">
      <w:pPr>
        <w:ind w:left="708"/>
        <w:jc w:val="both"/>
        <w:rPr>
          <w:bCs/>
        </w:rPr>
      </w:pPr>
      <w:r>
        <w:rPr>
          <w:bCs/>
        </w:rPr>
        <w:t>Kupující je povinen dodržovat následující zásady při používání čipových karet a čipových klíčů:</w:t>
      </w:r>
    </w:p>
    <w:p w:rsidR="00813BE1" w:rsidRDefault="00813BE1" w:rsidP="00813BE1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t>musí být používány pouze určeným způsobem</w:t>
      </w:r>
    </w:p>
    <w:p w:rsidR="00813BE1" w:rsidRDefault="00813BE1" w:rsidP="00813BE1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t>musí být uchovávány v pouzdře (na průkazky apod.)</w:t>
      </w:r>
    </w:p>
    <w:p w:rsidR="00813BE1" w:rsidRDefault="00813BE1" w:rsidP="00813BE1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lastRenderedPageBreak/>
        <w:t>musí být zabezpečeny proti zneužití jinou osobou</w:t>
      </w:r>
    </w:p>
    <w:p w:rsidR="00813BE1" w:rsidRDefault="00813BE1" w:rsidP="00813BE1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t>nesmí být ohýbány a lámány</w:t>
      </w:r>
    </w:p>
    <w:p w:rsidR="00813BE1" w:rsidRDefault="00813BE1" w:rsidP="00813BE1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t>nesmí přijít do styku s agresivními látkami (benzíny, oleje apod.)</w:t>
      </w:r>
    </w:p>
    <w:p w:rsidR="00813BE1" w:rsidRDefault="00813BE1" w:rsidP="00813BE1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t>nesmí být vystavovány extrémním teplotám</w:t>
      </w:r>
    </w:p>
    <w:p w:rsidR="00813BE1" w:rsidRDefault="00813BE1" w:rsidP="00813BE1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t>nesmí se extrémně mechanicky namáhat</w:t>
      </w:r>
    </w:p>
    <w:p w:rsidR="00813BE1" w:rsidRDefault="00813BE1" w:rsidP="00813BE1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t>nesmí přijít do styku s magnetickým polem (magnetické karty)</w:t>
      </w:r>
    </w:p>
    <w:p w:rsidR="00813BE1" w:rsidRDefault="00813BE1" w:rsidP="00813BE1">
      <w:pPr>
        <w:ind w:left="708"/>
        <w:jc w:val="both"/>
        <w:rPr>
          <w:bCs/>
        </w:rPr>
      </w:pPr>
    </w:p>
    <w:p w:rsidR="00813BE1" w:rsidRDefault="00813BE1" w:rsidP="00813BE1">
      <w:pPr>
        <w:ind w:left="708"/>
        <w:jc w:val="both"/>
        <w:rPr>
          <w:b/>
        </w:rPr>
      </w:pPr>
      <w:r>
        <w:rPr>
          <w:b/>
        </w:rPr>
        <w:t xml:space="preserve">Poškození nebo ztráta čipové karty nebo čipového klíče musí být </w:t>
      </w:r>
      <w:r>
        <w:rPr>
          <w:b/>
          <w:u w:val="single"/>
        </w:rPr>
        <w:t>ihned</w:t>
      </w:r>
      <w:r>
        <w:rPr>
          <w:b/>
        </w:rPr>
        <w:t xml:space="preserve"> nahlášena prodávajícímu! Za případné zneužití předaných identifikačních médií nese plnou odpovědnost kupující!</w:t>
      </w:r>
    </w:p>
    <w:p w:rsidR="00813BE1" w:rsidRDefault="00813BE1" w:rsidP="00813BE1">
      <w:pPr>
        <w:ind w:left="708"/>
        <w:jc w:val="both"/>
        <w:rPr>
          <w:b/>
        </w:rPr>
      </w:pPr>
    </w:p>
    <w:p w:rsidR="00813BE1" w:rsidRDefault="00813BE1" w:rsidP="00813BE1">
      <w:pPr>
        <w:ind w:left="705" w:hanging="705"/>
        <w:jc w:val="both"/>
      </w:pPr>
      <w:r>
        <w:rPr>
          <w:bCs/>
        </w:rPr>
        <w:t>1.4</w:t>
      </w:r>
      <w:r>
        <w:rPr>
          <w:bCs/>
        </w:rPr>
        <w:tab/>
        <w:t xml:space="preserve">Prodávající povede kupujícímu měsíční evidenci odebraného množství PHM </w:t>
      </w:r>
      <w:r>
        <w:rPr>
          <w:bCs/>
        </w:rPr>
        <w:br/>
        <w:t>a</w:t>
      </w:r>
      <w:r>
        <w:t xml:space="preserve"> k</w:t>
      </w:r>
      <w:r>
        <w:rPr>
          <w:bCs/>
        </w:rPr>
        <w:t>upující je povinen za odebrané množství PHM prodávajícímu zaplatit.</w:t>
      </w:r>
      <w:r>
        <w:t xml:space="preserve"> </w:t>
      </w:r>
    </w:p>
    <w:p w:rsidR="00813BE1" w:rsidRDefault="00813BE1" w:rsidP="00813BE1">
      <w:pPr>
        <w:jc w:val="both"/>
      </w:pPr>
    </w:p>
    <w:p w:rsidR="00813BE1" w:rsidRDefault="00813BE1" w:rsidP="00813BE1">
      <w:pPr>
        <w:ind w:left="705" w:hanging="705"/>
        <w:jc w:val="both"/>
        <w:rPr>
          <w:bCs/>
        </w:rPr>
      </w:pPr>
      <w:r>
        <w:rPr>
          <w:bCs/>
        </w:rPr>
        <w:t>1.5</w:t>
      </w:r>
      <w:r>
        <w:rPr>
          <w:bCs/>
        </w:rPr>
        <w:tab/>
        <w:t>Identifikační média budou kupujícímu předávány na základě písemného předávacího protokolu, který bude nedílnou součástí této smlouvy.</w:t>
      </w:r>
    </w:p>
    <w:p w:rsidR="00813BE1" w:rsidRDefault="00813BE1" w:rsidP="00813BE1">
      <w:pPr>
        <w:jc w:val="both"/>
        <w:rPr>
          <w:bCs/>
        </w:rPr>
      </w:pPr>
    </w:p>
    <w:p w:rsidR="00813BE1" w:rsidRDefault="00813BE1" w:rsidP="00813BE1">
      <w:pPr>
        <w:rPr>
          <w:bCs/>
        </w:rPr>
      </w:pPr>
      <w:r>
        <w:rPr>
          <w:bCs/>
        </w:rPr>
        <w:t>1.6</w:t>
      </w:r>
      <w:r>
        <w:rPr>
          <w:bCs/>
        </w:rPr>
        <w:tab/>
        <w:t>Samoobslužný prodej PHM bude prodávajícím realizován nepřetržitě.</w:t>
      </w:r>
    </w:p>
    <w:p w:rsidR="00813BE1" w:rsidRDefault="00813BE1" w:rsidP="00550D05">
      <w:pPr>
        <w:rPr>
          <w:b/>
          <w:bCs/>
        </w:rPr>
      </w:pPr>
    </w:p>
    <w:p w:rsidR="002E7B65" w:rsidRDefault="002E7B65" w:rsidP="00550D05">
      <w:pPr>
        <w:rPr>
          <w:b/>
          <w:bCs/>
        </w:rPr>
      </w:pPr>
    </w:p>
    <w:p w:rsidR="00813BE1" w:rsidRDefault="00813BE1" w:rsidP="00813BE1">
      <w:pPr>
        <w:jc w:val="center"/>
        <w:rPr>
          <w:b/>
        </w:rPr>
      </w:pPr>
      <w:r>
        <w:rPr>
          <w:b/>
        </w:rPr>
        <w:t>II.</w:t>
      </w:r>
    </w:p>
    <w:p w:rsidR="00813BE1" w:rsidRDefault="00813BE1" w:rsidP="00813BE1">
      <w:pPr>
        <w:jc w:val="center"/>
        <w:rPr>
          <w:b/>
        </w:rPr>
      </w:pPr>
      <w:r>
        <w:rPr>
          <w:b/>
        </w:rPr>
        <w:t>Kupní cena</w:t>
      </w:r>
    </w:p>
    <w:p w:rsidR="00813BE1" w:rsidRDefault="00813BE1" w:rsidP="00813BE1">
      <w:pPr>
        <w:jc w:val="center"/>
        <w:rPr>
          <w:b/>
        </w:rPr>
      </w:pP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>
        <w:rPr>
          <w:rFonts w:ascii="Times New Roman" w:hAnsi="Times New Roman" w:cs="Times New Roman"/>
          <w:sz w:val="24"/>
        </w:rPr>
        <w:tab/>
        <w:t>Aktuální prodejní cena za litr PHM bude zveřejněna na displeji výdejního stojanu.</w:t>
      </w: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>
        <w:rPr>
          <w:rFonts w:ascii="Times New Roman" w:hAnsi="Times New Roman" w:cs="Times New Roman"/>
          <w:sz w:val="24"/>
        </w:rPr>
        <w:tab/>
        <w:t xml:space="preserve">Cena za identifikační médium: </w:t>
      </w:r>
      <w:r w:rsidR="008A6BD8" w:rsidRPr="008A6BD8">
        <w:rPr>
          <w:rFonts w:ascii="Times New Roman" w:hAnsi="Times New Roman" w:cs="Times New Roman"/>
          <w:sz w:val="24"/>
        </w:rPr>
        <w:t xml:space="preserve">čipová karta = </w:t>
      </w:r>
      <w:r w:rsidR="002E7B65" w:rsidRPr="00BF5362">
        <w:rPr>
          <w:rFonts w:ascii="Times New Roman" w:hAnsi="Times New Roman" w:cs="Times New Roman"/>
          <w:sz w:val="24"/>
        </w:rPr>
        <w:t>23</w:t>
      </w:r>
      <w:r w:rsidR="00E30B3D" w:rsidRPr="00BF5362">
        <w:rPr>
          <w:rFonts w:ascii="Times New Roman" w:hAnsi="Times New Roman" w:cs="Times New Roman"/>
          <w:sz w:val="24"/>
        </w:rPr>
        <w:t>6</w:t>
      </w:r>
      <w:r w:rsidR="008A6BD8" w:rsidRPr="00BF5362">
        <w:rPr>
          <w:rFonts w:ascii="Times New Roman" w:hAnsi="Times New Roman" w:cs="Times New Roman"/>
          <w:sz w:val="24"/>
        </w:rPr>
        <w:t xml:space="preserve"> Kč/ks/</w:t>
      </w:r>
      <w:r w:rsidR="002E7B65" w:rsidRPr="00BF5362">
        <w:rPr>
          <w:rFonts w:ascii="Times New Roman" w:hAnsi="Times New Roman" w:cs="Times New Roman"/>
          <w:sz w:val="24"/>
        </w:rPr>
        <w:t>včetně</w:t>
      </w:r>
      <w:r w:rsidR="008A6BD8" w:rsidRPr="00BF5362">
        <w:rPr>
          <w:rFonts w:ascii="Times New Roman" w:hAnsi="Times New Roman" w:cs="Times New Roman"/>
          <w:sz w:val="24"/>
        </w:rPr>
        <w:t xml:space="preserve"> DPH.</w:t>
      </w:r>
    </w:p>
    <w:p w:rsidR="00813BE1" w:rsidRDefault="00813BE1" w:rsidP="00813BE1">
      <w:pPr>
        <w:pStyle w:val="Zkladntext"/>
        <w:rPr>
          <w:rFonts w:ascii="Times New Roman" w:hAnsi="Times New Roman" w:cs="Times New Roman"/>
          <w:sz w:val="24"/>
        </w:rPr>
      </w:pPr>
    </w:p>
    <w:p w:rsidR="002E7B65" w:rsidRDefault="002E7B65" w:rsidP="00813BE1">
      <w:pPr>
        <w:pStyle w:val="Zkladntext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jc w:val="center"/>
        <w:rPr>
          <w:rFonts w:ascii="Times New Roman" w:hAnsi="Times New Roman" w:cs="Times New Roman"/>
          <w:b/>
          <w:bCs w:val="0"/>
          <w:sz w:val="24"/>
        </w:rPr>
      </w:pPr>
      <w:r>
        <w:rPr>
          <w:rFonts w:ascii="Times New Roman" w:hAnsi="Times New Roman" w:cs="Times New Roman"/>
          <w:b/>
          <w:bCs w:val="0"/>
          <w:sz w:val="24"/>
        </w:rPr>
        <w:t xml:space="preserve">III. </w:t>
      </w:r>
    </w:p>
    <w:p w:rsidR="00813BE1" w:rsidRDefault="00813BE1" w:rsidP="00813BE1">
      <w:pPr>
        <w:pStyle w:val="Zkladntext"/>
        <w:jc w:val="center"/>
        <w:rPr>
          <w:rFonts w:ascii="Times New Roman" w:hAnsi="Times New Roman" w:cs="Times New Roman"/>
          <w:b/>
          <w:bCs w:val="0"/>
          <w:sz w:val="24"/>
        </w:rPr>
      </w:pPr>
      <w:r>
        <w:rPr>
          <w:rFonts w:ascii="Times New Roman" w:hAnsi="Times New Roman" w:cs="Times New Roman"/>
          <w:b/>
          <w:bCs w:val="0"/>
          <w:sz w:val="24"/>
        </w:rPr>
        <w:t>Všeobecné dodací podmínky</w:t>
      </w:r>
    </w:p>
    <w:p w:rsidR="00813BE1" w:rsidRDefault="00813BE1" w:rsidP="00813BE1">
      <w:pPr>
        <w:pStyle w:val="Zkladntext"/>
        <w:jc w:val="center"/>
        <w:rPr>
          <w:rFonts w:ascii="Times New Roman" w:hAnsi="Times New Roman" w:cs="Times New Roman"/>
          <w:b/>
          <w:bCs w:val="0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 w:rsidRPr="00D50BD9">
        <w:rPr>
          <w:rFonts w:ascii="Times New Roman" w:hAnsi="Times New Roman" w:cs="Times New Roman"/>
          <w:bCs w:val="0"/>
          <w:sz w:val="24"/>
        </w:rPr>
        <w:t>3.1</w:t>
      </w:r>
      <w:r>
        <w:rPr>
          <w:rFonts w:ascii="Times New Roman" w:hAnsi="Times New Roman" w:cs="Times New Roman"/>
          <w:bCs w:val="0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Vozidla kupujícího budou najíždět do areálu prodávajícího přes vrátnici a budou </w:t>
      </w:r>
      <w:r>
        <w:rPr>
          <w:rFonts w:ascii="Times New Roman" w:hAnsi="Times New Roman" w:cs="Times New Roman"/>
          <w:sz w:val="24"/>
        </w:rPr>
        <w:br/>
        <w:t>se řídit pokyny ostrahy a řídit se dopravním značením. Čerpací stanice PHM je umístěna po pravé straně vjezdu do areálu společnosti.</w:t>
      </w: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>
        <w:rPr>
          <w:rFonts w:ascii="Times New Roman" w:hAnsi="Times New Roman" w:cs="Times New Roman"/>
          <w:sz w:val="24"/>
        </w:rPr>
        <w:tab/>
        <w:t xml:space="preserve">Vozidla kupujícího, která vjela do areálu prodávajícího za účelem načerpání PHM, </w:t>
      </w:r>
      <w:r>
        <w:rPr>
          <w:rFonts w:ascii="Times New Roman" w:hAnsi="Times New Roman" w:cs="Times New Roman"/>
          <w:sz w:val="24"/>
        </w:rPr>
        <w:br/>
        <w:t>se smí zdržovat v objektu pouze nezbytně potřebnou dobu, která je nutná k načerpání.</w:t>
      </w: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>
        <w:rPr>
          <w:rFonts w:ascii="Times New Roman" w:hAnsi="Times New Roman" w:cs="Times New Roman"/>
          <w:sz w:val="24"/>
        </w:rPr>
        <w:tab/>
        <w:t xml:space="preserve">Při čerpání PHM jsou řidiči povinni řídit se zákazovými tabulkami umístěnými </w:t>
      </w:r>
      <w:r>
        <w:rPr>
          <w:rFonts w:ascii="Times New Roman" w:hAnsi="Times New Roman" w:cs="Times New Roman"/>
          <w:sz w:val="24"/>
        </w:rPr>
        <w:br/>
        <w:t xml:space="preserve">na čerpací stanici PHM.  </w:t>
      </w:r>
    </w:p>
    <w:p w:rsidR="00813BE1" w:rsidRDefault="00813BE1" w:rsidP="00813BE1">
      <w:pPr>
        <w:pStyle w:val="Zkladntext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>
        <w:rPr>
          <w:rFonts w:ascii="Times New Roman" w:hAnsi="Times New Roman" w:cs="Times New Roman"/>
          <w:sz w:val="24"/>
        </w:rPr>
        <w:tab/>
        <w:t>Kupující se zavazuje uhradit veškeré škody a náklady na odstranění škod, které prokazatelně vznikly provozem vozidel kupujícího v areálu prodávajícího do 14 dnů od vyčíslení a předání dokladů pro úhradu škody a nákladů na odstranění těchto škod.</w:t>
      </w: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</w:t>
      </w:r>
      <w:r>
        <w:rPr>
          <w:rFonts w:ascii="Times New Roman" w:hAnsi="Times New Roman" w:cs="Times New Roman"/>
          <w:sz w:val="24"/>
        </w:rPr>
        <w:tab/>
        <w:t xml:space="preserve">V prostorách čerpací stanice PHM (do vzdálenosti 5 m od nádrže a výdejního stojanu) platí zákaz kouření a manipulace s otevřeným ohněm. </w:t>
      </w:r>
    </w:p>
    <w:p w:rsidR="00813BE1" w:rsidRDefault="00813BE1" w:rsidP="00813BE1">
      <w:pPr>
        <w:pStyle w:val="Zkladntext"/>
        <w:ind w:left="720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</w:t>
      </w:r>
      <w:r>
        <w:rPr>
          <w:rFonts w:ascii="Times New Roman" w:hAnsi="Times New Roman" w:cs="Times New Roman"/>
          <w:sz w:val="24"/>
        </w:rPr>
        <w:tab/>
        <w:t>Případný únik, úkapy pohonných hmot musí kupující nahlásit obsluze čerpací stanice PHM, případně ostraze.</w:t>
      </w: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3.7</w:t>
      </w:r>
      <w:r>
        <w:rPr>
          <w:rFonts w:ascii="Times New Roman" w:hAnsi="Times New Roman" w:cs="Times New Roman"/>
          <w:sz w:val="24"/>
        </w:rPr>
        <w:tab/>
        <w:t>Je zakázán pohyb osob a vozidel mimo čerpací stanici PHM.</w:t>
      </w: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</w:t>
      </w:r>
      <w:r>
        <w:rPr>
          <w:rFonts w:ascii="Times New Roman" w:hAnsi="Times New Roman" w:cs="Times New Roman"/>
          <w:sz w:val="24"/>
        </w:rPr>
        <w:tab/>
        <w:t>Kupující se zavazuje jednat v souladu s platnými právními pře</w:t>
      </w:r>
      <w:r w:rsidR="00EB43FB">
        <w:rPr>
          <w:rFonts w:ascii="Times New Roman" w:hAnsi="Times New Roman" w:cs="Times New Roman"/>
          <w:sz w:val="24"/>
        </w:rPr>
        <w:t>dpisy na ochranu ŽP (Zákon č. 541/2020</w:t>
      </w:r>
      <w:r>
        <w:rPr>
          <w:rFonts w:ascii="Times New Roman" w:hAnsi="Times New Roman" w:cs="Times New Roman"/>
          <w:sz w:val="24"/>
        </w:rPr>
        <w:t xml:space="preserve"> Sb., o odpadech, Zákon č. 150/2010 Sb., o vodách, Zákon </w:t>
      </w:r>
      <w:r>
        <w:rPr>
          <w:rFonts w:ascii="Times New Roman" w:hAnsi="Times New Roman" w:cs="Times New Roman"/>
          <w:sz w:val="24"/>
        </w:rPr>
        <w:br/>
        <w:t>č. 350/2011 Sb., o chemických látkách a chemických směsích).</w:t>
      </w: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</w:p>
    <w:p w:rsidR="00813BE1" w:rsidRPr="00611379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bCs w:val="0"/>
          <w:sz w:val="24"/>
        </w:rPr>
      </w:pPr>
      <w:r w:rsidRPr="00611379">
        <w:rPr>
          <w:rFonts w:ascii="Times New Roman" w:hAnsi="Times New Roman" w:cs="Times New Roman"/>
          <w:bCs w:val="0"/>
          <w:sz w:val="24"/>
        </w:rPr>
        <w:t>3.9</w:t>
      </w:r>
      <w:r>
        <w:rPr>
          <w:rFonts w:ascii="Times New Roman" w:hAnsi="Times New Roman" w:cs="Times New Roman"/>
          <w:bCs w:val="0"/>
          <w:sz w:val="24"/>
        </w:rPr>
        <w:tab/>
        <w:t>Před podpisem této smlouvy byl kupující řádně seznámen prodávajícím s provozem čerpací stanice PHM.</w:t>
      </w:r>
    </w:p>
    <w:p w:rsidR="00813BE1" w:rsidRDefault="00813BE1" w:rsidP="00550D05">
      <w:pPr>
        <w:pStyle w:val="Zkladntext"/>
        <w:rPr>
          <w:rFonts w:ascii="Times New Roman" w:hAnsi="Times New Roman" w:cs="Times New Roman"/>
          <w:b/>
          <w:bCs w:val="0"/>
          <w:sz w:val="24"/>
        </w:rPr>
      </w:pPr>
    </w:p>
    <w:p w:rsidR="00813BE1" w:rsidRDefault="00813BE1" w:rsidP="00813BE1">
      <w:pPr>
        <w:pStyle w:val="Zkladntext"/>
        <w:jc w:val="center"/>
        <w:rPr>
          <w:rFonts w:ascii="Times New Roman" w:hAnsi="Times New Roman" w:cs="Times New Roman"/>
          <w:b/>
          <w:bCs w:val="0"/>
          <w:sz w:val="24"/>
        </w:rPr>
      </w:pPr>
      <w:r>
        <w:rPr>
          <w:rFonts w:ascii="Times New Roman" w:hAnsi="Times New Roman" w:cs="Times New Roman"/>
          <w:b/>
          <w:bCs w:val="0"/>
          <w:sz w:val="24"/>
        </w:rPr>
        <w:t>IV.</w:t>
      </w:r>
    </w:p>
    <w:p w:rsidR="00813BE1" w:rsidRDefault="00813BE1" w:rsidP="00813BE1">
      <w:pPr>
        <w:pStyle w:val="Zkladntext"/>
        <w:jc w:val="center"/>
        <w:rPr>
          <w:rFonts w:ascii="Times New Roman" w:hAnsi="Times New Roman" w:cs="Times New Roman"/>
          <w:b/>
          <w:bCs w:val="0"/>
          <w:sz w:val="24"/>
        </w:rPr>
      </w:pPr>
      <w:r>
        <w:rPr>
          <w:rFonts w:ascii="Times New Roman" w:hAnsi="Times New Roman" w:cs="Times New Roman"/>
          <w:b/>
          <w:bCs w:val="0"/>
          <w:sz w:val="24"/>
        </w:rPr>
        <w:t>Fakturace</w:t>
      </w:r>
    </w:p>
    <w:p w:rsidR="00813BE1" w:rsidRDefault="00813BE1" w:rsidP="00813BE1">
      <w:pPr>
        <w:pStyle w:val="Zkladntext"/>
        <w:jc w:val="center"/>
        <w:rPr>
          <w:rFonts w:ascii="Times New Roman" w:hAnsi="Times New Roman" w:cs="Times New Roman"/>
          <w:b/>
          <w:bCs w:val="0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 w:rsidRPr="00D50BD9">
        <w:rPr>
          <w:rFonts w:ascii="Times New Roman" w:hAnsi="Times New Roman" w:cs="Times New Roman"/>
          <w:bCs w:val="0"/>
          <w:sz w:val="24"/>
        </w:rPr>
        <w:t>4.1</w:t>
      </w:r>
      <w:r>
        <w:rPr>
          <w:rFonts w:ascii="Times New Roman" w:hAnsi="Times New Roman" w:cs="Times New Roman"/>
          <w:bCs w:val="0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Prodávajícím budou vystavovány měsíčně faktury vždy nejpozději k 10. dni následujícího měsíce a jejich splatnost bude 14-ti denní.  </w:t>
      </w: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</w:t>
      </w:r>
      <w:r>
        <w:rPr>
          <w:rFonts w:ascii="Times New Roman" w:hAnsi="Times New Roman" w:cs="Times New Roman"/>
          <w:sz w:val="24"/>
        </w:rPr>
        <w:tab/>
        <w:t>Fakturaci bude prodávající provádět na základě evidence odběru pohonných hmot zpracované na PC.</w:t>
      </w:r>
    </w:p>
    <w:p w:rsidR="00813BE1" w:rsidRDefault="00813BE1" w:rsidP="00813BE1">
      <w:pPr>
        <w:pStyle w:val="Zkladntext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</w:t>
      </w:r>
      <w:r>
        <w:rPr>
          <w:rFonts w:ascii="Times New Roman" w:hAnsi="Times New Roman" w:cs="Times New Roman"/>
          <w:sz w:val="24"/>
        </w:rPr>
        <w:tab/>
        <w:t>Faktury budou obsahovat veškeré údaje daňového dokladu dle obecně platných předpisů.</w:t>
      </w:r>
    </w:p>
    <w:p w:rsidR="00813BE1" w:rsidRDefault="00813BE1" w:rsidP="00813BE1">
      <w:pPr>
        <w:rPr>
          <w:bCs/>
        </w:rPr>
      </w:pPr>
    </w:p>
    <w:p w:rsidR="00813BE1" w:rsidRDefault="00813BE1" w:rsidP="00813BE1">
      <w:pPr>
        <w:ind w:left="705" w:hanging="705"/>
        <w:jc w:val="both"/>
      </w:pPr>
      <w:r>
        <w:rPr>
          <w:bCs/>
        </w:rPr>
        <w:t>4.4</w:t>
      </w:r>
      <w:r>
        <w:rPr>
          <w:bCs/>
        </w:rPr>
        <w:tab/>
      </w:r>
      <w:r>
        <w:t xml:space="preserve">Pro případ prodlení se zaplacením kupní ceny se sjednává, že kupující zaplatí úrok z prodlení ve výši 0,05 % z dlužné částky za každý den prodlení. </w:t>
      </w:r>
    </w:p>
    <w:p w:rsidR="00813BE1" w:rsidRDefault="00813BE1" w:rsidP="00813BE1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813BE1" w:rsidRDefault="00813BE1" w:rsidP="00813BE1">
      <w:pPr>
        <w:pStyle w:val="Zkladntext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</w:t>
      </w:r>
      <w:r>
        <w:rPr>
          <w:rFonts w:ascii="Times New Roman" w:hAnsi="Times New Roman" w:cs="Times New Roman"/>
          <w:sz w:val="24"/>
        </w:rPr>
        <w:tab/>
        <w:t>Kupující nabývá vlastnické právo ke zboží uvedenému v čl. I. bodu 1.1 této smlouvy až úplným zaplacením kupní ceny.</w:t>
      </w:r>
    </w:p>
    <w:p w:rsidR="00813BE1" w:rsidRDefault="00813BE1" w:rsidP="00550D05">
      <w:pPr>
        <w:rPr>
          <w:b/>
        </w:rPr>
      </w:pPr>
    </w:p>
    <w:p w:rsidR="00813BE1" w:rsidRDefault="00813BE1" w:rsidP="00813BE1">
      <w:pPr>
        <w:jc w:val="center"/>
        <w:rPr>
          <w:b/>
        </w:rPr>
      </w:pPr>
      <w:r>
        <w:rPr>
          <w:b/>
        </w:rPr>
        <w:t>V.</w:t>
      </w:r>
    </w:p>
    <w:p w:rsidR="00813BE1" w:rsidRDefault="00813BE1" w:rsidP="00813BE1">
      <w:pPr>
        <w:pStyle w:val="Nadpis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Doba plnění</w:t>
      </w:r>
    </w:p>
    <w:p w:rsidR="00813BE1" w:rsidRDefault="00813BE1" w:rsidP="00813BE1"/>
    <w:p w:rsidR="00813BE1" w:rsidRDefault="00813BE1" w:rsidP="00813BE1">
      <w:pPr>
        <w:ind w:left="705" w:hanging="705"/>
        <w:jc w:val="both"/>
      </w:pPr>
      <w:r>
        <w:t>5.1</w:t>
      </w:r>
      <w:r>
        <w:tab/>
      </w:r>
      <w:r>
        <w:rPr>
          <w:bCs/>
        </w:rPr>
        <w:t xml:space="preserve">Tato smlouva se uzavírá </w:t>
      </w:r>
      <w:r w:rsidRPr="00500E38">
        <w:rPr>
          <w:b/>
          <w:bCs/>
        </w:rPr>
        <w:t xml:space="preserve">na dobu neurčitou s platností od </w:t>
      </w:r>
      <w:r w:rsidR="003B2937">
        <w:rPr>
          <w:b/>
          <w:bCs/>
        </w:rPr>
        <w:t>16</w:t>
      </w:r>
      <w:r w:rsidR="008A6BD8">
        <w:rPr>
          <w:b/>
          <w:bCs/>
        </w:rPr>
        <w:t xml:space="preserve">. </w:t>
      </w:r>
      <w:r w:rsidR="00690533">
        <w:rPr>
          <w:b/>
          <w:bCs/>
        </w:rPr>
        <w:t>6. 2025</w:t>
      </w:r>
      <w:r>
        <w:rPr>
          <w:b/>
          <w:bCs/>
        </w:rPr>
        <w:t xml:space="preserve"> </w:t>
      </w:r>
      <w:r>
        <w:rPr>
          <w:bCs/>
        </w:rPr>
        <w:t>s</w:t>
      </w:r>
      <w:r>
        <w:rPr>
          <w:b/>
        </w:rPr>
        <w:t xml:space="preserve"> </w:t>
      </w:r>
      <w:r>
        <w:rPr>
          <w:bCs/>
        </w:rPr>
        <w:t xml:space="preserve">jednoměsíční výpovědní </w:t>
      </w:r>
      <w:r>
        <w:t>lhůtou, která počíná běžet prvým dnem měsíce následujícího po doručení výpovědi druhé smluvní straně.</w:t>
      </w:r>
    </w:p>
    <w:p w:rsidR="00813BE1" w:rsidRDefault="00813BE1" w:rsidP="00813BE1">
      <w:pPr>
        <w:ind w:firstLine="708"/>
      </w:pPr>
    </w:p>
    <w:p w:rsidR="00813BE1" w:rsidRDefault="00813BE1" w:rsidP="00813BE1">
      <w:pPr>
        <w:pStyle w:val="Zkladntextodsazen2"/>
      </w:pPr>
      <w:r>
        <w:t>5.2</w:t>
      </w:r>
      <w:r>
        <w:tab/>
        <w:t>Obě smluvní strany zároveň sjednávají okamžité odstoupení od smlouvy ze strany prodávajícího, v případě, že kupující je více jak 5 dnů v prodlení s placením faktury.</w:t>
      </w:r>
    </w:p>
    <w:p w:rsidR="00813BE1" w:rsidRPr="00550D05" w:rsidRDefault="00813BE1" w:rsidP="00550D05">
      <w:pPr>
        <w:jc w:val="both"/>
      </w:pPr>
      <w:r>
        <w:tab/>
      </w:r>
    </w:p>
    <w:p w:rsidR="00813BE1" w:rsidRDefault="00813BE1" w:rsidP="00813BE1">
      <w:pPr>
        <w:jc w:val="center"/>
        <w:rPr>
          <w:b/>
        </w:rPr>
      </w:pPr>
      <w:r>
        <w:rPr>
          <w:b/>
        </w:rPr>
        <w:t>VI.</w:t>
      </w:r>
    </w:p>
    <w:p w:rsidR="00813BE1" w:rsidRDefault="00813BE1" w:rsidP="00813BE1">
      <w:pPr>
        <w:pStyle w:val="Nadpis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Závěrečná ujednání</w:t>
      </w:r>
    </w:p>
    <w:p w:rsidR="00813BE1" w:rsidRDefault="00813BE1" w:rsidP="00813BE1"/>
    <w:p w:rsidR="00813BE1" w:rsidRDefault="00813BE1" w:rsidP="00813BE1">
      <w:pPr>
        <w:ind w:left="705" w:hanging="705"/>
        <w:jc w:val="both"/>
      </w:pPr>
      <w:r>
        <w:t>6.1</w:t>
      </w:r>
      <w:r>
        <w:tab/>
        <w:t xml:space="preserve">Veškeré změny a doplňky této smlouvy mohou být učiněny po dohodě obou smluvních stran, a to formou písemných dodatků, vzestupně číslovaných. </w:t>
      </w:r>
    </w:p>
    <w:p w:rsidR="00813BE1" w:rsidRDefault="00813BE1" w:rsidP="00813BE1">
      <w:pPr>
        <w:jc w:val="both"/>
      </w:pPr>
    </w:p>
    <w:p w:rsidR="00813BE1" w:rsidRPr="002856F1" w:rsidRDefault="00813BE1" w:rsidP="00813BE1">
      <w:pPr>
        <w:pStyle w:val="Zkladntext"/>
        <w:ind w:left="705" w:hanging="705"/>
        <w:rPr>
          <w:rFonts w:ascii="Times New Roman" w:hAnsi="Times New Roman" w:cs="Times New Roman"/>
          <w:sz w:val="24"/>
          <w:szCs w:val="24"/>
        </w:rPr>
      </w:pPr>
      <w:r w:rsidRPr="002856F1">
        <w:rPr>
          <w:rFonts w:ascii="Times New Roman" w:hAnsi="Times New Roman" w:cs="Times New Roman"/>
        </w:rPr>
        <w:t>6.2</w:t>
      </w:r>
      <w:r>
        <w:tab/>
      </w:r>
      <w:r w:rsidRPr="002856F1">
        <w:rPr>
          <w:rFonts w:ascii="Times New Roman" w:hAnsi="Times New Roman" w:cs="Times New Roman"/>
          <w:sz w:val="24"/>
          <w:szCs w:val="24"/>
        </w:rPr>
        <w:t>Pokud není ve smlouvě dohodnuto jinak, platí v ostatním ustanovení zák. č. 89/2012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F1">
        <w:rPr>
          <w:rFonts w:ascii="Times New Roman" w:hAnsi="Times New Roman" w:cs="Times New Roman"/>
          <w:sz w:val="24"/>
          <w:szCs w:val="24"/>
        </w:rPr>
        <w:t>Sb.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56F1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 xml:space="preserve">čanský zákoník, v platném znění a </w:t>
      </w:r>
      <w:r w:rsidRPr="002856F1">
        <w:rPr>
          <w:rFonts w:ascii="Times New Roman" w:hAnsi="Times New Roman" w:cs="Times New Roman"/>
          <w:sz w:val="24"/>
          <w:szCs w:val="24"/>
        </w:rPr>
        <w:t xml:space="preserve">obecně platných předpisů. </w:t>
      </w:r>
    </w:p>
    <w:p w:rsidR="00813BE1" w:rsidRDefault="00813BE1" w:rsidP="00813BE1">
      <w:pPr>
        <w:jc w:val="both"/>
      </w:pPr>
    </w:p>
    <w:p w:rsidR="00813BE1" w:rsidRDefault="00813BE1" w:rsidP="00813BE1">
      <w:pPr>
        <w:ind w:left="705" w:hanging="705"/>
        <w:jc w:val="both"/>
      </w:pPr>
      <w:r>
        <w:t>6.3</w:t>
      </w:r>
      <w:r>
        <w:tab/>
        <w:t xml:space="preserve">Technické služby Karviná, a.s. vyhlásily politiku </w:t>
      </w:r>
      <w:r w:rsidRPr="00611379">
        <w:t xml:space="preserve">kvality </w:t>
      </w:r>
      <w:r>
        <w:t xml:space="preserve">a řízení ochrany životního prostředí s přesvědčením, že dojde k jejímu pochopení a přijetí i všemi obchodními </w:t>
      </w:r>
      <w:r>
        <w:lastRenderedPageBreak/>
        <w:t xml:space="preserve">partnery. Bližší zásady, cíle a podmínky jejího uskutečňování jsou plně k dispozici </w:t>
      </w:r>
      <w:r>
        <w:br/>
        <w:t xml:space="preserve">na internetové adrese </w:t>
      </w:r>
      <w:hyperlink r:id="rId9" w:history="1">
        <w:r>
          <w:rPr>
            <w:rStyle w:val="Hypertextovodkaz"/>
            <w:color w:val="auto"/>
            <w:u w:val="none"/>
          </w:rPr>
          <w:t>www.tsk.cz</w:t>
        </w:r>
      </w:hyperlink>
      <w:r>
        <w:t xml:space="preserve"> nebo v sídle společnosti.</w:t>
      </w:r>
    </w:p>
    <w:p w:rsidR="00813BE1" w:rsidRDefault="00813BE1" w:rsidP="00813BE1">
      <w:pPr>
        <w:jc w:val="both"/>
      </w:pPr>
    </w:p>
    <w:p w:rsidR="00813BE1" w:rsidRDefault="00813BE1" w:rsidP="00813BE1">
      <w:pPr>
        <w:pStyle w:val="Zkladntextodsazen2"/>
      </w:pPr>
      <w:r>
        <w:t>6.4</w:t>
      </w:r>
      <w:r>
        <w:tab/>
        <w:t xml:space="preserve">Smluvní strany prohlašují, že si tuto smlouvu před jejím podpisem přečetly, že byla uzavřena po vzájemném projednání podle jejich pravé a svobodné vůle, určitě, vážně </w:t>
      </w:r>
      <w:r>
        <w:br/>
        <w:t>a srozumitelně, nikoli v tísni za nápadně nevýhodných podmínek. Autentičnost této smlouvy potvrzují svými podpisy.</w:t>
      </w:r>
    </w:p>
    <w:p w:rsidR="00813BE1" w:rsidRDefault="00813BE1" w:rsidP="00813BE1">
      <w:pPr>
        <w:jc w:val="both"/>
      </w:pPr>
    </w:p>
    <w:p w:rsidR="00813BE1" w:rsidRDefault="00813BE1" w:rsidP="00813BE1">
      <w:pPr>
        <w:pStyle w:val="Zkladntextodsazen2"/>
      </w:pPr>
      <w:r>
        <w:t>6.5     Tato smlouva je vyhotovena ve dvou stejnopisech, z nichž každá smluvní strana obdrží po jednom vyhotovení.</w:t>
      </w:r>
    </w:p>
    <w:p w:rsidR="00E70913" w:rsidRDefault="00E70913" w:rsidP="00813BE1">
      <w:pPr>
        <w:pStyle w:val="Zkladntextodsazen2"/>
      </w:pPr>
    </w:p>
    <w:p w:rsidR="00E70913" w:rsidRPr="00E70913" w:rsidRDefault="00E70913" w:rsidP="00E70913">
      <w:pPr>
        <w:pStyle w:val="Zkladntextodsazen2"/>
      </w:pPr>
      <w:r>
        <w:t xml:space="preserve">6.6 </w:t>
      </w:r>
      <w:r>
        <w:tab/>
      </w:r>
      <w:r w:rsidRPr="00E70913">
        <w:t xml:space="preserve">Tato smlouva nabývá účinnosti dnem </w:t>
      </w:r>
      <w:r w:rsidR="00574871">
        <w:t>podpisu obou smluvních stran.</w:t>
      </w:r>
    </w:p>
    <w:p w:rsidR="00E70913" w:rsidRDefault="00E70913" w:rsidP="00813BE1">
      <w:pPr>
        <w:pStyle w:val="Zkladntextodsazen2"/>
      </w:pPr>
    </w:p>
    <w:p w:rsidR="00813BE1" w:rsidRDefault="00813BE1" w:rsidP="00813BE1">
      <w:pPr>
        <w:ind w:firstLine="708"/>
      </w:pPr>
    </w:p>
    <w:p w:rsidR="00813BE1" w:rsidRDefault="00813BE1" w:rsidP="00813BE1">
      <w:pPr>
        <w:ind w:firstLine="708"/>
      </w:pPr>
    </w:p>
    <w:p w:rsidR="00813BE1" w:rsidRDefault="00813BE1" w:rsidP="00813BE1"/>
    <w:p w:rsidR="00813BE1" w:rsidRDefault="00813BE1" w:rsidP="00813BE1">
      <w:r>
        <w:t xml:space="preserve">V Karviné dne </w:t>
      </w:r>
      <w:r w:rsidR="003B2937">
        <w:t>1</w:t>
      </w:r>
      <w:r w:rsidR="00454A19">
        <w:t>3</w:t>
      </w:r>
      <w:r w:rsidR="00E70913">
        <w:t xml:space="preserve">. </w:t>
      </w:r>
      <w:r w:rsidR="00690533">
        <w:t>6</w:t>
      </w:r>
      <w:r w:rsidR="00E70913">
        <w:t>. 20</w:t>
      </w:r>
      <w:r w:rsidR="00EB43FB">
        <w:t>2</w:t>
      </w:r>
      <w:r w:rsidR="00690533">
        <w:t>5</w:t>
      </w:r>
      <w:r>
        <w:tab/>
      </w:r>
      <w:r>
        <w:tab/>
      </w:r>
    </w:p>
    <w:p w:rsidR="00813BE1" w:rsidRDefault="00813BE1" w:rsidP="00813BE1"/>
    <w:p w:rsidR="00813BE1" w:rsidRDefault="00813BE1" w:rsidP="00813BE1"/>
    <w:p w:rsidR="00813BE1" w:rsidRDefault="00813BE1" w:rsidP="00813BE1"/>
    <w:p w:rsidR="00813BE1" w:rsidRDefault="00813BE1" w:rsidP="00813BE1"/>
    <w:p w:rsidR="00813BE1" w:rsidRDefault="00813BE1" w:rsidP="00813BE1">
      <w:r>
        <w:t>Kupující:                                                                Prodávající:</w:t>
      </w:r>
    </w:p>
    <w:p w:rsidR="00813BE1" w:rsidRDefault="00813BE1" w:rsidP="00813BE1"/>
    <w:p w:rsidR="00813BE1" w:rsidRDefault="00813BE1" w:rsidP="00813BE1"/>
    <w:p w:rsidR="007F6D12" w:rsidRDefault="007F6D12" w:rsidP="00813BE1"/>
    <w:p w:rsidR="00813BE1" w:rsidRDefault="00813BE1" w:rsidP="00813BE1"/>
    <w:p w:rsidR="00E37ED9" w:rsidRDefault="00E37ED9" w:rsidP="00813BE1"/>
    <w:p w:rsidR="00813BE1" w:rsidRDefault="00813BE1" w:rsidP="00813BE1"/>
    <w:p w:rsidR="00813BE1" w:rsidRDefault="00813BE1" w:rsidP="00813BE1">
      <w:r>
        <w:t>…………………………………………</w:t>
      </w:r>
      <w:r>
        <w:tab/>
      </w:r>
      <w:r>
        <w:tab/>
        <w:t>………………………………………</w:t>
      </w:r>
    </w:p>
    <w:p w:rsidR="00C31F32" w:rsidRDefault="00813BE1" w:rsidP="00813BE1">
      <w:r>
        <w:t xml:space="preserve">       </w:t>
      </w:r>
      <w:r w:rsidR="00EB43FB">
        <w:t xml:space="preserve">      </w:t>
      </w:r>
      <w:r w:rsidR="00E70913">
        <w:t xml:space="preserve"> </w:t>
      </w:r>
      <w:r w:rsidR="00F172EE">
        <w:t xml:space="preserve">     </w:t>
      </w:r>
      <w:r w:rsidR="003B2937">
        <w:t>Tomáš Malczyk</w:t>
      </w:r>
      <w:r w:rsidR="00BF3418">
        <w:tab/>
      </w:r>
      <w:r w:rsidR="00EB43FB">
        <w:t xml:space="preserve">                </w:t>
      </w:r>
      <w:r w:rsidR="00F172EE">
        <w:t xml:space="preserve">           </w:t>
      </w:r>
      <w:r w:rsidR="00EB43FB">
        <w:t xml:space="preserve"> </w:t>
      </w:r>
      <w:r w:rsidR="006C4D2D">
        <w:tab/>
        <w:t xml:space="preserve">      </w:t>
      </w:r>
      <w:r w:rsidR="00EB43FB">
        <w:t xml:space="preserve"> </w:t>
      </w:r>
      <w:r w:rsidR="00BF3418">
        <w:t xml:space="preserve"> </w:t>
      </w:r>
      <w:r>
        <w:t>Ing. Zbyněk Gajdacz, MPA</w:t>
      </w:r>
    </w:p>
    <w:p w:rsidR="00813BE1" w:rsidRPr="00611379" w:rsidRDefault="00C31F32" w:rsidP="00813BE1">
      <w:r>
        <w:t xml:space="preserve">              </w:t>
      </w:r>
      <w:r w:rsidR="00E37ED9">
        <w:t xml:space="preserve"> </w:t>
      </w:r>
      <w:r w:rsidR="000B126C">
        <w:t xml:space="preserve"> </w:t>
      </w:r>
      <w:r w:rsidR="00E37090">
        <w:t xml:space="preserve"> </w:t>
      </w:r>
      <w:r w:rsidR="00BF3418">
        <w:t xml:space="preserve">        </w:t>
      </w:r>
      <w:r w:rsidR="003B2937">
        <w:t>jednatel</w:t>
      </w:r>
      <w:r w:rsidR="00BF3418">
        <w:t xml:space="preserve">                               </w:t>
      </w:r>
      <w:r w:rsidR="003B2937">
        <w:t xml:space="preserve">                     </w:t>
      </w:r>
      <w:r w:rsidR="00BF3418">
        <w:t xml:space="preserve">          </w:t>
      </w:r>
      <w:r w:rsidR="00813BE1">
        <w:t xml:space="preserve">ředitel společnosti  </w:t>
      </w:r>
    </w:p>
    <w:p w:rsidR="00EE37E8" w:rsidRDefault="00EE37E8"/>
    <w:p w:rsidR="00C936D9" w:rsidRDefault="00C936D9"/>
    <w:p w:rsidR="001D6939" w:rsidRDefault="001D6939"/>
    <w:p w:rsidR="007B23D5" w:rsidRDefault="007B23D5">
      <w:r>
        <w:t xml:space="preserve"> </w:t>
      </w:r>
    </w:p>
    <w:sectPr w:rsidR="007B23D5" w:rsidSect="001E37C0">
      <w:footerReference w:type="even" r:id="rId10"/>
      <w:footerReference w:type="default" r:id="rId11"/>
      <w:pgSz w:w="11906" w:h="16838"/>
      <w:pgMar w:top="1418" w:right="1418" w:bottom="1418" w:left="1418" w:header="70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91" w:rsidRDefault="00604D91">
      <w:r>
        <w:separator/>
      </w:r>
    </w:p>
  </w:endnote>
  <w:endnote w:type="continuationSeparator" w:id="0">
    <w:p w:rsidR="00604D91" w:rsidRDefault="0060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91" w:rsidRDefault="00604D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04D91" w:rsidRDefault="00604D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91" w:rsidRDefault="00604D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003D">
      <w:rPr>
        <w:rStyle w:val="slostrnky"/>
        <w:noProof/>
      </w:rPr>
      <w:t>4</w:t>
    </w:r>
    <w:r>
      <w:rPr>
        <w:rStyle w:val="slostrnky"/>
      </w:rPr>
      <w:fldChar w:fldCharType="end"/>
    </w:r>
  </w:p>
  <w:p w:rsidR="00604D91" w:rsidRDefault="00604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91" w:rsidRDefault="00604D91">
      <w:r>
        <w:separator/>
      </w:r>
    </w:p>
  </w:footnote>
  <w:footnote w:type="continuationSeparator" w:id="0">
    <w:p w:rsidR="00604D91" w:rsidRDefault="0060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DD1"/>
    <w:multiLevelType w:val="multilevel"/>
    <w:tmpl w:val="859E8E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D700BC"/>
    <w:multiLevelType w:val="hybridMultilevel"/>
    <w:tmpl w:val="FACACD9E"/>
    <w:lvl w:ilvl="0" w:tplc="1DD6FDE6">
      <w:start w:val="5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3F628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80B105E"/>
    <w:multiLevelType w:val="multilevel"/>
    <w:tmpl w:val="2828F2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6D2EF4"/>
    <w:multiLevelType w:val="multilevel"/>
    <w:tmpl w:val="F70E9C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F8322B"/>
    <w:multiLevelType w:val="multilevel"/>
    <w:tmpl w:val="A3C2CD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4919DE"/>
    <w:multiLevelType w:val="multilevel"/>
    <w:tmpl w:val="13446E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2032D6"/>
    <w:multiLevelType w:val="multilevel"/>
    <w:tmpl w:val="E14A65DC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E6506B"/>
    <w:multiLevelType w:val="multilevel"/>
    <w:tmpl w:val="A3DA7C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3472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3CE1C8A"/>
    <w:multiLevelType w:val="multilevel"/>
    <w:tmpl w:val="05AABE7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C0288A"/>
    <w:multiLevelType w:val="hybridMultilevel"/>
    <w:tmpl w:val="B2829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C7D04"/>
    <w:multiLevelType w:val="multilevel"/>
    <w:tmpl w:val="C4D231C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6C24B3"/>
    <w:multiLevelType w:val="singleLevel"/>
    <w:tmpl w:val="4084917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50DA0CEC"/>
    <w:multiLevelType w:val="multilevel"/>
    <w:tmpl w:val="D9529A7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EF14EA"/>
    <w:multiLevelType w:val="multilevel"/>
    <w:tmpl w:val="F7DA15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AA0CF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B3606C"/>
    <w:multiLevelType w:val="multilevel"/>
    <w:tmpl w:val="9246F12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D235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10C6714"/>
    <w:multiLevelType w:val="multilevel"/>
    <w:tmpl w:val="5430138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AC1852"/>
    <w:multiLevelType w:val="multilevel"/>
    <w:tmpl w:val="6784BCA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73934A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E2F4763"/>
    <w:multiLevelType w:val="multilevel"/>
    <w:tmpl w:val="B4F228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A7712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3"/>
  </w:num>
  <w:num w:numId="2">
    <w:abstractNumId w:val="23"/>
  </w:num>
  <w:num w:numId="3">
    <w:abstractNumId w:val="9"/>
  </w:num>
  <w:num w:numId="4">
    <w:abstractNumId w:val="21"/>
  </w:num>
  <w:num w:numId="5">
    <w:abstractNumId w:val="2"/>
  </w:num>
  <w:num w:numId="6">
    <w:abstractNumId w:val="16"/>
  </w:num>
  <w:num w:numId="7">
    <w:abstractNumId w:val="18"/>
  </w:num>
  <w:num w:numId="8">
    <w:abstractNumId w:val="22"/>
  </w:num>
  <w:num w:numId="9">
    <w:abstractNumId w:val="6"/>
  </w:num>
  <w:num w:numId="10">
    <w:abstractNumId w:val="20"/>
  </w:num>
  <w:num w:numId="11">
    <w:abstractNumId w:val="10"/>
  </w:num>
  <w:num w:numId="12">
    <w:abstractNumId w:val="17"/>
  </w:num>
  <w:num w:numId="13">
    <w:abstractNumId w:val="4"/>
  </w:num>
  <w:num w:numId="14">
    <w:abstractNumId w:val="19"/>
  </w:num>
  <w:num w:numId="15">
    <w:abstractNumId w:val="7"/>
  </w:num>
  <w:num w:numId="16">
    <w:abstractNumId w:val="5"/>
  </w:num>
  <w:num w:numId="17">
    <w:abstractNumId w:val="3"/>
  </w:num>
  <w:num w:numId="18">
    <w:abstractNumId w:val="8"/>
  </w:num>
  <w:num w:numId="19">
    <w:abstractNumId w:val="15"/>
  </w:num>
  <w:num w:numId="20">
    <w:abstractNumId w:val="1"/>
  </w:num>
  <w:num w:numId="21">
    <w:abstractNumId w:val="0"/>
  </w:num>
  <w:num w:numId="22">
    <w:abstractNumId w:val="14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7E0"/>
    <w:rsid w:val="00023884"/>
    <w:rsid w:val="000266AB"/>
    <w:rsid w:val="000518CC"/>
    <w:rsid w:val="00061F93"/>
    <w:rsid w:val="000948A9"/>
    <w:rsid w:val="00097E8C"/>
    <w:rsid w:val="000A003D"/>
    <w:rsid w:val="000B126C"/>
    <w:rsid w:val="000B3EB3"/>
    <w:rsid w:val="000B50A7"/>
    <w:rsid w:val="000C70D8"/>
    <w:rsid w:val="000D25EA"/>
    <w:rsid w:val="000D4A62"/>
    <w:rsid w:val="000E295B"/>
    <w:rsid w:val="000E2D1E"/>
    <w:rsid w:val="000F2F60"/>
    <w:rsid w:val="000F5C3E"/>
    <w:rsid w:val="00101F52"/>
    <w:rsid w:val="00152397"/>
    <w:rsid w:val="00181DDB"/>
    <w:rsid w:val="00193711"/>
    <w:rsid w:val="00193DF2"/>
    <w:rsid w:val="001B471A"/>
    <w:rsid w:val="001B7EA2"/>
    <w:rsid w:val="001C7612"/>
    <w:rsid w:val="001D6939"/>
    <w:rsid w:val="001E37C0"/>
    <w:rsid w:val="001F0127"/>
    <w:rsid w:val="001F18D2"/>
    <w:rsid w:val="001F7D4F"/>
    <w:rsid w:val="0020422E"/>
    <w:rsid w:val="00213EBE"/>
    <w:rsid w:val="00235ACD"/>
    <w:rsid w:val="0024232F"/>
    <w:rsid w:val="0026048F"/>
    <w:rsid w:val="0026621B"/>
    <w:rsid w:val="002856F1"/>
    <w:rsid w:val="002B12E6"/>
    <w:rsid w:val="002B33A2"/>
    <w:rsid w:val="002C1C34"/>
    <w:rsid w:val="002E1A12"/>
    <w:rsid w:val="002E415F"/>
    <w:rsid w:val="002E7B65"/>
    <w:rsid w:val="002F2443"/>
    <w:rsid w:val="0030598D"/>
    <w:rsid w:val="003336EB"/>
    <w:rsid w:val="00337866"/>
    <w:rsid w:val="00363132"/>
    <w:rsid w:val="003867E0"/>
    <w:rsid w:val="00391340"/>
    <w:rsid w:val="00397AD5"/>
    <w:rsid w:val="003A1E6B"/>
    <w:rsid w:val="003B2937"/>
    <w:rsid w:val="003C007B"/>
    <w:rsid w:val="003C78B0"/>
    <w:rsid w:val="003D595B"/>
    <w:rsid w:val="00405805"/>
    <w:rsid w:val="00407169"/>
    <w:rsid w:val="00436244"/>
    <w:rsid w:val="004417A4"/>
    <w:rsid w:val="00454A19"/>
    <w:rsid w:val="004745CA"/>
    <w:rsid w:val="00476C50"/>
    <w:rsid w:val="00485447"/>
    <w:rsid w:val="00493D48"/>
    <w:rsid w:val="004A0E83"/>
    <w:rsid w:val="004A6600"/>
    <w:rsid w:val="004B7783"/>
    <w:rsid w:val="004E1BF9"/>
    <w:rsid w:val="004E4871"/>
    <w:rsid w:val="004F5AAC"/>
    <w:rsid w:val="004F73C1"/>
    <w:rsid w:val="00500E38"/>
    <w:rsid w:val="00507491"/>
    <w:rsid w:val="00515D32"/>
    <w:rsid w:val="00526E06"/>
    <w:rsid w:val="00530B6B"/>
    <w:rsid w:val="00541296"/>
    <w:rsid w:val="00543F2B"/>
    <w:rsid w:val="00550D05"/>
    <w:rsid w:val="00555776"/>
    <w:rsid w:val="005574BC"/>
    <w:rsid w:val="005576BF"/>
    <w:rsid w:val="00574871"/>
    <w:rsid w:val="00581DA1"/>
    <w:rsid w:val="005A1BA9"/>
    <w:rsid w:val="005C0470"/>
    <w:rsid w:val="005D199B"/>
    <w:rsid w:val="005D2D1C"/>
    <w:rsid w:val="005F55FF"/>
    <w:rsid w:val="00604D91"/>
    <w:rsid w:val="00611379"/>
    <w:rsid w:val="0063343A"/>
    <w:rsid w:val="00690533"/>
    <w:rsid w:val="006C4D2D"/>
    <w:rsid w:val="006C694D"/>
    <w:rsid w:val="006E5374"/>
    <w:rsid w:val="006F5FDE"/>
    <w:rsid w:val="00725A70"/>
    <w:rsid w:val="00755204"/>
    <w:rsid w:val="00775EB1"/>
    <w:rsid w:val="00781C58"/>
    <w:rsid w:val="007839E5"/>
    <w:rsid w:val="007857BD"/>
    <w:rsid w:val="007A0B42"/>
    <w:rsid w:val="007A7A43"/>
    <w:rsid w:val="007B23D5"/>
    <w:rsid w:val="007B7B29"/>
    <w:rsid w:val="007D1C12"/>
    <w:rsid w:val="007F6D12"/>
    <w:rsid w:val="00813BE1"/>
    <w:rsid w:val="008151ED"/>
    <w:rsid w:val="008168FC"/>
    <w:rsid w:val="0082089B"/>
    <w:rsid w:val="00894D77"/>
    <w:rsid w:val="008A660B"/>
    <w:rsid w:val="008A6BD8"/>
    <w:rsid w:val="008D5F41"/>
    <w:rsid w:val="008E60D9"/>
    <w:rsid w:val="00907CCF"/>
    <w:rsid w:val="00917D53"/>
    <w:rsid w:val="0092004C"/>
    <w:rsid w:val="00927BA5"/>
    <w:rsid w:val="00936141"/>
    <w:rsid w:val="009628E8"/>
    <w:rsid w:val="00993BDF"/>
    <w:rsid w:val="009A4C43"/>
    <w:rsid w:val="009B6490"/>
    <w:rsid w:val="009E66B5"/>
    <w:rsid w:val="00A03DFF"/>
    <w:rsid w:val="00A3227E"/>
    <w:rsid w:val="00A74B46"/>
    <w:rsid w:val="00A923FF"/>
    <w:rsid w:val="00A934D9"/>
    <w:rsid w:val="00A94BF6"/>
    <w:rsid w:val="00A96ED5"/>
    <w:rsid w:val="00AA6F10"/>
    <w:rsid w:val="00AE7C0D"/>
    <w:rsid w:val="00B07962"/>
    <w:rsid w:val="00B2762B"/>
    <w:rsid w:val="00B3736B"/>
    <w:rsid w:val="00B9351A"/>
    <w:rsid w:val="00BE774D"/>
    <w:rsid w:val="00BF0DB1"/>
    <w:rsid w:val="00BF3418"/>
    <w:rsid w:val="00BF5362"/>
    <w:rsid w:val="00C064EC"/>
    <w:rsid w:val="00C12C31"/>
    <w:rsid w:val="00C31F32"/>
    <w:rsid w:val="00C324E9"/>
    <w:rsid w:val="00C43A37"/>
    <w:rsid w:val="00C50D5B"/>
    <w:rsid w:val="00C804B1"/>
    <w:rsid w:val="00C809D3"/>
    <w:rsid w:val="00C81A98"/>
    <w:rsid w:val="00C936D9"/>
    <w:rsid w:val="00CA4D2E"/>
    <w:rsid w:val="00CC7D2E"/>
    <w:rsid w:val="00CE02D7"/>
    <w:rsid w:val="00D04812"/>
    <w:rsid w:val="00D22817"/>
    <w:rsid w:val="00D32630"/>
    <w:rsid w:val="00D3305A"/>
    <w:rsid w:val="00D501C3"/>
    <w:rsid w:val="00D50BD9"/>
    <w:rsid w:val="00D60C20"/>
    <w:rsid w:val="00D63DCA"/>
    <w:rsid w:val="00D7502C"/>
    <w:rsid w:val="00D93F72"/>
    <w:rsid w:val="00DA0E20"/>
    <w:rsid w:val="00DA5E8B"/>
    <w:rsid w:val="00E01D8D"/>
    <w:rsid w:val="00E05BEE"/>
    <w:rsid w:val="00E20464"/>
    <w:rsid w:val="00E21CB5"/>
    <w:rsid w:val="00E30B3D"/>
    <w:rsid w:val="00E32693"/>
    <w:rsid w:val="00E37090"/>
    <w:rsid w:val="00E37ED9"/>
    <w:rsid w:val="00E5417E"/>
    <w:rsid w:val="00E70913"/>
    <w:rsid w:val="00E74B43"/>
    <w:rsid w:val="00E91D1C"/>
    <w:rsid w:val="00E94595"/>
    <w:rsid w:val="00EB43FB"/>
    <w:rsid w:val="00EE37E8"/>
    <w:rsid w:val="00F0013A"/>
    <w:rsid w:val="00F17046"/>
    <w:rsid w:val="00F172EE"/>
    <w:rsid w:val="00F17B00"/>
    <w:rsid w:val="00F21490"/>
    <w:rsid w:val="00F21F83"/>
    <w:rsid w:val="00F240F9"/>
    <w:rsid w:val="00F359DC"/>
    <w:rsid w:val="00F53C86"/>
    <w:rsid w:val="00F54A3B"/>
    <w:rsid w:val="00F65DF3"/>
    <w:rsid w:val="00F86E5D"/>
    <w:rsid w:val="00F91E54"/>
    <w:rsid w:val="00FC47EF"/>
    <w:rsid w:val="00FD0EB9"/>
    <w:rsid w:val="00FD71D8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D8172"/>
  <w15:docId w15:val="{8B03D661-B9F8-4A60-9D03-E2CEE89A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7C0"/>
    <w:rPr>
      <w:sz w:val="24"/>
    </w:rPr>
  </w:style>
  <w:style w:type="paragraph" w:styleId="Nadpis1">
    <w:name w:val="heading 1"/>
    <w:basedOn w:val="Normln"/>
    <w:next w:val="Normln"/>
    <w:qFormat/>
    <w:rsid w:val="001E37C0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E37C0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E37C0"/>
    <w:pPr>
      <w:keepNext/>
      <w:jc w:val="center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E37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E37C0"/>
  </w:style>
  <w:style w:type="paragraph" w:styleId="Zkladntext">
    <w:name w:val="Body Text"/>
    <w:basedOn w:val="Normln"/>
    <w:rsid w:val="001E37C0"/>
    <w:rPr>
      <w:rFonts w:ascii="Arial" w:hAnsi="Arial" w:cs="Arial"/>
      <w:bCs/>
      <w:sz w:val="22"/>
    </w:rPr>
  </w:style>
  <w:style w:type="character" w:styleId="Hypertextovodkaz">
    <w:name w:val="Hyperlink"/>
    <w:basedOn w:val="Standardnpsmoodstavce"/>
    <w:rsid w:val="001E37C0"/>
    <w:rPr>
      <w:color w:val="0000FF"/>
      <w:u w:val="single"/>
    </w:rPr>
  </w:style>
  <w:style w:type="paragraph" w:styleId="Zkladntextodsazen">
    <w:name w:val="Body Text Indent"/>
    <w:basedOn w:val="Normln"/>
    <w:rsid w:val="001E37C0"/>
    <w:pPr>
      <w:ind w:left="708"/>
      <w:jc w:val="both"/>
    </w:pPr>
    <w:rPr>
      <w:rFonts w:ascii="Arial" w:hAnsi="Arial" w:cs="Arial"/>
      <w:bCs/>
      <w:sz w:val="22"/>
    </w:rPr>
  </w:style>
  <w:style w:type="paragraph" w:styleId="Zkladntextodsazen2">
    <w:name w:val="Body Text Indent 2"/>
    <w:basedOn w:val="Normln"/>
    <w:rsid w:val="001E37C0"/>
    <w:pPr>
      <w:ind w:left="705" w:hanging="705"/>
      <w:jc w:val="both"/>
    </w:pPr>
  </w:style>
  <w:style w:type="paragraph" w:styleId="Odstavecseseznamem">
    <w:name w:val="List Paragraph"/>
    <w:basedOn w:val="Normln"/>
    <w:uiPriority w:val="34"/>
    <w:qFormat/>
    <w:rsid w:val="00EE37E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5F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FD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5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5FD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5FD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FDE"/>
    <w:rPr>
      <w:b/>
      <w:bCs/>
    </w:rPr>
  </w:style>
  <w:style w:type="paragraph" w:styleId="Revize">
    <w:name w:val="Revision"/>
    <w:hidden/>
    <w:uiPriority w:val="99"/>
    <w:semiHidden/>
    <w:rsid w:val="006F5FDE"/>
    <w:rPr>
      <w:sz w:val="24"/>
    </w:rPr>
  </w:style>
  <w:style w:type="paragraph" w:customStyle="1" w:styleId="strany">
    <w:name w:val="strany"/>
    <w:basedOn w:val="Normln"/>
    <w:rsid w:val="00604D91"/>
    <w:pPr>
      <w:tabs>
        <w:tab w:val="left" w:pos="2835"/>
        <w:tab w:val="center" w:pos="6804"/>
      </w:tabs>
      <w:suppressAutoHyphens/>
      <w:overflowPunct w:val="0"/>
      <w:autoSpaceDE w:val="0"/>
      <w:spacing w:before="120" w:after="120"/>
      <w:ind w:left="567" w:hanging="567"/>
    </w:pPr>
    <w:rPr>
      <w:szCs w:val="24"/>
      <w:lang w:eastAsia="ar-SA"/>
    </w:rPr>
  </w:style>
  <w:style w:type="character" w:customStyle="1" w:styleId="nowrap">
    <w:name w:val="nowrap"/>
    <w:basedOn w:val="Standardnpsmoodstavce"/>
    <w:rsid w:val="000D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k@t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s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6C9D-F29E-426B-A12A-5DA89CC4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bbb</vt:lpstr>
    </vt:vector>
  </TitlesOfParts>
  <Company>.</Company>
  <LinksUpToDate>false</LinksUpToDate>
  <CharactersWithSpaces>6910</CharactersWithSpaces>
  <SharedDoc>false</SharedDoc>
  <HLinks>
    <vt:vector size="12" baseType="variant">
      <vt:variant>
        <vt:i4>7864439</vt:i4>
      </vt:variant>
      <vt:variant>
        <vt:i4>3</vt:i4>
      </vt:variant>
      <vt:variant>
        <vt:i4>0</vt:i4>
      </vt:variant>
      <vt:variant>
        <vt:i4>5</vt:i4>
      </vt:variant>
      <vt:variant>
        <vt:lpwstr>http://www.tsk.cz/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mailto:tsk@tsk.cz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</dc:title>
  <dc:creator>Technické služby Karviná, a. s.</dc:creator>
  <cp:lastModifiedBy>TS Karviná - Renata Rudolová</cp:lastModifiedBy>
  <cp:revision>51</cp:revision>
  <cp:lastPrinted>2025-06-03T05:43:00Z</cp:lastPrinted>
  <dcterms:created xsi:type="dcterms:W3CDTF">2015-11-03T07:27:00Z</dcterms:created>
  <dcterms:modified xsi:type="dcterms:W3CDTF">2025-08-15T05:42:00Z</dcterms:modified>
</cp:coreProperties>
</file>