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1" w:lineRule="exact"/>
        <w:ind w:left="3351" w:right="0" w:firstLine="0"/>
      </w:pPr>
      <w:r>
        <w:drawing>
          <wp:anchor simplePos="0" relativeHeight="251659436" behindDoc="0" locked="0" layoutInCell="1" allowOverlap="1">
            <wp:simplePos x="0" y="0"/>
            <wp:positionH relativeFrom="page">
              <wp:posOffset>640080</wp:posOffset>
            </wp:positionH>
            <wp:positionV relativeFrom="line">
              <wp:posOffset>-68766</wp:posOffset>
            </wp:positionV>
            <wp:extent cx="711098" cy="359727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1098" cy="359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Sběr, svoz a likvidace odpadů ve FN Brno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49" w:lineRule="exact"/>
        <w:ind w:left="2840" w:right="0" w:firstLine="0"/>
      </w:pPr>
      <w:r/>
      <w:r>
        <w:rPr lang="en-US" sz="13" baseline="0" dirty="0">
          <w:jc w:val="left"/>
          <w:rFonts w:ascii="Arial" w:hAnsi="Arial" w:cs="Arial"/>
          <w:b/>
          <w:bCs/>
          <w:color w:val="0D50FF"/>
          <w:sz w:val="13"/>
          <w:szCs w:val="13"/>
        </w:rPr>
        <w:t>Příloha č. 1 - „Specifikace ceny – nebezpečné a ostatní odpady“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008" w:tblpY="-229"/>
        <w:tblOverlap w:val="never"/>
        "
        <w:tblW w:w="8746" w:type="dxa"/>
        <w:tblLook w:val="04A0" w:firstRow="1" w:lastRow="0" w:firstColumn="1" w:lastColumn="0" w:noHBand="0" w:noVBand="1"/>
      </w:tblPr>
      <w:tblGrid>
        <w:gridCol w:w="628"/>
        <w:gridCol w:w="545"/>
        <w:gridCol w:w="4954"/>
        <w:gridCol w:w="792"/>
        <w:gridCol w:w="787"/>
        <w:gridCol w:w="1058"/>
      </w:tblGrid>
      <w:tr>
        <w:trPr>
          <w:trHeight w:hRule="exact" w:val="230"/>
        </w:trPr>
        <w:tc>
          <w:tcPr>
            <w:tcW w:w="6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56084</wp:posOffset>
                  </wp:positionV>
                  <wp:extent cx="2611536" cy="182269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0559" y="56084"/>
                            <a:ext cx="2497236" cy="67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40"/>
                                  <w:tab w:val="left" w:pos="3290"/>
                                </w:tabs>
                                <w:spacing w:before="0" w:after="0" w:line="107" w:lineRule="exact"/>
                                <w:ind w:left="0" w:right="0" w:firstLine="0"/>
                              </w:pPr>
                              <w:r>
                                <w:rPr lang="en-US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Kód odpadu	</w:t>
                              </w:r>
                              <w:r>
                                <w:rPr lang="en-US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Kategorie	</w:t>
                              </w:r>
                              <w:r>
                                <w:rPr lang="en-US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Název odpadu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9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7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17984</wp:posOffset>
                  </wp:positionV>
                  <wp:extent cx="598931" cy="260247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52822" y="17984"/>
                            <a:ext cx="484631" cy="1459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2" w:lineRule="exact"/>
                                <w:ind w:left="204" w:right="0" w:hanging="204"/>
                              </w:pPr>
                              <w:r>
                                <w:rPr lang="en-US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Produkce v roce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2017 (t)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89915</wp:posOffset>
                  </wp:positionH>
                  <wp:positionV relativeFrom="paragraph">
                    <wp:posOffset>17984</wp:posOffset>
                  </wp:positionV>
                  <wp:extent cx="461954" cy="260247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24322" y="17984"/>
                            <a:ext cx="347654" cy="1459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2" w:lineRule="exact"/>
                                <w:ind w:left="134" w:right="0" w:hanging="134"/>
                              </w:pPr>
                              <w:r>
                                <w:rPr lang="en-US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Jednotková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cena*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55" w:line="240" w:lineRule="auto"/>
              <w:ind w:left="141" w:right="201" w:firstLine="0"/>
              <w:jc w:val="right"/>
            </w:pPr>
            <w:r/>
            <w:r>
              <w:rPr lang="en-US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Cena celkem*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8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06 01 06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Jiné kyseliny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15 157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07 02 99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Odpady blíže neurčené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4 004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08 04 09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Odpadní lepidla a těsnící mat.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15 157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09 01 01 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Vodné roztoky vývojek a aktivátorů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15 157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09 01 04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Roztoky ustalovačů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15 157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09 01 07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Fotograf. film a papír obsahující Ag**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0,790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-41 524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-32 803,60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13 02 05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Nechlor. motorové minerální oleje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13 02 08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Jiné motorové, převodové oleje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15 01 01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Papírové a lepenkové obaly**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80,030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1 190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95 233,10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15 01 02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Plastový obal**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4,099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1 190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6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4 877,68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15 01 07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Skleněné obaly**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7,369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669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6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4 927,41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15 01 10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Obaly obsahující zbytky NL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15 157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15 02 02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Absorpční činidla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15 157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15 02 03 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Absorpční činidla, filtr.mater.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6,420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3 810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24 456,99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16 01 03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Pneumatiky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0,280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4 912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6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1 375,43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16 02 09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Transformátory a kondenzátory obsahující PCB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73 513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3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16 02 13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Vyřazená zařízení obsahující nebezpečné složky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2 807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16 06 01 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Olověné akumulátory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16 06 02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Ni-kadm. akumulátory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16 06 04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Alkalické baterie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16 06 05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Jiné baterie a akumulátory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15 157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17 01 02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Cihly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27,480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3 443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94 602,24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17 01 06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Směsi nebo oddělené frakce betonu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3 443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17 02 01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Dřevo**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3 443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17 04 01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Měď,bronz,mosaz**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0,788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9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-109 273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-86 106,73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17 04 05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Železo a ocel**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67,720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4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-1 093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2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-73 999,34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17 06 04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Izolační materiály neuvedené pod čísly 17 06 01a 17 06 03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3 443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17 06 05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Stavební materiály obsahující azbest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3,320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4 912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16 308,67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Ostré předměty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0,846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12 297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10 402,98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18 01 02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Části těla a orgány včetně vaků a kr. konzerv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12 911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3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18 01 03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52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0" w:firstLine="0"/>
              <w:jc w:val="both"/>
            </w:pPr>
            <w:r>
              <w:drawing>
                <wp:anchor simplePos="0" relativeHeight="251658243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line">
                    <wp:posOffset>-13666</wp:posOffset>
                  </wp:positionV>
                  <wp:extent cx="3650235" cy="193548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650235" cy="193548"/>
                          </a:xfrm>
                          <a:custGeom>
                            <a:rect l="l" t="t" r="r" b="b"/>
                            <a:pathLst>
                              <a:path w="3650235" h="193548">
                                <a:moveTo>
                                  <a:pt x="0" y="193548"/>
                                </a:moveTo>
                                <a:lnTo>
                                  <a:pt x="3650235" y="193548"/>
                                </a:lnTo>
                                <a:lnTo>
                                  <a:pt x="3650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Odpady na jejichž sběr a odstraňování jsou kladeny zvláštní požadavky s ohledem na prevenci infekce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37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785,443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82" w:right="-5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12 297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32" w:right="-18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9 658 329,45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</w:tr>
      <w:tr>
        <w:trPr>
          <w:trHeight w:hRule="exact" w:val="116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18 01 03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-4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Odpady na jejichž sběr a odstraňování jsou kladeny zvláštní požadavky s ohledem na prevenci infekce COVID-19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9 624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</w:tr>
      <w:tr>
        <w:trPr>
          <w:trHeight w:hRule="exact" w:val="145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3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18010301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52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0" w:firstLine="0"/>
              <w:jc w:val="both"/>
            </w:pPr>
            <w:r>
              <w:drawing>
                <wp:anchor simplePos="0" relativeHeight="251658246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line">
                    <wp:posOffset>-13716</wp:posOffset>
                  </wp:positionV>
                  <wp:extent cx="3650235" cy="235001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650235" cy="235001"/>
                          </a:xfrm>
                          <a:custGeom>
                            <a:rect l="l" t="t" r="r" b="b"/>
                            <a:pathLst>
                              <a:path w="3650235" h="235001">
                                <a:moveTo>
                                  <a:pt x="0" y="235001"/>
                                </a:moveTo>
                                <a:lnTo>
                                  <a:pt x="3650235" y="235001"/>
                                </a:lnTo>
                                <a:lnTo>
                                  <a:pt x="3650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Ostré předměty, na jejichž sběr a odstraňování jsou kladeny zvláštní požadavky s ohledem na prevenci infekce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82" w:right="-5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12 297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8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47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18010302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47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47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Části těla a orgány včetně krevních vaků a krevních konzerv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47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12 911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5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3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18 01 04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50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Odpady na jejich sběr a odstraňování nejsou kladeny zvláštní požadavky s ohledem na prevenci infekce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90" w:right="0" w:firstLine="0"/>
              <w:jc w:val="both"/>
            </w:pPr>
            <w:r>
              <w:drawing>
                <wp:anchor simplePos="0" relativeHeight="251658249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line">
                    <wp:posOffset>-9093</wp:posOffset>
                  </wp:positionV>
                  <wp:extent cx="504444" cy="10668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04444" cy="106680"/>
                          </a:xfrm>
                          <a:custGeom>
                            <a:rect l="l" t="t" r="r" b="b"/>
                            <a:pathLst>
                              <a:path w="504444" h="106680">
                                <a:moveTo>
                                  <a:pt x="0" y="106680"/>
                                </a:moveTo>
                                <a:lnTo>
                                  <a:pt x="504444" y="106680"/>
                                </a:lnTo>
                                <a:lnTo>
                                  <a:pt x="504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3,580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82" w:right="-5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12 297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64" w:right="-18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44 022,06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</w:tr>
      <w:tr>
        <w:trPr>
          <w:trHeight w:hRule="exact" w:val="145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3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18 01 06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52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02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Chemikálie, které jsou nebo obsah. NL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90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0,832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82" w:right="-5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26 946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64" w:right="-18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22 419,24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18 01 08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Nepoužitelná cytostatika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12 911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18 01 09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Jiná nepoužitelná léčiva neuved. pod č.180106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3,817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12 832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4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48 979,74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9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18 01 10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Odpadní amalgám ze stomatologické péče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12 911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3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19 08 01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Shrabky z česlí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4 564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19 08 05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Kaly z čištění komunálních odpadních vod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4 564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19 08 09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  <w:jc w:val="both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line">
                    <wp:posOffset>-14936</wp:posOffset>
                  </wp:positionV>
                  <wp:extent cx="3650235" cy="92964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650235" cy="92964"/>
                          </a:xfrm>
                          <a:custGeom>
                            <a:rect l="l" t="t" r="r" b="b"/>
                            <a:pathLst>
                              <a:path w="3650235" h="92964">
                                <a:moveTo>
                                  <a:pt x="0" y="92964"/>
                                </a:moveTo>
                                <a:lnTo>
                                  <a:pt x="3650235" y="92964"/>
                                </a:lnTo>
                                <a:lnTo>
                                  <a:pt x="3650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Směs tuků a olejů z odlučovače tuků obsahující pouze jedlé oleje a jedlé tuky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11,500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3 509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4" w:right="-18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40 350,63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</w:tr>
      <w:tr>
        <w:trPr>
          <w:trHeight w:hRule="exact" w:val="123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Papír a lepenka**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1 310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  <w:jc w:val="both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20 01 02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Sklo**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669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3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20 01 08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Biologicky rozložitelný odpad z kuchyní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7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181,792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4 678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850 362,08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9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Oděvy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4 564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20 01 21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Zářivky a jiný odpad obsahující rtuť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30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109 273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20 01 23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Vyřazená zařízení obsahující chlorofluorouhlovodíky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2,540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0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109 000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09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20 01 32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Ostat.léčiva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0,200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2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12 911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6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2 582,24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20 01 35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Vyřazené elektrické a elektronické zařízení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7,340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31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20 01 36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Vyřazená elektrická a elektronická zařízení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16,950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20 01 38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Dřevo neuvedené pod č. 20 01 37**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3 443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20 01 39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Plasty**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0,100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1 190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119,00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20 01 40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Kovy**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4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-1 093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20 01 40 02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Měď, bronz a mosaz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1 093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20 01 40 05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Hliník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1 093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20 02 01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Biologicky rozložitelný odpad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1 069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2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20 03 01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Směsný komunální odpad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9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1 043,748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2 473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2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2 581 363,63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07"/>
        </w:trPr>
        <w:tc>
          <w:tcPr>
            <w:tcW w:w="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20 03 07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0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2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Objemný odpad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7" w:right="0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135,020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shd w:val="clear" w:color="auto" w:fill="E7E7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-5" w:firstLine="0"/>
            </w:pPr>
            <w:r/>
            <w:r>
              <w:rPr lang="en-US" sz="9" baseline="0" dirty="0">
                <w:jc w:val="left"/>
                <w:rFonts w:ascii="Arial" w:hAnsi="Arial" w:cs="Arial"/>
                <w:u w:val="single"/>
                <w:color w:val="000000"/>
                <w:sz w:val="9"/>
                <w:szCs w:val="9"/>
              </w:rPr>
              <w:t>3 409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-18" w:firstLine="0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460 215,67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9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132589</wp:posOffset>
                  </wp:positionH>
                  <wp:positionV relativeFrom="paragraph">
                    <wp:posOffset>6899</wp:posOffset>
                  </wp:positionV>
                  <wp:extent cx="2257507" cy="195863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18158" y="6899"/>
                            <a:ext cx="21432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en-US" sz="1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1"/>
                                  <w:szCs w:val="11"/>
                                </w:rPr>
                                <w:t>Celková roční cena za za sběr, svoz a likvidaci všech odpadů: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9" w:right="151" w:firstLine="0"/>
              <w:jc w:val="right"/>
            </w:pPr>
            <w:r/>
            <w:r>
              <w:rPr lang="en-US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2 392,004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432" behindDoc="0" locked="0" layoutInCell="1" allowOverlap="1">
                  <wp:simplePos x="0" y="0"/>
                  <wp:positionH relativeFrom="page">
                    <wp:posOffset>3809</wp:posOffset>
                  </wp:positionH>
                  <wp:positionV relativeFrom="paragraph">
                    <wp:posOffset>-761</wp:posOffset>
                  </wp:positionV>
                  <wp:extent cx="490982" cy="88341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0982" cy="88341"/>
                          </a:xfrm>
                          <a:custGeom>
                            <a:rect l="l" t="t" r="r" b="b"/>
                            <a:pathLst>
                              <a:path w="490982" h="88341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490982" y="85293"/>
                                </a:lnTo>
                                <a:lnTo>
                                  <a:pt x="490982" y="88341"/>
                                </a:lnTo>
                                <a:lnTo>
                                  <a:pt x="474218" y="88341"/>
                                </a:ln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33" behindDoc="0" locked="0" layoutInCell="1" allowOverlap="1">
                  <wp:simplePos x="0" y="0"/>
                  <wp:positionH relativeFrom="page">
                    <wp:posOffset>3809</wp:posOffset>
                  </wp:positionH>
                  <wp:positionV relativeFrom="paragraph">
                    <wp:posOffset>-761</wp:posOffset>
                  </wp:positionV>
                  <wp:extent cx="490982" cy="88341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0982" cy="88341"/>
                          </a:xfrm>
                          <a:custGeom>
                            <a:rect l="l" t="t" r="r" b="b"/>
                            <a:pathLst>
                              <a:path w="490982" h="88341">
                                <a:moveTo>
                                  <a:pt x="490982" y="0"/>
                                </a:moveTo>
                                <a:lnTo>
                                  <a:pt x="474218" y="0"/>
                                </a:lnTo>
                                <a:lnTo>
                                  <a:pt x="0" y="85293"/>
                                </a:lnTo>
                                <a:lnTo>
                                  <a:pt x="0" y="88341"/>
                                </a:lnTo>
                                <a:lnTo>
                                  <a:pt x="16764" y="88341"/>
                                </a:lnTo>
                                <a:lnTo>
                                  <a:pt x="490982" y="3047"/>
                                </a:lnTo>
                                <a:lnTo>
                                  <a:pt x="490982" y="0"/>
                                </a:lnTo>
                                <a:close/>
                                <a:moveTo>
                                  <a:pt x="490982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0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19" w:firstLine="0"/>
              <w:jc w:val="right"/>
            </w:pPr>
            <w:r/>
            <w:r>
              <w:rPr lang="en-US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13 768 018,55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40" w:after="0" w:line="107" w:lineRule="exact"/>
        <w:ind w:left="521" w:right="0" w:firstLine="0"/>
      </w:pPr>
      <w:r/>
      <w:r>
        <w:rPr lang="en-US" sz="9" baseline="0" dirty="0">
          <w:jc w:val="left"/>
          <w:rFonts w:ascii="Arial" w:hAnsi="Arial" w:cs="Arial"/>
          <w:b/>
          <w:bCs/>
          <w:color w:val="000000"/>
          <w:sz w:val="9"/>
          <w:szCs w:val="9"/>
        </w:rPr>
        <w:t>Legenda</w:t>
      </w:r>
      <w:r>
        <w:rPr>
          <w:rFonts w:ascii="Times New Roman" w:hAnsi="Times New Roman" w:cs="Times New Roman"/>
          <w:sz w:val="9"/>
          <w:szCs w:val="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07" w:lineRule="exact"/>
        <w:ind w:left="1145" w:right="0" w:firstLine="0"/>
      </w:pPr>
      <w:r/>
      <w:r>
        <w:rPr lang="en-US" sz="9" baseline="0" dirty="0">
          <w:jc w:val="left"/>
          <w:rFonts w:ascii="Arial" w:hAnsi="Arial" w:cs="Arial"/>
          <w:color w:val="000000"/>
          <w:sz w:val="9"/>
          <w:szCs w:val="9"/>
        </w:rPr>
        <w:t>* Jednotková cena bude uvedena v Kč bez DPH za sběr, svoz a likvidaci jedné tuny příslušného odpadu</w:t>
      </w:r>
      <w:r>
        <w:rPr>
          <w:rFonts w:ascii="Times New Roman" w:hAnsi="Times New Roman" w:cs="Times New Roman"/>
          <w:sz w:val="9"/>
          <w:szCs w:val="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07" w:lineRule="exact"/>
        <w:ind w:left="1145" w:right="0" w:firstLine="0"/>
      </w:pPr>
      <w:r/>
      <w:r>
        <w:rPr lang="en-US" sz="9" baseline="0" dirty="0">
          <w:jc w:val="left"/>
          <w:rFonts w:ascii="Arial" w:hAnsi="Arial" w:cs="Arial"/>
          <w:color w:val="000000"/>
          <w:sz w:val="9"/>
          <w:szCs w:val="9"/>
        </w:rPr>
        <w:t>* Celková cena je vypočtena v Kč bez DPH za sběr, svoz a likvidaci celé produkce příslušného odpadu v roce 2017</w:t>
      </w:r>
      <w:r>
        <w:rPr>
          <w:rFonts w:ascii="Times New Roman" w:hAnsi="Times New Roman" w:cs="Times New Roman"/>
          <w:sz w:val="9"/>
          <w:szCs w:val="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5" w:h="12394"/>
          <w:pgMar w:top="343" w:right="500" w:bottom="275" w:left="500" w:header="708" w:footer="708" w:gutter="0"/>
          <w:docGrid w:linePitch="360"/>
        </w:sectPr>
        <w:spacing w:before="0" w:after="0" w:line="107" w:lineRule="exact"/>
        <w:ind w:left="1145" w:right="0" w:firstLine="0"/>
      </w:pPr>
      <w:r/>
      <w:r>
        <w:rPr lang="en-US" sz="9" baseline="0" dirty="0">
          <w:jc w:val="left"/>
          <w:rFonts w:ascii="Arial" w:hAnsi="Arial" w:cs="Arial"/>
          <w:color w:val="000000"/>
          <w:sz w:val="9"/>
          <w:szCs w:val="9"/>
        </w:rPr>
        <w:t>**Úprava cen takto označených odpadů (druhotných surovin) je možná na základě vývoje tržních cen druhotných surovin, formou zaslání aktuálního ceníku.</w:t>
      </w:r>
      <w:r>
        <w:rPr>
          <w:rFonts w:ascii="Times New Roman" w:hAnsi="Times New Roman" w:cs="Times New Roman"/>
          <w:sz w:val="9"/>
          <w:szCs w:val="9"/>
        </w:rPr>
        <w:t> </w:t>
      </w:r>
      <w:r/>
    </w:p>
    <w:p>
      <w:r/>
    </w:p>
    <w:sectPr>
      <w:type w:val="continuous"/>
      <w:pgSz w:w="16845" w:h="12394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2025-08-08T06:47:24Z</dcterms:created>
  <dcterms:modified xsi:type="dcterms:W3CDTF">2025-08-08T06:47:24Z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