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FBA" w:rsidRDefault="00EB6202">
      <w:pPr>
        <w:spacing w:after="204" w:line="259" w:lineRule="auto"/>
        <w:ind w:left="7" w:firstLine="0"/>
        <w:jc w:val="left"/>
      </w:pPr>
      <w:r>
        <w:rPr>
          <w:b/>
        </w:rPr>
        <w:t xml:space="preserve"> </w:t>
      </w:r>
    </w:p>
    <w:p w:rsidR="00EF3FBA" w:rsidRDefault="00EB6202">
      <w:pPr>
        <w:spacing w:after="153" w:line="259" w:lineRule="auto"/>
        <w:ind w:left="15" w:right="2"/>
        <w:jc w:val="center"/>
      </w:pPr>
      <w:r>
        <w:rPr>
          <w:b/>
        </w:rPr>
        <w:t xml:space="preserve">Smlouva o poskytnutí licencí Microsoft </w:t>
      </w:r>
    </w:p>
    <w:p w:rsidR="00EF3FBA" w:rsidRDefault="00EB6202">
      <w:pPr>
        <w:spacing w:after="115" w:line="239" w:lineRule="auto"/>
        <w:ind w:left="0" w:firstLine="0"/>
        <w:jc w:val="center"/>
      </w:pPr>
      <w:r>
        <w:t xml:space="preserve">uzavřená na základě ustanovení §1746 odst. 2 a následujících zákona č. 89/2012 Sb., občanský zákoník, ve znění pozdějších předpisů (dále jen „občanský zákoník“) </w:t>
      </w:r>
    </w:p>
    <w:p w:rsidR="00EF3FBA" w:rsidRDefault="00EB6202">
      <w:pPr>
        <w:spacing w:after="231" w:line="259" w:lineRule="auto"/>
        <w:ind w:left="7" w:firstLine="0"/>
        <w:jc w:val="left"/>
      </w:pPr>
      <w:r>
        <w:t xml:space="preserve"> </w:t>
      </w:r>
    </w:p>
    <w:p w:rsidR="00EF3FBA" w:rsidRDefault="00EB6202">
      <w:pPr>
        <w:pStyle w:val="Nadpis1"/>
        <w:spacing w:after="0"/>
        <w:ind w:left="15"/>
      </w:pPr>
      <w:r>
        <w:t>1.</w:t>
      </w:r>
      <w:r>
        <w:rPr>
          <w:rFonts w:ascii="Arial" w:eastAsia="Arial" w:hAnsi="Arial" w:cs="Arial"/>
        </w:rPr>
        <w:t xml:space="preserve"> </w:t>
      </w:r>
      <w:r>
        <w:t xml:space="preserve">Smluvní strany </w:t>
      </w:r>
    </w:p>
    <w:tbl>
      <w:tblPr>
        <w:tblStyle w:val="TableGrid"/>
        <w:tblW w:w="9129" w:type="dxa"/>
        <w:tblInd w:w="7" w:type="dxa"/>
        <w:tblLook w:val="04A0" w:firstRow="1" w:lastRow="0" w:firstColumn="1" w:lastColumn="0" w:noHBand="0" w:noVBand="1"/>
      </w:tblPr>
      <w:tblGrid>
        <w:gridCol w:w="2833"/>
        <w:gridCol w:w="6296"/>
      </w:tblGrid>
      <w:tr w:rsidR="00EF3FBA">
        <w:trPr>
          <w:trHeight w:val="228"/>
        </w:trPr>
        <w:tc>
          <w:tcPr>
            <w:tcW w:w="2833" w:type="dxa"/>
            <w:tcBorders>
              <w:top w:val="nil"/>
              <w:left w:val="nil"/>
              <w:bottom w:val="nil"/>
              <w:right w:val="nil"/>
            </w:tcBorders>
          </w:tcPr>
          <w:p w:rsidR="00EF3FBA" w:rsidRDefault="00EB6202">
            <w:pPr>
              <w:spacing w:after="0" w:line="259" w:lineRule="auto"/>
              <w:ind w:left="0" w:firstLine="0"/>
              <w:jc w:val="left"/>
            </w:pPr>
            <w:r>
              <w:t xml:space="preserve"> </w:t>
            </w:r>
          </w:p>
        </w:tc>
        <w:tc>
          <w:tcPr>
            <w:tcW w:w="6296" w:type="dxa"/>
            <w:tcBorders>
              <w:top w:val="nil"/>
              <w:left w:val="nil"/>
              <w:bottom w:val="nil"/>
              <w:right w:val="nil"/>
            </w:tcBorders>
          </w:tcPr>
          <w:p w:rsidR="00EF3FBA" w:rsidRDefault="00EF3FBA">
            <w:pPr>
              <w:spacing w:after="160" w:line="259" w:lineRule="auto"/>
              <w:ind w:left="0" w:firstLine="0"/>
              <w:jc w:val="left"/>
            </w:pP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Název: </w:t>
            </w:r>
          </w:p>
        </w:tc>
        <w:tc>
          <w:tcPr>
            <w:tcW w:w="6296" w:type="dxa"/>
            <w:tcBorders>
              <w:top w:val="nil"/>
              <w:left w:val="nil"/>
              <w:bottom w:val="nil"/>
              <w:right w:val="nil"/>
            </w:tcBorders>
          </w:tcPr>
          <w:p w:rsidR="00EF3FBA" w:rsidRDefault="00EB6202">
            <w:pPr>
              <w:spacing w:after="0" w:line="259" w:lineRule="auto"/>
              <w:ind w:left="2" w:firstLine="0"/>
              <w:jc w:val="left"/>
            </w:pPr>
            <w:r>
              <w:rPr>
                <w:b/>
              </w:rPr>
              <w:t>Město Aš</w:t>
            </w:r>
            <w:r>
              <w:t xml:space="preserve">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Sídlo: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Kamenná 52, 352 01 Aš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IČO: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00253901 </w:t>
            </w:r>
          </w:p>
        </w:tc>
      </w:tr>
      <w:tr w:rsidR="00EF3FBA">
        <w:trPr>
          <w:trHeight w:val="252"/>
        </w:trPr>
        <w:tc>
          <w:tcPr>
            <w:tcW w:w="2833" w:type="dxa"/>
            <w:tcBorders>
              <w:top w:val="nil"/>
              <w:left w:val="nil"/>
              <w:bottom w:val="nil"/>
              <w:right w:val="nil"/>
            </w:tcBorders>
          </w:tcPr>
          <w:p w:rsidR="00EF3FBA" w:rsidRDefault="00EB6202">
            <w:pPr>
              <w:spacing w:after="0" w:line="259" w:lineRule="auto"/>
              <w:ind w:left="0" w:firstLine="0"/>
              <w:jc w:val="left"/>
            </w:pPr>
            <w:r>
              <w:t xml:space="preserve">DIČ: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CZ00253901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Bankovní spojení: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Česká spořitelna, kód banky 0800, BIC kód GIBACZPX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Číslo účtu: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Číslo účtu: 19-782051389, kód banky: 0800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Zástupce pro věci smluvní: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Vítězslav Kokoř, MBA, starosta </w:t>
            </w:r>
          </w:p>
        </w:tc>
      </w:tr>
      <w:tr w:rsidR="00EF3FBA">
        <w:trPr>
          <w:trHeight w:val="505"/>
        </w:trPr>
        <w:tc>
          <w:tcPr>
            <w:tcW w:w="2833" w:type="dxa"/>
            <w:tcBorders>
              <w:top w:val="nil"/>
              <w:left w:val="nil"/>
              <w:bottom w:val="nil"/>
              <w:right w:val="nil"/>
            </w:tcBorders>
          </w:tcPr>
          <w:p w:rsidR="00EF3FBA" w:rsidRDefault="00EB6202">
            <w:pPr>
              <w:spacing w:after="0" w:line="259" w:lineRule="auto"/>
              <w:ind w:left="0" w:firstLine="0"/>
              <w:jc w:val="left"/>
            </w:pPr>
            <w:r>
              <w:t xml:space="preserve">Zástupce pro věci technické: </w:t>
            </w:r>
          </w:p>
        </w:tc>
        <w:tc>
          <w:tcPr>
            <w:tcW w:w="6296" w:type="dxa"/>
            <w:tcBorders>
              <w:top w:val="nil"/>
              <w:left w:val="nil"/>
              <w:bottom w:val="nil"/>
              <w:right w:val="nil"/>
            </w:tcBorders>
          </w:tcPr>
          <w:p w:rsidR="00EF3FBA" w:rsidRDefault="00EB6202">
            <w:pPr>
              <w:spacing w:after="0" w:line="259" w:lineRule="auto"/>
              <w:ind w:left="0" w:firstLine="0"/>
            </w:pPr>
            <w:r>
              <w:t xml:space="preserve">Ing. Bc. Jan Mikula, MPA, vedoucí odboru správních činností a Obecní živnostenský úřad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Telefon:</w:t>
            </w:r>
            <w:r>
              <w:rPr>
                <w:color w:val="FF0000"/>
              </w:rPr>
              <w:t xml:space="preserve"> </w:t>
            </w:r>
          </w:p>
        </w:tc>
        <w:tc>
          <w:tcPr>
            <w:tcW w:w="6296" w:type="dxa"/>
            <w:tcBorders>
              <w:top w:val="nil"/>
              <w:left w:val="nil"/>
              <w:bottom w:val="nil"/>
              <w:right w:val="nil"/>
            </w:tcBorders>
          </w:tcPr>
          <w:p w:rsidR="00EF3FBA" w:rsidRDefault="00EB6202">
            <w:pPr>
              <w:tabs>
                <w:tab w:val="center" w:pos="6241"/>
              </w:tabs>
              <w:spacing w:after="0" w:line="259" w:lineRule="auto"/>
              <w:ind w:left="0" w:firstLine="0"/>
              <w:jc w:val="left"/>
            </w:pPr>
            <w:r>
              <w:t>354 524 223</w:t>
            </w:r>
            <w:r>
              <w:rPr>
                <w:color w:val="FF0000"/>
              </w:rPr>
              <w:t xml:space="preserve"> </w:t>
            </w:r>
            <w:r>
              <w:rPr>
                <w:color w:val="FF0000"/>
              </w:rPr>
              <w:tab/>
            </w:r>
            <w:r>
              <w:t xml:space="preserve"> </w:t>
            </w:r>
          </w:p>
        </w:tc>
      </w:tr>
      <w:tr w:rsidR="00EF3FBA">
        <w:trPr>
          <w:trHeight w:val="1518"/>
        </w:trPr>
        <w:tc>
          <w:tcPr>
            <w:tcW w:w="2833" w:type="dxa"/>
            <w:tcBorders>
              <w:top w:val="nil"/>
              <w:left w:val="nil"/>
              <w:bottom w:val="nil"/>
              <w:right w:val="nil"/>
            </w:tcBorders>
          </w:tcPr>
          <w:p w:rsidR="00EF3FBA" w:rsidRDefault="00EB6202">
            <w:pPr>
              <w:tabs>
                <w:tab w:val="center" w:pos="1416"/>
                <w:tab w:val="center" w:pos="2124"/>
              </w:tabs>
              <w:spacing w:after="10" w:line="259" w:lineRule="auto"/>
              <w:ind w:left="0" w:firstLine="0"/>
              <w:jc w:val="left"/>
            </w:pPr>
            <w:r>
              <w:t xml:space="preserve">E-mail:  </w:t>
            </w:r>
            <w:r>
              <w:tab/>
              <w:t xml:space="preserve"> </w:t>
            </w:r>
            <w:r>
              <w:tab/>
              <w:t xml:space="preserve"> </w:t>
            </w:r>
          </w:p>
          <w:p w:rsidR="00EF3FBA" w:rsidRDefault="00EB6202">
            <w:pPr>
              <w:spacing w:after="0" w:line="259" w:lineRule="auto"/>
              <w:ind w:left="0" w:firstLine="0"/>
              <w:jc w:val="left"/>
            </w:pPr>
            <w:r>
              <w:t xml:space="preserve"> </w:t>
            </w:r>
            <w:r>
              <w:tab/>
              <w:t xml:space="preserve"> </w:t>
            </w:r>
            <w:r>
              <w:tab/>
              <w:t xml:space="preserve"> </w:t>
            </w:r>
            <w:r>
              <w:tab/>
            </w:r>
            <w:r>
              <w:rPr>
                <w:b/>
              </w:rPr>
              <w:t xml:space="preserve"> </w:t>
            </w:r>
          </w:p>
          <w:p w:rsidR="00EF3FBA" w:rsidRDefault="00EB6202">
            <w:pPr>
              <w:spacing w:after="0" w:line="259" w:lineRule="auto"/>
              <w:ind w:left="0" w:firstLine="0"/>
              <w:jc w:val="left"/>
            </w:pPr>
            <w:r>
              <w:t xml:space="preserve">(dále jen „nabyvatel“) </w:t>
            </w:r>
          </w:p>
          <w:p w:rsidR="00EF3FBA" w:rsidRDefault="00EB6202">
            <w:pPr>
              <w:spacing w:after="2" w:line="236" w:lineRule="auto"/>
              <w:ind w:left="0" w:right="2679" w:firstLine="0"/>
              <w:jc w:val="left"/>
            </w:pPr>
            <w:r>
              <w:t xml:space="preserve"> a  </w:t>
            </w:r>
          </w:p>
          <w:p w:rsidR="00EF3FBA" w:rsidRDefault="00EB6202">
            <w:pPr>
              <w:spacing w:after="0" w:line="259" w:lineRule="auto"/>
              <w:ind w:left="0" w:firstLine="0"/>
              <w:jc w:val="left"/>
            </w:pPr>
            <w:r>
              <w:t xml:space="preserve"> </w:t>
            </w:r>
          </w:p>
        </w:tc>
        <w:tc>
          <w:tcPr>
            <w:tcW w:w="6296" w:type="dxa"/>
            <w:tcBorders>
              <w:top w:val="nil"/>
              <w:left w:val="nil"/>
              <w:bottom w:val="nil"/>
              <w:right w:val="nil"/>
            </w:tcBorders>
          </w:tcPr>
          <w:p w:rsidR="00EF3FBA" w:rsidRDefault="00EB6202">
            <w:pPr>
              <w:spacing w:after="0" w:line="259" w:lineRule="auto"/>
              <w:ind w:left="0" w:firstLine="0"/>
              <w:jc w:val="left"/>
            </w:pPr>
            <w:r>
              <w:rPr>
                <w:color w:val="0000FF"/>
                <w:u w:val="single" w:color="0000FF"/>
              </w:rPr>
              <w:t>mikula.jan@muas.cz</w:t>
            </w:r>
            <w:r>
              <w:t xml:space="preserve">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Název: </w:t>
            </w:r>
          </w:p>
        </w:tc>
        <w:tc>
          <w:tcPr>
            <w:tcW w:w="6296" w:type="dxa"/>
            <w:tcBorders>
              <w:top w:val="nil"/>
              <w:left w:val="nil"/>
              <w:bottom w:val="nil"/>
              <w:right w:val="nil"/>
            </w:tcBorders>
          </w:tcPr>
          <w:p w:rsidR="00EF3FBA" w:rsidRDefault="00EB6202">
            <w:pPr>
              <w:spacing w:after="0" w:line="259" w:lineRule="auto"/>
              <w:ind w:left="2" w:firstLine="0"/>
              <w:jc w:val="left"/>
            </w:pPr>
            <w:r>
              <w:rPr>
                <w:b/>
              </w:rPr>
              <w:t xml:space="preserve">Lithium a.s.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Sídlo: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Táborská 375/26, 360 04 Karlovy Vary </w:t>
            </w:r>
          </w:p>
        </w:tc>
      </w:tr>
      <w:tr w:rsidR="00EF3FBA">
        <w:trPr>
          <w:trHeight w:val="252"/>
        </w:trPr>
        <w:tc>
          <w:tcPr>
            <w:tcW w:w="2833" w:type="dxa"/>
            <w:tcBorders>
              <w:top w:val="nil"/>
              <w:left w:val="nil"/>
              <w:bottom w:val="nil"/>
              <w:right w:val="nil"/>
            </w:tcBorders>
          </w:tcPr>
          <w:p w:rsidR="00EF3FBA" w:rsidRDefault="00EB6202">
            <w:pPr>
              <w:spacing w:after="0" w:line="259" w:lineRule="auto"/>
              <w:ind w:left="0" w:firstLine="0"/>
              <w:jc w:val="left"/>
            </w:pPr>
            <w:r>
              <w:t xml:space="preserve">IČO: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27991199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DIČ: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CZ27991199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Bankovní spojení: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Česká spořitelna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Číslo účtu: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808204399/0800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Zástupce pro věci smluvní: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Petr Lenc, </w:t>
            </w:r>
            <w:proofErr w:type="spellStart"/>
            <w:r>
              <w:t>Head</w:t>
            </w:r>
            <w:proofErr w:type="spellEnd"/>
            <w:r>
              <w:t xml:space="preserve"> </w:t>
            </w:r>
            <w:proofErr w:type="spellStart"/>
            <w:r>
              <w:t>of</w:t>
            </w:r>
            <w:proofErr w:type="spellEnd"/>
            <w:r>
              <w:t xml:space="preserve"> </w:t>
            </w:r>
            <w:proofErr w:type="spellStart"/>
            <w:r>
              <w:t>Infrastructure</w:t>
            </w:r>
            <w:proofErr w:type="spellEnd"/>
            <w:r>
              <w:t xml:space="preserve"> </w:t>
            </w:r>
            <w:proofErr w:type="spellStart"/>
            <w:r>
              <w:t>Division</w:t>
            </w:r>
            <w:proofErr w:type="spellEnd"/>
            <w:r>
              <w:t xml:space="preserve"> </w:t>
            </w:r>
          </w:p>
        </w:tc>
      </w:tr>
      <w:tr w:rsidR="00EF3FBA">
        <w:trPr>
          <w:trHeight w:val="252"/>
        </w:trPr>
        <w:tc>
          <w:tcPr>
            <w:tcW w:w="2833" w:type="dxa"/>
            <w:tcBorders>
              <w:top w:val="nil"/>
              <w:left w:val="nil"/>
              <w:bottom w:val="nil"/>
              <w:right w:val="nil"/>
            </w:tcBorders>
          </w:tcPr>
          <w:p w:rsidR="00EF3FBA" w:rsidRDefault="00EB6202">
            <w:pPr>
              <w:spacing w:after="0" w:line="259" w:lineRule="auto"/>
              <w:ind w:left="0" w:firstLine="0"/>
              <w:jc w:val="left"/>
            </w:pPr>
            <w:r>
              <w:t xml:space="preserve">Zástupce pro věci technické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Jakub </w:t>
            </w:r>
            <w:proofErr w:type="spellStart"/>
            <w:r>
              <w:t>Ryva</w:t>
            </w:r>
            <w:proofErr w:type="spellEnd"/>
            <w:r>
              <w:t xml:space="preserve"> </w:t>
            </w:r>
          </w:p>
        </w:tc>
      </w:tr>
      <w:tr w:rsidR="00EF3FBA">
        <w:trPr>
          <w:trHeight w:val="253"/>
        </w:trPr>
        <w:tc>
          <w:tcPr>
            <w:tcW w:w="2833" w:type="dxa"/>
            <w:tcBorders>
              <w:top w:val="nil"/>
              <w:left w:val="nil"/>
              <w:bottom w:val="nil"/>
              <w:right w:val="nil"/>
            </w:tcBorders>
          </w:tcPr>
          <w:p w:rsidR="00EF3FBA" w:rsidRDefault="00EB6202">
            <w:pPr>
              <w:spacing w:after="0" w:line="259" w:lineRule="auto"/>
              <w:ind w:left="0" w:firstLine="0"/>
              <w:jc w:val="left"/>
            </w:pPr>
            <w:r>
              <w:t xml:space="preserve">Telefon: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721081111 </w:t>
            </w:r>
          </w:p>
        </w:tc>
      </w:tr>
      <w:tr w:rsidR="00EF3FBA">
        <w:trPr>
          <w:trHeight w:val="228"/>
        </w:trPr>
        <w:tc>
          <w:tcPr>
            <w:tcW w:w="2833" w:type="dxa"/>
            <w:tcBorders>
              <w:top w:val="nil"/>
              <w:left w:val="nil"/>
              <w:bottom w:val="nil"/>
              <w:right w:val="nil"/>
            </w:tcBorders>
          </w:tcPr>
          <w:p w:rsidR="00EF3FBA" w:rsidRDefault="00EB6202">
            <w:pPr>
              <w:spacing w:after="0" w:line="259" w:lineRule="auto"/>
              <w:ind w:left="0" w:firstLine="0"/>
              <w:jc w:val="left"/>
            </w:pPr>
            <w:r>
              <w:t xml:space="preserve">E-mail: </w:t>
            </w:r>
          </w:p>
        </w:tc>
        <w:tc>
          <w:tcPr>
            <w:tcW w:w="6296" w:type="dxa"/>
            <w:tcBorders>
              <w:top w:val="nil"/>
              <w:left w:val="nil"/>
              <w:bottom w:val="nil"/>
              <w:right w:val="nil"/>
            </w:tcBorders>
          </w:tcPr>
          <w:p w:rsidR="00EF3FBA" w:rsidRDefault="00EB6202">
            <w:pPr>
              <w:spacing w:after="0" w:line="259" w:lineRule="auto"/>
              <w:ind w:left="2" w:firstLine="0"/>
              <w:jc w:val="left"/>
            </w:pPr>
            <w:r>
              <w:t xml:space="preserve">petr.lenc@lithium.cz </w:t>
            </w:r>
          </w:p>
        </w:tc>
      </w:tr>
    </w:tbl>
    <w:p w:rsidR="00EF3FBA" w:rsidRDefault="00EB6202">
      <w:pPr>
        <w:spacing w:after="0" w:line="259" w:lineRule="auto"/>
        <w:ind w:left="7" w:firstLine="0"/>
        <w:jc w:val="left"/>
      </w:pPr>
      <w:r>
        <w:t xml:space="preserve"> </w:t>
      </w:r>
    </w:p>
    <w:p w:rsidR="00EF3FBA" w:rsidRDefault="00EB6202">
      <w:pPr>
        <w:spacing w:after="0" w:line="259" w:lineRule="auto"/>
        <w:ind w:left="7" w:firstLine="0"/>
        <w:jc w:val="left"/>
      </w:pPr>
      <w:r>
        <w:t xml:space="preserve"> </w:t>
      </w:r>
    </w:p>
    <w:p w:rsidR="00EF3FBA" w:rsidRDefault="00EB6202">
      <w:pPr>
        <w:spacing w:after="359"/>
        <w:ind w:left="17"/>
      </w:pPr>
      <w:r>
        <w:t xml:space="preserve">(dále jen „poskytovatel“, nabyvatel a poskytovatel dále společně označováni rovněž jako „smluvní strany“ nebo jednotlivě jako „smluvní strana“). </w:t>
      </w:r>
    </w:p>
    <w:p w:rsidR="00EF3FBA" w:rsidRDefault="00EB6202">
      <w:pPr>
        <w:pStyle w:val="Nadpis1"/>
        <w:spacing w:after="101"/>
        <w:ind w:left="15" w:right="1"/>
      </w:pPr>
      <w:r>
        <w:t>2.</w:t>
      </w:r>
      <w:r>
        <w:rPr>
          <w:rFonts w:ascii="Arial" w:eastAsia="Arial" w:hAnsi="Arial" w:cs="Arial"/>
        </w:rPr>
        <w:t xml:space="preserve"> </w:t>
      </w:r>
      <w:r>
        <w:t xml:space="preserve">Předmět plnění, místo a termín dodání </w:t>
      </w:r>
    </w:p>
    <w:p w:rsidR="00EF3FBA" w:rsidRDefault="00EB6202">
      <w:pPr>
        <w:spacing w:after="113"/>
        <w:ind w:left="581" w:hanging="574"/>
      </w:pPr>
      <w:r>
        <w:t>2.1.</w:t>
      </w:r>
      <w:r>
        <w:rPr>
          <w:rFonts w:ascii="Arial" w:eastAsia="Arial" w:hAnsi="Arial" w:cs="Arial"/>
        </w:rPr>
        <w:t xml:space="preserve"> </w:t>
      </w:r>
      <w:r>
        <w:t xml:space="preserve">Poskytovatel prohlašuje, že je oprávněn k distribuci programů a služeb společnosti Microsoft, jež tvoří dále specifikovaný předmět této smlouvy, a touto smlouvou poskytuje nabyvateli oprávnění k jeho užívání v rozsahu a za podmínek v této smlouvě vymezených a přílohy č. 1 této smlouvy (technická specifikace) a přílohy č. 2 (zajištění kybernetické bezpečnosti). </w:t>
      </w:r>
    </w:p>
    <w:p w:rsidR="00EF3FBA" w:rsidRDefault="00EB6202">
      <w:pPr>
        <w:ind w:left="581" w:hanging="432"/>
      </w:pPr>
      <w:r>
        <w:t>2.2.</w:t>
      </w:r>
      <w:r>
        <w:rPr>
          <w:rFonts w:ascii="Arial" w:eastAsia="Arial" w:hAnsi="Arial" w:cs="Arial"/>
        </w:rPr>
        <w:t xml:space="preserve"> </w:t>
      </w:r>
      <w:r>
        <w:t>Tato smlouva je uzavírána s poskytovatelem na základě výsledku výběrového řízení veřejné zakázky malého rozsahu na služby zadávané formou výzvy k podání nabídky   nazvané „</w:t>
      </w:r>
      <w:r>
        <w:rPr>
          <w:b/>
          <w:i/>
        </w:rPr>
        <w:t>Poskytnutí licence Microsoft 365 Business Premium a souvisejících služeb</w:t>
      </w:r>
      <w:r>
        <w:rPr>
          <w:b/>
        </w:rPr>
        <w:t>“.</w:t>
      </w:r>
      <w:r>
        <w:t xml:space="preserve"> Smluvní strany prohlašují, že tato smlouva je uzavřena na základě rozhodnutí o výběru poskytovatele ze dne </w:t>
      </w:r>
      <w:r>
        <w:lastRenderedPageBreak/>
        <w:t xml:space="preserve">xx.xx.2025 v rámci výběrového řízení vyhlášeného nabyvatelem jako zadavatelem veřejné zakázky. Ekonomicky nejvýhodnější nabídkou byla nabyvatelem vybraná nabídka poskytovatele, který se předmětné veřejné zakázky zúčastnil jako účastník výběrového řízení.  </w:t>
      </w:r>
    </w:p>
    <w:p w:rsidR="00EF3FBA" w:rsidRDefault="00EB6202">
      <w:pPr>
        <w:spacing w:after="94" w:line="259" w:lineRule="auto"/>
        <w:ind w:left="581" w:firstLine="0"/>
        <w:jc w:val="left"/>
      </w:pPr>
      <w:r>
        <w:t xml:space="preserve"> </w:t>
      </w:r>
    </w:p>
    <w:p w:rsidR="00EF3FBA" w:rsidRDefault="00EB6202">
      <w:pPr>
        <w:spacing w:after="0"/>
        <w:ind w:left="17"/>
      </w:pPr>
      <w:r>
        <w:t xml:space="preserve">Předmětem plnění této Smlouvy o poskytnutí licencí Microsoft a souvisejících služeb (dále jen „smlouva“) je dodávka ročních uživatelských licencí (dále jen „licence“) pro užití softwaru společnosti Microsoft a zajištění veškerých souvisejících práv po celou dobu platnosti této smlouvy v maximálním množství dle této smlouvy. Předmětem plnění je dále: </w:t>
      </w:r>
    </w:p>
    <w:p w:rsidR="00EF3FBA" w:rsidRDefault="00EB6202">
      <w:pPr>
        <w:spacing w:after="20" w:line="259" w:lineRule="auto"/>
        <w:ind w:left="7" w:firstLine="0"/>
        <w:jc w:val="left"/>
      </w:pPr>
      <w:r>
        <w:t xml:space="preserve"> </w:t>
      </w:r>
    </w:p>
    <w:p w:rsidR="00EF3FBA" w:rsidRDefault="00EB6202">
      <w:pPr>
        <w:numPr>
          <w:ilvl w:val="0"/>
          <w:numId w:val="1"/>
        </w:numPr>
        <w:spacing w:after="13"/>
        <w:ind w:hanging="360"/>
      </w:pPr>
      <w:r>
        <w:t xml:space="preserve">pronájem a dodávka licencí MS 365 Business Premium (dále též MS 365 BP); </w:t>
      </w:r>
    </w:p>
    <w:p w:rsidR="00EF3FBA" w:rsidRDefault="00EB6202">
      <w:pPr>
        <w:numPr>
          <w:ilvl w:val="0"/>
          <w:numId w:val="1"/>
        </w:numPr>
        <w:spacing w:after="16" w:line="248" w:lineRule="auto"/>
        <w:ind w:hanging="360"/>
      </w:pPr>
      <w:r>
        <w:t xml:space="preserve">Strategie implementace; </w:t>
      </w:r>
    </w:p>
    <w:p w:rsidR="00EF3FBA" w:rsidRDefault="00EB6202">
      <w:pPr>
        <w:numPr>
          <w:ilvl w:val="0"/>
          <w:numId w:val="1"/>
        </w:numPr>
        <w:spacing w:after="14" w:line="248" w:lineRule="auto"/>
        <w:ind w:hanging="360"/>
      </w:pPr>
      <w:r>
        <w:t xml:space="preserve">Plán implementace; </w:t>
      </w:r>
    </w:p>
    <w:p w:rsidR="00EF3FBA" w:rsidRDefault="00EB6202">
      <w:pPr>
        <w:numPr>
          <w:ilvl w:val="0"/>
          <w:numId w:val="1"/>
        </w:numPr>
        <w:spacing w:after="14" w:line="248" w:lineRule="auto"/>
        <w:ind w:hanging="360"/>
      </w:pPr>
      <w:r>
        <w:t xml:space="preserve">Pilotní projekt implementace; </w:t>
      </w:r>
    </w:p>
    <w:p w:rsidR="00EF3FBA" w:rsidRDefault="00EB6202">
      <w:pPr>
        <w:numPr>
          <w:ilvl w:val="0"/>
          <w:numId w:val="1"/>
        </w:numPr>
        <w:spacing w:after="17" w:line="248" w:lineRule="auto"/>
        <w:ind w:hanging="360"/>
      </w:pPr>
      <w:r>
        <w:t xml:space="preserve">Implementace MS 365 BP Front End (stanice) a </w:t>
      </w:r>
      <w:proofErr w:type="spellStart"/>
      <w:r>
        <w:t>Back</w:t>
      </w:r>
      <w:proofErr w:type="spellEnd"/>
      <w:r>
        <w:t xml:space="preserve"> End (servery); </w:t>
      </w:r>
    </w:p>
    <w:p w:rsidR="00EF3FBA" w:rsidRDefault="00EB6202">
      <w:pPr>
        <w:numPr>
          <w:ilvl w:val="0"/>
          <w:numId w:val="1"/>
        </w:numPr>
        <w:spacing w:after="13"/>
        <w:ind w:hanging="360"/>
      </w:pPr>
      <w:r>
        <w:t xml:space="preserve">Migrace uživatelů a </w:t>
      </w:r>
      <w:proofErr w:type="spellStart"/>
      <w:r>
        <w:t>Active</w:t>
      </w:r>
      <w:proofErr w:type="spellEnd"/>
      <w:r>
        <w:t xml:space="preserve"> </w:t>
      </w:r>
      <w:proofErr w:type="spellStart"/>
      <w:r>
        <w:t>Directory</w:t>
      </w:r>
      <w:proofErr w:type="spellEnd"/>
      <w:r>
        <w:t xml:space="preserve">; </w:t>
      </w:r>
    </w:p>
    <w:p w:rsidR="00EF3FBA" w:rsidRDefault="00EB6202">
      <w:pPr>
        <w:numPr>
          <w:ilvl w:val="0"/>
          <w:numId w:val="1"/>
        </w:numPr>
        <w:spacing w:after="13"/>
        <w:ind w:hanging="360"/>
      </w:pPr>
      <w:r>
        <w:t xml:space="preserve">Migrace emailů; </w:t>
      </w:r>
    </w:p>
    <w:p w:rsidR="00EF3FBA" w:rsidRDefault="00EB6202">
      <w:pPr>
        <w:numPr>
          <w:ilvl w:val="0"/>
          <w:numId w:val="1"/>
        </w:numPr>
        <w:spacing w:after="15"/>
        <w:ind w:hanging="360"/>
      </w:pPr>
      <w:r>
        <w:t xml:space="preserve">Migrace dokumentů; </w:t>
      </w:r>
    </w:p>
    <w:p w:rsidR="00EF3FBA" w:rsidRDefault="00EB6202">
      <w:pPr>
        <w:numPr>
          <w:ilvl w:val="0"/>
          <w:numId w:val="1"/>
        </w:numPr>
        <w:spacing w:after="13"/>
        <w:ind w:hanging="360"/>
      </w:pPr>
      <w:r>
        <w:t xml:space="preserve">Zaškolení administrátorů; </w:t>
      </w:r>
    </w:p>
    <w:p w:rsidR="00EF3FBA" w:rsidRDefault="00EB6202">
      <w:pPr>
        <w:numPr>
          <w:ilvl w:val="0"/>
          <w:numId w:val="1"/>
        </w:numPr>
        <w:spacing w:after="13"/>
        <w:ind w:hanging="360"/>
      </w:pPr>
      <w:r>
        <w:t xml:space="preserve">Zaškolení uživatelů; </w:t>
      </w:r>
    </w:p>
    <w:p w:rsidR="00EF3FBA" w:rsidRDefault="00EB6202">
      <w:pPr>
        <w:numPr>
          <w:ilvl w:val="0"/>
          <w:numId w:val="1"/>
        </w:numPr>
        <w:spacing w:after="10" w:line="248" w:lineRule="auto"/>
        <w:ind w:hanging="360"/>
      </w:pPr>
      <w:r>
        <w:t xml:space="preserve">Servisní a technická podpora a konzultace. </w:t>
      </w:r>
    </w:p>
    <w:p w:rsidR="00EF3FBA" w:rsidRDefault="00EB6202">
      <w:pPr>
        <w:spacing w:after="0" w:line="259" w:lineRule="auto"/>
        <w:ind w:left="727" w:firstLine="0"/>
        <w:jc w:val="left"/>
      </w:pPr>
      <w:r>
        <w:t xml:space="preserve"> </w:t>
      </w:r>
    </w:p>
    <w:p w:rsidR="00EF3FBA" w:rsidRDefault="00EB6202">
      <w:pPr>
        <w:spacing w:after="102"/>
        <w:ind w:left="591"/>
      </w:pPr>
      <w:r>
        <w:t xml:space="preserve">Bližší specifikace je stanovena v příloze č. 1 této smlouvy.  </w:t>
      </w:r>
    </w:p>
    <w:p w:rsidR="00EF3FBA" w:rsidRDefault="00EB6202">
      <w:pPr>
        <w:spacing w:after="118"/>
        <w:ind w:left="591"/>
      </w:pPr>
      <w:r>
        <w:t xml:space="preserve">Poskytovatel se zavazuje řádně a včas obstarat nabyvateli licence k software od společnosti Microsoft a to způsobem, v rozsahu a za podmínek stanovených v této smlouvě. Nabyvatel se za poskytnutí licence zavazuje uhradit poskytovateli cenu ve výši a za podmínek dle čl. 4. odst. 4.1. smlouvy. </w:t>
      </w:r>
    </w:p>
    <w:p w:rsidR="00EF3FBA" w:rsidRDefault="00EB6202">
      <w:pPr>
        <w:ind w:left="17"/>
      </w:pPr>
      <w:r>
        <w:t>2.3.</w:t>
      </w:r>
      <w:r>
        <w:rPr>
          <w:rFonts w:ascii="Arial" w:eastAsia="Arial" w:hAnsi="Arial" w:cs="Arial"/>
        </w:rPr>
        <w:t xml:space="preserve"> </w:t>
      </w:r>
      <w:r>
        <w:t xml:space="preserve">Poskytovatel se zavazuje předat předmět plnění v následujících termínech:  </w:t>
      </w:r>
    </w:p>
    <w:p w:rsidR="00EF3FBA" w:rsidRDefault="00EB6202">
      <w:pPr>
        <w:numPr>
          <w:ilvl w:val="2"/>
          <w:numId w:val="2"/>
        </w:numPr>
        <w:spacing w:after="19" w:line="248" w:lineRule="auto"/>
        <w:ind w:hanging="566"/>
      </w:pPr>
      <w:r>
        <w:t xml:space="preserve">Strategie a Plánu implementace – do </w:t>
      </w:r>
      <w:proofErr w:type="gramStart"/>
      <w:r>
        <w:t>10-ti</w:t>
      </w:r>
      <w:proofErr w:type="gramEnd"/>
      <w:r>
        <w:t xml:space="preserve"> pracovních dnů  </w:t>
      </w:r>
    </w:p>
    <w:p w:rsidR="00EF3FBA" w:rsidRDefault="00EB6202">
      <w:pPr>
        <w:numPr>
          <w:ilvl w:val="2"/>
          <w:numId w:val="2"/>
        </w:numPr>
        <w:spacing w:after="9"/>
        <w:ind w:hanging="566"/>
      </w:pPr>
      <w:r>
        <w:t xml:space="preserve">Pilotní projekt implementace včetně migrace – do 15 dnů </w:t>
      </w:r>
    </w:p>
    <w:p w:rsidR="00EF3FBA" w:rsidRDefault="00EB6202">
      <w:pPr>
        <w:numPr>
          <w:ilvl w:val="3"/>
          <w:numId w:val="4"/>
        </w:numPr>
        <w:spacing w:after="10" w:line="248" w:lineRule="auto"/>
        <w:ind w:hanging="286"/>
      </w:pPr>
      <w:r>
        <w:t xml:space="preserve">Licence budou implementovány frekvencí min. 2 licence / den </w:t>
      </w:r>
    </w:p>
    <w:p w:rsidR="00EF3FBA" w:rsidRDefault="00EB6202">
      <w:pPr>
        <w:numPr>
          <w:ilvl w:val="3"/>
          <w:numId w:val="4"/>
        </w:numPr>
        <w:spacing w:after="10" w:line="248" w:lineRule="auto"/>
        <w:ind w:hanging="286"/>
      </w:pPr>
      <w:r>
        <w:t xml:space="preserve">Migrace bude provedena do </w:t>
      </w:r>
      <w:proofErr w:type="gramStart"/>
      <w:r>
        <w:t>5-ti</w:t>
      </w:r>
      <w:proofErr w:type="gramEnd"/>
      <w:r>
        <w:t xml:space="preserve"> pracovních dnů </w:t>
      </w:r>
    </w:p>
    <w:p w:rsidR="00EF3FBA" w:rsidRDefault="00EB6202">
      <w:pPr>
        <w:numPr>
          <w:ilvl w:val="3"/>
          <w:numId w:val="4"/>
        </w:numPr>
        <w:spacing w:after="12"/>
        <w:ind w:hanging="286"/>
      </w:pPr>
      <w:r>
        <w:t xml:space="preserve">Součástí plnění je akceptace Pilotního projektu Zadavatelem </w:t>
      </w:r>
    </w:p>
    <w:p w:rsidR="00EF3FBA" w:rsidRDefault="00EB6202">
      <w:pPr>
        <w:tabs>
          <w:tab w:val="center" w:pos="650"/>
          <w:tab w:val="center" w:pos="4676"/>
        </w:tabs>
        <w:spacing w:after="9"/>
        <w:ind w:left="0" w:firstLine="0"/>
        <w:jc w:val="left"/>
      </w:pPr>
      <w:r>
        <w:rPr>
          <w:rFonts w:ascii="Calibri" w:eastAsia="Calibri" w:hAnsi="Calibri" w:cs="Calibri"/>
        </w:rPr>
        <w:tab/>
      </w:r>
      <w:r>
        <w:t>c.</w:t>
      </w:r>
      <w:r>
        <w:rPr>
          <w:rFonts w:ascii="Arial" w:eastAsia="Arial" w:hAnsi="Arial" w:cs="Arial"/>
        </w:rPr>
        <w:t xml:space="preserve"> </w:t>
      </w:r>
      <w:r>
        <w:rPr>
          <w:rFonts w:ascii="Arial" w:eastAsia="Arial" w:hAnsi="Arial" w:cs="Arial"/>
        </w:rPr>
        <w:tab/>
      </w:r>
      <w:r>
        <w:t xml:space="preserve">Implementace Front End a </w:t>
      </w:r>
      <w:proofErr w:type="spellStart"/>
      <w:r>
        <w:t>Back</w:t>
      </w:r>
      <w:proofErr w:type="spellEnd"/>
      <w:r>
        <w:t xml:space="preserve"> End v celém rozsahu včetně migrace – 110 dnů </w:t>
      </w:r>
    </w:p>
    <w:p w:rsidR="00EF3FBA" w:rsidRDefault="00EB6202">
      <w:pPr>
        <w:numPr>
          <w:ilvl w:val="3"/>
          <w:numId w:val="3"/>
        </w:numPr>
        <w:spacing w:after="9"/>
        <w:ind w:hanging="286"/>
      </w:pPr>
      <w:r>
        <w:t xml:space="preserve">Licence budou implementovány frekvencí min. 1 licence / den včetně migrace. </w:t>
      </w:r>
    </w:p>
    <w:p w:rsidR="00EF3FBA" w:rsidRDefault="00EB6202">
      <w:pPr>
        <w:numPr>
          <w:ilvl w:val="3"/>
          <w:numId w:val="3"/>
        </w:numPr>
        <w:spacing w:after="12"/>
        <w:ind w:hanging="286"/>
      </w:pPr>
      <w:r>
        <w:t xml:space="preserve">Součástí plnění je akceptace Implementace Zadavatelem </w:t>
      </w:r>
    </w:p>
    <w:p w:rsidR="00EF3FBA" w:rsidRDefault="00EB6202">
      <w:pPr>
        <w:tabs>
          <w:tab w:val="center" w:pos="656"/>
          <w:tab w:val="center" w:pos="4373"/>
        </w:tabs>
        <w:spacing w:after="9"/>
        <w:ind w:left="0" w:firstLine="0"/>
        <w:jc w:val="left"/>
      </w:pPr>
      <w:r>
        <w:rPr>
          <w:rFonts w:ascii="Calibri" w:eastAsia="Calibri" w:hAnsi="Calibri" w:cs="Calibri"/>
        </w:rPr>
        <w:tab/>
      </w:r>
      <w:r>
        <w:t>d.</w:t>
      </w:r>
      <w:r>
        <w:rPr>
          <w:rFonts w:ascii="Arial" w:eastAsia="Arial" w:hAnsi="Arial" w:cs="Arial"/>
        </w:rPr>
        <w:t xml:space="preserve"> </w:t>
      </w:r>
      <w:r>
        <w:rPr>
          <w:rFonts w:ascii="Arial" w:eastAsia="Arial" w:hAnsi="Arial" w:cs="Arial"/>
        </w:rPr>
        <w:tab/>
      </w:r>
      <w:r>
        <w:t xml:space="preserve">Zaškolení uživatelů a administrátorů včetně závěrečných testů – 125 dnů. </w:t>
      </w:r>
    </w:p>
    <w:p w:rsidR="00EF3FBA" w:rsidRDefault="00EB6202">
      <w:pPr>
        <w:spacing w:after="101" w:line="259" w:lineRule="auto"/>
        <w:ind w:left="581" w:firstLine="0"/>
        <w:jc w:val="left"/>
      </w:pPr>
      <w:r>
        <w:t xml:space="preserve">  </w:t>
      </w:r>
    </w:p>
    <w:p w:rsidR="00EF3FBA" w:rsidRDefault="00EB6202">
      <w:pPr>
        <w:spacing w:after="242"/>
        <w:ind w:left="581" w:hanging="574"/>
      </w:pPr>
      <w:r>
        <w:t>2.4.</w:t>
      </w:r>
      <w:r>
        <w:rPr>
          <w:rFonts w:ascii="Arial" w:eastAsia="Arial" w:hAnsi="Arial" w:cs="Arial"/>
        </w:rPr>
        <w:t xml:space="preserve"> </w:t>
      </w:r>
      <w:r>
        <w:t xml:space="preserve">Místem plnění předmětu této smlouvy je sídlo nabyvatele, jehož adresa je uvedena v čl. 1. této smlouvy. </w:t>
      </w:r>
    </w:p>
    <w:p w:rsidR="00EF3FBA" w:rsidRDefault="00EB6202">
      <w:pPr>
        <w:pStyle w:val="Nadpis1"/>
        <w:ind w:left="14"/>
      </w:pPr>
      <w:r>
        <w:t>3.</w:t>
      </w:r>
      <w:r>
        <w:rPr>
          <w:rFonts w:ascii="Arial" w:eastAsia="Arial" w:hAnsi="Arial" w:cs="Arial"/>
        </w:rPr>
        <w:t xml:space="preserve"> </w:t>
      </w:r>
      <w:r>
        <w:t xml:space="preserve">Doba plnění smlouvy, předání a převzetí licencí </w:t>
      </w:r>
    </w:p>
    <w:p w:rsidR="00EF3FBA" w:rsidRDefault="00EB6202">
      <w:pPr>
        <w:spacing w:after="114" w:line="248" w:lineRule="auto"/>
        <w:ind w:left="2"/>
      </w:pPr>
      <w:r>
        <w:t>3.1.</w:t>
      </w:r>
      <w:r>
        <w:rPr>
          <w:rFonts w:ascii="Arial" w:eastAsia="Arial" w:hAnsi="Arial" w:cs="Arial"/>
        </w:rPr>
        <w:t xml:space="preserve"> </w:t>
      </w:r>
      <w:r>
        <w:t xml:space="preserve">Smlouva se sjednává na 12 (slovy: dvanáct) měsíců ode dne její účinnosti. </w:t>
      </w:r>
    </w:p>
    <w:p w:rsidR="00EF3FBA" w:rsidRDefault="00EB6202">
      <w:pPr>
        <w:spacing w:after="239"/>
        <w:ind w:left="573" w:hanging="566"/>
      </w:pPr>
      <w:r>
        <w:t>3.2.</w:t>
      </w:r>
      <w:r>
        <w:rPr>
          <w:rFonts w:ascii="Arial" w:eastAsia="Arial" w:hAnsi="Arial" w:cs="Arial"/>
        </w:rPr>
        <w:t xml:space="preserve"> </w:t>
      </w:r>
      <w:r>
        <w:t xml:space="preserve">Licenci k software společnosti Microsoft získává nabyvatel okamžikem převzetí plnění v místě plnění dle čl. 2 odst. 2.4. smlouvy. V případě licence v elektronické podobě okamžikem doručení licenčních klíčů a nabývacích dokladů na zřízený účet nabyvatele u společnosti Microsoft a emailovou adresu osoby objednávající licenci k software. </w:t>
      </w:r>
    </w:p>
    <w:p w:rsidR="00EF3FBA" w:rsidRDefault="00EB6202">
      <w:pPr>
        <w:pStyle w:val="Nadpis1"/>
        <w:ind w:left="14" w:right="2"/>
      </w:pPr>
      <w:r>
        <w:lastRenderedPageBreak/>
        <w:t>4.</w:t>
      </w:r>
      <w:r>
        <w:rPr>
          <w:rFonts w:ascii="Arial" w:eastAsia="Arial" w:hAnsi="Arial" w:cs="Arial"/>
        </w:rPr>
        <w:t xml:space="preserve"> </w:t>
      </w:r>
      <w:r>
        <w:t xml:space="preserve">Cena, platební a fakturační podmínky </w:t>
      </w:r>
    </w:p>
    <w:p w:rsidR="00EF3FBA" w:rsidRDefault="00EB6202">
      <w:pPr>
        <w:spacing w:after="236"/>
        <w:ind w:left="581" w:hanging="574"/>
      </w:pPr>
      <w:r>
        <w:t>4.1.</w:t>
      </w:r>
      <w:r>
        <w:rPr>
          <w:rFonts w:ascii="Arial" w:eastAsia="Arial" w:hAnsi="Arial" w:cs="Arial"/>
        </w:rPr>
        <w:t xml:space="preserve"> </w:t>
      </w:r>
      <w:r>
        <w:t xml:space="preserve">Celková cena činí 840 857, 50 Kč bez DPH (slovy: </w:t>
      </w:r>
      <w:proofErr w:type="spellStart"/>
      <w:r>
        <w:t>osmsetčtyřicettisícosmsetpadesátsedm</w:t>
      </w:r>
      <w:proofErr w:type="spellEnd"/>
      <w:r>
        <w:t xml:space="preserve">, 50/100 korun českých). K ceně bude připočteno DPH dle platných předpisů.  </w:t>
      </w:r>
    </w:p>
    <w:p w:rsidR="00EF3FBA" w:rsidRDefault="00EB6202">
      <w:pPr>
        <w:spacing w:after="111"/>
        <w:ind w:left="581" w:hanging="574"/>
      </w:pPr>
      <w:r>
        <w:t>4.2.</w:t>
      </w:r>
      <w:r>
        <w:rPr>
          <w:rFonts w:ascii="Arial" w:eastAsia="Arial" w:hAnsi="Arial" w:cs="Arial"/>
        </w:rPr>
        <w:t xml:space="preserve"> </w:t>
      </w:r>
      <w:r>
        <w:t xml:space="preserve">Cena uvedená v odst. 4.1. tohoto článku je cenou nejvýše přípustnou a zahrnuje veškeré náklady poskytovatele spojené s předmětem plnění této smlouvy, včetně nákladů za balné, skladné, dopravu do místa plnění dle čl. 2. odst. 2.4. této smlouvy, nákladů na pojištění, clo, předání a převzetí licencí. </w:t>
      </w:r>
    </w:p>
    <w:p w:rsidR="00EF3FBA" w:rsidRDefault="00EB6202">
      <w:pPr>
        <w:spacing w:after="113"/>
        <w:ind w:left="581" w:hanging="574"/>
      </w:pPr>
      <w:r>
        <w:t>4.3.</w:t>
      </w:r>
      <w:r>
        <w:rPr>
          <w:rFonts w:ascii="Arial" w:eastAsia="Arial" w:hAnsi="Arial" w:cs="Arial"/>
        </w:rPr>
        <w:t xml:space="preserve"> </w:t>
      </w:r>
      <w:r>
        <w:t xml:space="preserve">V případě změny sazby DPH dané právními předpisy bude k ceně bez DPH přiúčtována daň dle sazby platné ke dni zdanitelného plnění. </w:t>
      </w:r>
    </w:p>
    <w:p w:rsidR="00EF3FBA" w:rsidRDefault="00EB6202">
      <w:pPr>
        <w:spacing w:after="115"/>
        <w:ind w:left="581" w:hanging="574"/>
      </w:pPr>
      <w:r>
        <w:t>4.4.</w:t>
      </w:r>
      <w:r>
        <w:rPr>
          <w:rFonts w:ascii="Arial" w:eastAsia="Arial" w:hAnsi="Arial" w:cs="Arial"/>
        </w:rPr>
        <w:t xml:space="preserve"> </w:t>
      </w:r>
      <w:r>
        <w:t xml:space="preserve">Faktura bude vystavena podle počtu poskytnutých licencí na 12 (slovy: dvanáct) kalendářních měsíců, a to ke dni uskutečnění zdanitelného plnění se splatností 30 (slovy: třicet) kalendářních dnů. </w:t>
      </w:r>
    </w:p>
    <w:p w:rsidR="00EF3FBA" w:rsidRDefault="00EB6202">
      <w:pPr>
        <w:spacing w:after="113"/>
        <w:ind w:left="581" w:hanging="574"/>
      </w:pPr>
      <w:r>
        <w:t>4.5.</w:t>
      </w:r>
      <w:r>
        <w:rPr>
          <w:rFonts w:ascii="Arial" w:eastAsia="Arial" w:hAnsi="Arial" w:cs="Arial"/>
        </w:rPr>
        <w:t xml:space="preserve"> </w:t>
      </w:r>
      <w:r>
        <w:t xml:space="preserve">Nabyvatel nebude poskytovateli poskytovat před řádným předáním a převzetím licencí zálohu na cenu v jakékoliv formě. </w:t>
      </w:r>
    </w:p>
    <w:p w:rsidR="00EF3FBA" w:rsidRDefault="00EB6202">
      <w:pPr>
        <w:spacing w:after="113"/>
        <w:ind w:left="581" w:hanging="574"/>
      </w:pPr>
      <w:r>
        <w:t>4.6.</w:t>
      </w:r>
      <w:r>
        <w:rPr>
          <w:rFonts w:ascii="Arial" w:eastAsia="Arial" w:hAnsi="Arial" w:cs="Arial"/>
        </w:rPr>
        <w:t xml:space="preserve"> </w:t>
      </w:r>
      <w:r>
        <w:t xml:space="preserve">Faktura vystavená poskytovatelem musí obsahovat náležitosti daňového a účetního dokladu dle zákona č. 235/2004 Sb., o dani z přidané hodnoty, ve znění pozdějších předpisů. V případě, že poskytovatel není plátcem DPH, musí faktura splňovat náležitosti účetního dokladu podle zákona č. 563/1991 Sb., o účetnictví, ve znění pozdějších předpisů. </w:t>
      </w:r>
    </w:p>
    <w:p w:rsidR="00EF3FBA" w:rsidRDefault="00EB6202">
      <w:pPr>
        <w:spacing w:after="116"/>
        <w:ind w:left="581" w:hanging="574"/>
      </w:pPr>
      <w:r>
        <w:t>4.7.</w:t>
      </w:r>
      <w:r>
        <w:rPr>
          <w:rFonts w:ascii="Arial" w:eastAsia="Arial" w:hAnsi="Arial" w:cs="Arial"/>
        </w:rPr>
        <w:t xml:space="preserve"> </w:t>
      </w:r>
      <w:r>
        <w:t>Fakturu poskytovatel zašle do datové schránky Města Aše</w:t>
      </w:r>
      <w:r>
        <w:rPr>
          <w:rFonts w:ascii="Arial" w:eastAsia="Arial" w:hAnsi="Arial" w:cs="Arial"/>
          <w:sz w:val="20"/>
        </w:rPr>
        <w:t xml:space="preserve"> </w:t>
      </w:r>
      <w:r>
        <w:rPr>
          <w:b/>
        </w:rPr>
        <w:t>5nubqy8</w:t>
      </w:r>
      <w:r>
        <w:t xml:space="preserve">. Nebude-li faktura obsahovat stanovené náležitosti nebo uvedené údaje budou nesprávné, je nabyvatel oprávněn vrátit ji ve lhůtě splatnosti poskytovateli, aniž se tím dostane do prodlení s její úhradou. Lhůta splatnosti počíná běžet znovu ode dne doručení bezvadné faktury nabyvateli. </w:t>
      </w:r>
    </w:p>
    <w:p w:rsidR="00EF3FBA" w:rsidRDefault="00EB6202">
      <w:pPr>
        <w:spacing w:after="240"/>
        <w:ind w:left="581" w:hanging="574"/>
      </w:pPr>
      <w:r>
        <w:t>4.8.</w:t>
      </w:r>
      <w:r>
        <w:rPr>
          <w:rFonts w:ascii="Arial" w:eastAsia="Arial" w:hAnsi="Arial" w:cs="Arial"/>
        </w:rPr>
        <w:t xml:space="preserve"> </w:t>
      </w:r>
      <w:r>
        <w:t xml:space="preserve">Dnem platby se rozumí den, kdy je fakturovaná částka odeslána z účtu nabyvatele na účet poskytovatele uvedený na faktuře, který musí odpovídat číslu účtu uvedenému v záhlaví této smlouvy, popř. číslu účtu poskytovatele, který je uveden v registru plátců DPH. Případnou změnu čísla účtu je poskytovatel povinen nabyvateli bezodkladně písemně oznámit a na zpětný dotaz nabyvatele opětovně písemně potvrdit, jinak je nabyvatel oprávněn vrátit fakturu poskytovateli podle odst. 4.7. tohoto článku. </w:t>
      </w:r>
    </w:p>
    <w:p w:rsidR="00EF3FBA" w:rsidRDefault="00EB6202">
      <w:pPr>
        <w:pStyle w:val="Nadpis1"/>
        <w:ind w:left="14" w:right="4"/>
      </w:pPr>
      <w:r>
        <w:t>5.</w:t>
      </w:r>
      <w:r>
        <w:rPr>
          <w:rFonts w:ascii="Arial" w:eastAsia="Arial" w:hAnsi="Arial" w:cs="Arial"/>
        </w:rPr>
        <w:t xml:space="preserve"> </w:t>
      </w:r>
      <w:r>
        <w:t xml:space="preserve">Licenční, servisní a reklamační podmínky, řešení vad a záruky </w:t>
      </w:r>
    </w:p>
    <w:p w:rsidR="00EF3FBA" w:rsidRDefault="00EB6202">
      <w:pPr>
        <w:spacing w:after="113"/>
        <w:ind w:left="581" w:hanging="574"/>
      </w:pPr>
      <w:r>
        <w:t>5.1.</w:t>
      </w:r>
      <w:r>
        <w:rPr>
          <w:rFonts w:ascii="Arial" w:eastAsia="Arial" w:hAnsi="Arial" w:cs="Arial"/>
        </w:rPr>
        <w:t xml:space="preserve"> </w:t>
      </w:r>
      <w:r>
        <w:t xml:space="preserve">Smluvní strany jsou si vědomy, že licence k software společnosti Microsoft jsou nabyvateli poskytovány přímo společností Microsoft v souladu s podmínkami licence Microsoft. </w:t>
      </w:r>
    </w:p>
    <w:p w:rsidR="00EF3FBA" w:rsidRDefault="00EB6202">
      <w:pPr>
        <w:spacing w:after="113"/>
        <w:ind w:left="581" w:hanging="574"/>
      </w:pPr>
      <w:r>
        <w:t>5.2.</w:t>
      </w:r>
      <w:r>
        <w:rPr>
          <w:rFonts w:ascii="Arial" w:eastAsia="Arial" w:hAnsi="Arial" w:cs="Arial"/>
        </w:rPr>
        <w:t xml:space="preserve"> </w:t>
      </w:r>
      <w:r>
        <w:t xml:space="preserve">Stejně tak, veškeré servisní podmínky, reklamace, řešení vad a záruční podmínky se řídí podmínkami společnosti Microsoft a jsou uplatňovány v souladu s licenčním programem. </w:t>
      </w:r>
    </w:p>
    <w:p w:rsidR="00EF3FBA" w:rsidRDefault="00EB6202">
      <w:pPr>
        <w:spacing w:after="115"/>
        <w:ind w:left="581" w:hanging="574"/>
      </w:pPr>
      <w:r>
        <w:t>5.3.</w:t>
      </w:r>
      <w:r>
        <w:rPr>
          <w:rFonts w:ascii="Arial" w:eastAsia="Arial" w:hAnsi="Arial" w:cs="Arial"/>
        </w:rPr>
        <w:t xml:space="preserve"> </w:t>
      </w:r>
      <w:r>
        <w:t xml:space="preserve">Nabyvatel je povinen užívat software v souladu s licenčními podmínkami (užívacími právy) společnosti Microsoft vztahujícími se k danému softwaru. </w:t>
      </w:r>
    </w:p>
    <w:p w:rsidR="00EF3FBA" w:rsidRDefault="00EB6202">
      <w:pPr>
        <w:spacing w:after="114" w:line="248" w:lineRule="auto"/>
        <w:ind w:left="566" w:hanging="574"/>
      </w:pPr>
      <w:r>
        <w:t>5.4.</w:t>
      </w:r>
      <w:r>
        <w:rPr>
          <w:rFonts w:ascii="Arial" w:eastAsia="Arial" w:hAnsi="Arial" w:cs="Arial"/>
        </w:rPr>
        <w:t xml:space="preserve"> </w:t>
      </w:r>
      <w:r>
        <w:t xml:space="preserve">Licence musí být prosté všech faktických a právních vad a poskytovatel je povinen zajistit, aby dodáním a užíváním licencí nebyla porušena práva nabyvatele nebo jiných osob vyplývající z práv duševního vlastnictví. </w:t>
      </w:r>
    </w:p>
    <w:p w:rsidR="00EF3FBA" w:rsidRDefault="00EB6202">
      <w:pPr>
        <w:spacing w:after="113"/>
        <w:ind w:left="581" w:hanging="574"/>
      </w:pPr>
      <w:r>
        <w:t>5.5.</w:t>
      </w:r>
      <w:r>
        <w:rPr>
          <w:rFonts w:ascii="Arial" w:eastAsia="Arial" w:hAnsi="Arial" w:cs="Arial"/>
        </w:rPr>
        <w:t xml:space="preserve"> </w:t>
      </w:r>
      <w:r>
        <w:t xml:space="preserve">Reklamace budou poskytovateli předávány telefonicky na čísle: +420 353 223 048 nebo na emailu: </w:t>
      </w:r>
      <w:r>
        <w:rPr>
          <w:color w:val="0000FF"/>
          <w:u w:val="single" w:color="0000FF"/>
        </w:rPr>
        <w:t>servicedesk@lithium.cz</w:t>
      </w:r>
      <w:r>
        <w:t xml:space="preserve">. </w:t>
      </w:r>
    </w:p>
    <w:p w:rsidR="00EF3FBA" w:rsidRDefault="00EB6202">
      <w:pPr>
        <w:spacing w:after="241"/>
        <w:ind w:left="581" w:hanging="574"/>
      </w:pPr>
      <w:r>
        <w:t>5.6.</w:t>
      </w:r>
      <w:r>
        <w:rPr>
          <w:rFonts w:ascii="Arial" w:eastAsia="Arial" w:hAnsi="Arial" w:cs="Arial"/>
        </w:rPr>
        <w:t xml:space="preserve"> </w:t>
      </w:r>
      <w:r>
        <w:t xml:space="preserve">Uplatněním nároku z odpovědnosti za vady nejsou dotčeny nároky na náhradu škody nebo na uplatnění smluvní pokuty. </w:t>
      </w:r>
    </w:p>
    <w:p w:rsidR="00EF3FBA" w:rsidRDefault="00EB6202">
      <w:pPr>
        <w:pStyle w:val="Nadpis1"/>
        <w:spacing w:after="101"/>
        <w:ind w:left="15"/>
      </w:pPr>
      <w:r>
        <w:lastRenderedPageBreak/>
        <w:t>6.</w:t>
      </w:r>
      <w:r>
        <w:rPr>
          <w:rFonts w:ascii="Arial" w:eastAsia="Arial" w:hAnsi="Arial" w:cs="Arial"/>
        </w:rPr>
        <w:t xml:space="preserve"> </w:t>
      </w:r>
      <w:r>
        <w:t>Smluvní pokuta, úrok z prodlení</w:t>
      </w:r>
      <w:r>
        <w:rPr>
          <w:b w:val="0"/>
        </w:rPr>
        <w:t xml:space="preserve"> </w:t>
      </w:r>
    </w:p>
    <w:p w:rsidR="00EF3FBA" w:rsidRDefault="00EB6202">
      <w:pPr>
        <w:spacing w:after="0"/>
        <w:ind w:left="581" w:hanging="432"/>
      </w:pPr>
      <w:r>
        <w:t>6.1.</w:t>
      </w:r>
      <w:r>
        <w:rPr>
          <w:rFonts w:ascii="Arial" w:eastAsia="Arial" w:hAnsi="Arial" w:cs="Arial"/>
        </w:rPr>
        <w:t xml:space="preserve"> </w:t>
      </w:r>
      <w:r>
        <w:t xml:space="preserve">Smluvní strany se dohodly, že v případě porušení závazků poskytovatele uvedených v ustanovení článku 2.3. této smlouvy o dobách zahájení, provedení jednotlivých částí (etap) nebo </w:t>
      </w:r>
      <w:proofErr w:type="gramStart"/>
      <w:r>
        <w:t>ukončení  dle</w:t>
      </w:r>
      <w:proofErr w:type="gramEnd"/>
      <w:r>
        <w:t xml:space="preserve"> této smlouvy, tj. v případě nesplnění závazků poskytovatele ve stanovených termínech dle čl. 2.3. této smlouvy bez vad a nedodělků zaplatí poskytovatel nabyvateli smluvní pokutu ve výši 0,5 %  z celkové ceny dle čl. 4.1 s DPH, a to za každý i započatý den prodlení. Nabyvatel má nárok na zaplacení smluvní pokuty za prodlení s kteroukoliv uvedenou etapou a tyto nároky může uplatňovat vůči poskytovateli samostatně. </w:t>
      </w:r>
    </w:p>
    <w:p w:rsidR="00EF3FBA" w:rsidRDefault="00EB6202">
      <w:pPr>
        <w:ind w:left="581" w:hanging="574"/>
      </w:pPr>
      <w:r>
        <w:t>6.2.</w:t>
      </w:r>
      <w:r>
        <w:rPr>
          <w:rFonts w:ascii="Arial" w:eastAsia="Arial" w:hAnsi="Arial" w:cs="Arial"/>
        </w:rPr>
        <w:t xml:space="preserve"> </w:t>
      </w:r>
      <w:r>
        <w:t xml:space="preserve">Smluvní pokuta je splatná ve lhůtě 14 (slovy: čtrnáct) kalendářních dnů ode dne doručení jejich vyúčtování druhé smluvní straně. </w:t>
      </w:r>
    </w:p>
    <w:p w:rsidR="00EF3FBA" w:rsidRDefault="00EB6202">
      <w:pPr>
        <w:spacing w:after="239"/>
        <w:ind w:left="581" w:hanging="574"/>
      </w:pPr>
      <w:r>
        <w:t>6.3.</w:t>
      </w:r>
      <w:r>
        <w:rPr>
          <w:rFonts w:ascii="Arial" w:eastAsia="Arial" w:hAnsi="Arial" w:cs="Arial"/>
        </w:rPr>
        <w:t xml:space="preserve"> </w:t>
      </w:r>
      <w:r>
        <w:t xml:space="preserve">Zaplacením smluvní pokuty není dotčen nárok na náhradu škody ani na řádné dokončení plnění předmětu této smlouvy, popř. odstranění vad. </w:t>
      </w:r>
    </w:p>
    <w:p w:rsidR="00EF3FBA" w:rsidRDefault="00EB6202">
      <w:pPr>
        <w:pStyle w:val="Nadpis1"/>
        <w:ind w:left="14" w:right="1"/>
      </w:pPr>
      <w:r>
        <w:t>7.</w:t>
      </w:r>
      <w:r>
        <w:rPr>
          <w:rFonts w:ascii="Arial" w:eastAsia="Arial" w:hAnsi="Arial" w:cs="Arial"/>
        </w:rPr>
        <w:t xml:space="preserve"> </w:t>
      </w:r>
      <w:r>
        <w:t xml:space="preserve">Ukončení smlouvy, odstoupení od smlouvy </w:t>
      </w:r>
    </w:p>
    <w:p w:rsidR="00EF3FBA" w:rsidRDefault="00EB6202">
      <w:pPr>
        <w:spacing w:after="116"/>
        <w:ind w:left="573" w:hanging="566"/>
      </w:pPr>
      <w:r>
        <w:t>7.1.</w:t>
      </w:r>
      <w:r>
        <w:rPr>
          <w:rFonts w:ascii="Arial" w:eastAsia="Arial" w:hAnsi="Arial" w:cs="Arial"/>
        </w:rPr>
        <w:t xml:space="preserve"> </w:t>
      </w:r>
      <w:r>
        <w:t xml:space="preserve">Tuto smlouvu lze ukončit písemnou dohodou smluvních stran podle § 1981 občanského zákoníku, přičemž účinky ukončení smlouvy nastanou k okamžiku stanovenému v takovéto dohodě. Nebude-li takovýto okamžik dohodou stanoven, pak tyto účinky nastanou ke dni podpisu takovéto dohody oběma smluvními stranami. </w:t>
      </w:r>
    </w:p>
    <w:p w:rsidR="00EF3FBA" w:rsidRDefault="00EB6202">
      <w:pPr>
        <w:spacing w:after="116"/>
        <w:ind w:left="573" w:hanging="566"/>
      </w:pPr>
      <w:r>
        <w:t>7.2.</w:t>
      </w:r>
      <w:r>
        <w:rPr>
          <w:rFonts w:ascii="Arial" w:eastAsia="Arial" w:hAnsi="Arial" w:cs="Arial"/>
        </w:rPr>
        <w:t xml:space="preserve"> </w:t>
      </w:r>
      <w:r>
        <w:t xml:space="preserve">Smluvní strany jsou oprávněny od této smlouvy písemně odstoupit v případě podstatného porušení smlouvy druhou smluvní stranou za podmínek uvedených v § 2002 občanského zákoníku. </w:t>
      </w:r>
    </w:p>
    <w:p w:rsidR="00EF3FBA" w:rsidRDefault="00EB6202">
      <w:pPr>
        <w:ind w:left="573" w:hanging="566"/>
      </w:pPr>
      <w:r>
        <w:t>7.3.</w:t>
      </w:r>
      <w:r>
        <w:rPr>
          <w:rFonts w:ascii="Arial" w:eastAsia="Arial" w:hAnsi="Arial" w:cs="Arial"/>
        </w:rPr>
        <w:t xml:space="preserve"> </w:t>
      </w:r>
      <w:r>
        <w:t xml:space="preserve">Smluvní strany jsou oprávněny od této smlouvy písemně odstoupit v souladu s § 2001 občanského zákoníku, v případě následujících porušení smluvní povinnosti druhou smluvní stranou: </w:t>
      </w:r>
    </w:p>
    <w:p w:rsidR="00EF3FBA" w:rsidRDefault="00EB6202">
      <w:pPr>
        <w:numPr>
          <w:ilvl w:val="0"/>
          <w:numId w:val="5"/>
        </w:numPr>
        <w:spacing w:after="0"/>
        <w:ind w:hanging="504"/>
      </w:pPr>
      <w:r>
        <w:t xml:space="preserve">jestliže se poskytovatel dostane do prodlení s plněním této smlouvy, ať již jako celku či jeho jednotlivých částí, ve vztahu k termínům provádění Díla dle článku </w:t>
      </w:r>
    </w:p>
    <w:p w:rsidR="00EF3FBA" w:rsidRDefault="00EB6202">
      <w:pPr>
        <w:spacing w:after="29"/>
        <w:ind w:left="1798"/>
      </w:pPr>
      <w:r>
        <w:t xml:space="preserve">2.3. této smlouvy, které bude delší než 30 kalendářních dnů; </w:t>
      </w:r>
    </w:p>
    <w:p w:rsidR="00EF3FBA" w:rsidRDefault="00EB6202">
      <w:pPr>
        <w:numPr>
          <w:ilvl w:val="0"/>
          <w:numId w:val="5"/>
        </w:numPr>
        <w:spacing w:after="16" w:line="248" w:lineRule="auto"/>
        <w:ind w:hanging="504"/>
      </w:pPr>
      <w:r>
        <w:t xml:space="preserve">porušení povinností poskytovatele stanovených v čl. 8. odst. 8.2. nebo 8.3. této smlouvy. </w:t>
      </w:r>
    </w:p>
    <w:p w:rsidR="00EF3FBA" w:rsidRDefault="00EB6202">
      <w:pPr>
        <w:numPr>
          <w:ilvl w:val="0"/>
          <w:numId w:val="5"/>
        </w:numPr>
        <w:spacing w:after="12"/>
        <w:ind w:hanging="504"/>
      </w:pPr>
      <w:r>
        <w:t xml:space="preserve">Smluvní strany se dohodly, že Nabyvatel je oprávněn od smlouvy odstoupit, pokud Zhotovitel opakovaně poruší shodným způsobem jakýkoli svůj závazek, který vyplývá ze smlouvy, anebo jestliže Zhotovitel opakovaně poruší povinnosti, které vyplynuly z následných jednání obou smluvních stran při plnění smlouvy; </w:t>
      </w:r>
    </w:p>
    <w:p w:rsidR="00EF3FBA" w:rsidRDefault="00EB6202">
      <w:pPr>
        <w:numPr>
          <w:ilvl w:val="0"/>
          <w:numId w:val="5"/>
        </w:numPr>
        <w:spacing w:after="0"/>
        <w:ind w:hanging="504"/>
      </w:pPr>
      <w:r>
        <w:t xml:space="preserve">Poskytovatelovo podání návrhu na prohlášení konkurzu na svůj majetek ve smyslu ustanovení zákona č. 182/2006 Sb., o úpadku a způsobech jeho řešení (insolvenční zákon), nebo bude prohlášen konkurs na majetek poskytovatele na základě návrhu věřitele poskytovatele či bude na základě rozhodnutí soudu ustanoven předběžný správce konkursní podstaty pro poskytovatele ve smyslu zák. č. 182/2006 Sb., anebo bude poskytovatelem podán návrh na vyrovnání ve smyslu ustanovení zákona č. 182/2006 Sb.; jestliže poskytovatel vstoupil do likvidace. Pro případ prohlášení konkursu podle insolvenčního zákona na poskytovatele si smluvní strany sjednávají, že nabyvatel může od smlouvy odstoupit i do lhůty 30 dnů, kterou má insolvenční správce na vyjádření. </w:t>
      </w:r>
    </w:p>
    <w:p w:rsidR="00EF3FBA" w:rsidRDefault="00EB6202">
      <w:pPr>
        <w:spacing w:after="0" w:line="259" w:lineRule="auto"/>
        <w:ind w:left="1788" w:firstLine="0"/>
        <w:jc w:val="left"/>
      </w:pPr>
      <w:r>
        <w:t xml:space="preserve"> </w:t>
      </w:r>
    </w:p>
    <w:p w:rsidR="00EF3FBA" w:rsidRDefault="00EB6202">
      <w:pPr>
        <w:spacing w:after="242"/>
        <w:ind w:left="581" w:hanging="574"/>
      </w:pPr>
      <w:r>
        <w:t>7.4.</w:t>
      </w:r>
      <w:r>
        <w:rPr>
          <w:rFonts w:ascii="Arial" w:eastAsia="Arial" w:hAnsi="Arial" w:cs="Arial"/>
        </w:rPr>
        <w:t xml:space="preserve"> </w:t>
      </w:r>
      <w:r>
        <w:t xml:space="preserve">Účinky odstoupení od smlouvy nastávají okamžikem doručení písemného projevu vůle odstoupit od této smlouvy druhé smluvní straně. Odstoupením od smlouvy nezaniká nárok na náhradu škody vzniklé porušením smlouvy ani nárok na zaplacení smluvní pokuty nebo úroku z prodlení, pokud již dospěl. </w:t>
      </w:r>
    </w:p>
    <w:p w:rsidR="00EF3FBA" w:rsidRDefault="00EB6202">
      <w:pPr>
        <w:pStyle w:val="Nadpis1"/>
        <w:ind w:left="14"/>
      </w:pPr>
      <w:r>
        <w:lastRenderedPageBreak/>
        <w:t>8.</w:t>
      </w:r>
      <w:r>
        <w:rPr>
          <w:rFonts w:ascii="Arial" w:eastAsia="Arial" w:hAnsi="Arial" w:cs="Arial"/>
        </w:rPr>
        <w:t xml:space="preserve"> </w:t>
      </w:r>
      <w:r>
        <w:t xml:space="preserve">Další ujednání </w:t>
      </w:r>
    </w:p>
    <w:p w:rsidR="00EF3FBA" w:rsidRDefault="00EB6202">
      <w:pPr>
        <w:spacing w:after="113"/>
        <w:ind w:left="581" w:hanging="574"/>
      </w:pPr>
      <w:r>
        <w:t>8.1.</w:t>
      </w:r>
      <w:r>
        <w:rPr>
          <w:rFonts w:ascii="Arial" w:eastAsia="Arial" w:hAnsi="Arial" w:cs="Arial"/>
        </w:rPr>
        <w:t xml:space="preserve"> </w:t>
      </w:r>
      <w:r>
        <w:t xml:space="preserve">Poskytovatel odpovídá za to, že plnění předmětu smlouvy nezasahuje a nebude zasahovat do práv jiných osob, zejména práv z průmyslového nebo jiného duševního vlastnictví, a to pro jakékoliv využití v České republice i v zahraničí. </w:t>
      </w:r>
    </w:p>
    <w:p w:rsidR="00EF3FBA" w:rsidRDefault="00EB6202">
      <w:pPr>
        <w:spacing w:after="113"/>
        <w:ind w:left="581" w:hanging="574"/>
      </w:pPr>
      <w:r>
        <w:t>8.2.</w:t>
      </w:r>
      <w:r>
        <w:rPr>
          <w:rFonts w:ascii="Arial" w:eastAsia="Arial" w:hAnsi="Arial" w:cs="Arial"/>
        </w:rPr>
        <w:t xml:space="preserve"> </w:t>
      </w:r>
      <w:r>
        <w:t xml:space="preserve">Žádná ze smluvních stran není oprávněna poskytnout třetím osobám jakékoliv informace o podmínkách této smlouvy a souvisejících s touto smlouvou, jejichž obsahem mohou být důvěrné informace, osobní a citlivé údaje, informace týkající se obchodního tajemství, technologie nebo know-how, s výjimkou povinnosti poskytovat informace podle zvláštních předpisů. Ustanovení odst. 8.5. tohoto článku tím není dotčeno. </w:t>
      </w:r>
    </w:p>
    <w:p w:rsidR="00EF3FBA" w:rsidRDefault="00EB6202">
      <w:pPr>
        <w:spacing w:after="113"/>
        <w:ind w:left="581" w:hanging="574"/>
      </w:pPr>
      <w:r>
        <w:t>8.3.</w:t>
      </w:r>
      <w:r>
        <w:rPr>
          <w:rFonts w:ascii="Arial" w:eastAsia="Arial" w:hAnsi="Arial" w:cs="Arial"/>
        </w:rPr>
        <w:t xml:space="preserve"> </w:t>
      </w:r>
      <w:r>
        <w:t xml:space="preserve">Žádná ze smluvních stran není oprávněna postoupit či jinak převést svá práva či povinnosti vyplývající z této smlouvy bez předchozího písemného souhlasu druhé smluvní strany. </w:t>
      </w:r>
    </w:p>
    <w:p w:rsidR="00EF3FBA" w:rsidRDefault="00EB6202">
      <w:pPr>
        <w:ind w:left="581" w:hanging="574"/>
      </w:pPr>
      <w:r>
        <w:t>8.4.</w:t>
      </w:r>
      <w:r>
        <w:rPr>
          <w:rFonts w:ascii="Arial" w:eastAsia="Arial" w:hAnsi="Arial" w:cs="Arial"/>
        </w:rPr>
        <w:t xml:space="preserve"> </w:t>
      </w:r>
      <w:r>
        <w:t xml:space="preserve">Závazky dle předchozích odstavců tohoto článku zůstávají v platnosti i po ukončení účinnosti této smlouvy. </w:t>
      </w:r>
    </w:p>
    <w:p w:rsidR="00EF3FBA" w:rsidRDefault="00EB6202">
      <w:pPr>
        <w:spacing w:after="113"/>
        <w:ind w:left="574" w:hanging="574"/>
      </w:pPr>
      <w:r>
        <w:t>8.5.</w:t>
      </w:r>
      <w:r>
        <w:rPr>
          <w:rFonts w:ascii="Arial" w:eastAsia="Arial" w:hAnsi="Arial" w:cs="Arial"/>
        </w:rPr>
        <w:t xml:space="preserve"> </w:t>
      </w:r>
      <w:r>
        <w:t xml:space="preserve">Poskytovatel bere na vědomí a souhlasí s tím, že nabyvatel v souladu se zákonem č. 340/2015 Sb., o zvláštních podmínkách účinnosti některých smluv, uveřejňování těchto smluv a o registru smluv (zákon o registru smluv), ve znění pozdějších předpisů, uveřejní celé znění této smlouvy, včetně jejich příloh, změn a dodatků v registru smluv. </w:t>
      </w:r>
    </w:p>
    <w:p w:rsidR="00EF3FBA" w:rsidRDefault="00EB6202">
      <w:pPr>
        <w:ind w:left="574" w:hanging="574"/>
      </w:pPr>
      <w:r>
        <w:t>8.6.</w:t>
      </w:r>
      <w:r>
        <w:rPr>
          <w:rFonts w:ascii="Arial" w:eastAsia="Arial" w:hAnsi="Arial" w:cs="Arial"/>
        </w:rPr>
        <w:t xml:space="preserve"> </w:t>
      </w:r>
      <w:r>
        <w:t xml:space="preserve">Poskytovatel se zavazuje provést plnění v souladu s podklady k výběrovému řízení a je povinen zajistit, že plnění bude odpovídat obecně platným právním předpisům České republiky, ve smlouvě uvedeným dokumentům a příslušným technickým normám, jejichž závaznost si smluvní strany tímto sjednávají. </w:t>
      </w:r>
    </w:p>
    <w:p w:rsidR="00EF3FBA" w:rsidRDefault="00EB6202">
      <w:pPr>
        <w:pStyle w:val="Nadpis1"/>
        <w:spacing w:after="106"/>
        <w:ind w:left="0" w:right="4" w:firstLine="0"/>
      </w:pPr>
      <w:r>
        <w:t>9.</w:t>
      </w:r>
      <w:r>
        <w:rPr>
          <w:rFonts w:ascii="Arial" w:eastAsia="Arial" w:hAnsi="Arial" w:cs="Arial"/>
        </w:rPr>
        <w:t xml:space="preserve"> </w:t>
      </w:r>
      <w:r>
        <w:rPr>
          <w:bdr w:val="single" w:sz="4" w:space="0" w:color="E5E7EB"/>
        </w:rPr>
        <w:t>Kybernetická bezpečnost a smluvní povinnosti dle NIS 2</w:t>
      </w:r>
      <w:r>
        <w:rPr>
          <w:b w:val="0"/>
        </w:rPr>
        <w:t xml:space="preserve"> </w:t>
      </w:r>
    </w:p>
    <w:p w:rsidR="00EF3FBA" w:rsidRDefault="00EB6202">
      <w:pPr>
        <w:spacing w:after="113"/>
        <w:ind w:left="574" w:hanging="574"/>
      </w:pPr>
      <w:r>
        <w:t>9.1.</w:t>
      </w:r>
      <w:r>
        <w:rPr>
          <w:rFonts w:ascii="Arial" w:eastAsia="Arial" w:hAnsi="Arial" w:cs="Arial"/>
        </w:rPr>
        <w:t xml:space="preserve"> </w:t>
      </w:r>
      <w:r>
        <w:t xml:space="preserve">Poskytovatel je povinen zajistit důvěrnost, integritu a dostupnost dat zákazníka prostřednictvím adekvátních technických a organizačních opatření dle výsledků hodnocení rizik. Poskytovatel vede seznam aktiv využívaných při poskytování služby, který na vyžádání předá zákazníkovi, a po ukončení smlouvy bezodkladně skartuje nebo vrátí veškerá data zákazníka. Poskytovatel je povinen informovat zákazníka o všech </w:t>
      </w:r>
      <w:proofErr w:type="spellStart"/>
      <w:r>
        <w:t>subposkytovatelích</w:t>
      </w:r>
      <w:proofErr w:type="spellEnd"/>
      <w:r>
        <w:t>, smluvně zajistit stejnou úroveň bezpečnosti i u nich a při ukončení smlouvy zajistit bezpečný přenos nebo vymazání dat (exit strategie)</w:t>
      </w:r>
      <w:r>
        <w:rPr>
          <w:sz w:val="24"/>
        </w:rPr>
        <w:t xml:space="preserve">, </w:t>
      </w:r>
      <w:r>
        <w:t xml:space="preserve">přičemž nabyvatel si v pochybnostech o osobě </w:t>
      </w:r>
      <w:proofErr w:type="spellStart"/>
      <w:r>
        <w:t>subposkytovatele</w:t>
      </w:r>
      <w:proofErr w:type="spellEnd"/>
      <w:r>
        <w:t xml:space="preserve"> podílejícího se na plnění předmětu smlouvy vyhrazuje právo odmítnout takovou osobu bez udání důvodu. </w:t>
      </w:r>
    </w:p>
    <w:p w:rsidR="00EF3FBA" w:rsidRDefault="00EB6202">
      <w:pPr>
        <w:ind w:left="574" w:hanging="574"/>
      </w:pPr>
      <w:r>
        <w:t>9.2.</w:t>
      </w:r>
      <w:r>
        <w:rPr>
          <w:rFonts w:ascii="Arial" w:eastAsia="Arial" w:hAnsi="Arial" w:cs="Arial"/>
        </w:rPr>
        <w:t xml:space="preserve"> </w:t>
      </w:r>
      <w:r>
        <w:t xml:space="preserve">Poskytovatel je povinen chránit důvěrné informace, zajistit proškolení svých zaměstnanců a </w:t>
      </w:r>
      <w:proofErr w:type="spellStart"/>
      <w:r>
        <w:t>subposkytovatelů</w:t>
      </w:r>
      <w:proofErr w:type="spellEnd"/>
      <w:r>
        <w:t xml:space="preserve">, zavést postupy pro řízení změn a významné změny předem konzultovat se zákazníkem. V případě kybernetického incidentu je poskytovatel povinen jej neprodleně nahlásit zákazníkovi, zajistit součinnost při řešení a vést odpovídající záznamy. Poskytovatel předkládá zákazníkovi řádně a včas plány obnovy provozu a minimální úroveň služeb, a alespoň jednou ročně zprávu o řízení kybernetických rizik.  </w:t>
      </w:r>
    </w:p>
    <w:p w:rsidR="00EF3FBA" w:rsidRDefault="00EB6202">
      <w:pPr>
        <w:pStyle w:val="Nadpis2"/>
        <w:ind w:left="14"/>
      </w:pPr>
      <w:r>
        <w:t>10.</w:t>
      </w:r>
      <w:r>
        <w:rPr>
          <w:rFonts w:ascii="Arial" w:eastAsia="Arial" w:hAnsi="Arial" w:cs="Arial"/>
        </w:rPr>
        <w:t xml:space="preserve"> </w:t>
      </w:r>
      <w:r>
        <w:t xml:space="preserve">Zvláštní ujednání </w:t>
      </w:r>
    </w:p>
    <w:p w:rsidR="00EF3FBA" w:rsidRDefault="00EB6202">
      <w:pPr>
        <w:spacing w:after="55"/>
        <w:ind w:left="581" w:hanging="574"/>
      </w:pPr>
      <w:r>
        <w:t>10.1.</w:t>
      </w:r>
      <w:r>
        <w:rPr>
          <w:rFonts w:ascii="Arial" w:eastAsia="Arial" w:hAnsi="Arial" w:cs="Arial"/>
        </w:rPr>
        <w:t xml:space="preserve"> </w:t>
      </w:r>
      <w:r>
        <w:t xml:space="preserve">Poskytovatel výslovně potvrzuje, že je podnikatelem, a že tuto smlouvu uzavírá při svém podnikání, a na tuto smlouvu se tudíž neuplatní ustanovení § 1793 a násl. občanského zákoníku o neúměrném zkrácení. </w:t>
      </w:r>
    </w:p>
    <w:p w:rsidR="00EF3FBA" w:rsidRDefault="00EB6202">
      <w:pPr>
        <w:spacing w:after="32" w:line="248" w:lineRule="auto"/>
        <w:ind w:left="2"/>
      </w:pPr>
      <w:r>
        <w:t>10.2.</w:t>
      </w:r>
      <w:r>
        <w:rPr>
          <w:rFonts w:ascii="Arial" w:eastAsia="Arial" w:hAnsi="Arial" w:cs="Arial"/>
        </w:rPr>
        <w:t xml:space="preserve"> </w:t>
      </w:r>
      <w:r>
        <w:t xml:space="preserve">Poskytovatel není oprávněn  </w:t>
      </w:r>
    </w:p>
    <w:p w:rsidR="00EF3FBA" w:rsidRDefault="00EB6202">
      <w:pPr>
        <w:numPr>
          <w:ilvl w:val="0"/>
          <w:numId w:val="6"/>
        </w:numPr>
        <w:spacing w:after="34"/>
        <w:ind w:hanging="283"/>
      </w:pPr>
      <w:r>
        <w:t xml:space="preserve">postoupit svá práva ani převést své povinnosti z této smlouvy bez předchozího písemného souhlasu nabyvatele, </w:t>
      </w:r>
    </w:p>
    <w:p w:rsidR="00EF3FBA" w:rsidRDefault="00EB6202">
      <w:pPr>
        <w:numPr>
          <w:ilvl w:val="0"/>
          <w:numId w:val="6"/>
        </w:numPr>
        <w:spacing w:after="34"/>
        <w:ind w:hanging="283"/>
      </w:pPr>
      <w:r>
        <w:t xml:space="preserve">započíst jakoukoliv svou pohledávku proti pohledávce nabyvatele vyplývající z této smlouvy bez jeho předchozího písemného souhlasu, </w:t>
      </w:r>
    </w:p>
    <w:p w:rsidR="00EF3FBA" w:rsidRDefault="00EB6202">
      <w:pPr>
        <w:numPr>
          <w:ilvl w:val="0"/>
          <w:numId w:val="6"/>
        </w:numPr>
        <w:spacing w:after="28"/>
        <w:ind w:hanging="283"/>
      </w:pPr>
      <w:r>
        <w:t xml:space="preserve">ujednat s jinou osobou, že tato přejímá jeho dluh, který má vůči nabyvateli bez jeho předchozího písemného souhlasu. </w:t>
      </w:r>
    </w:p>
    <w:p w:rsidR="00EF3FBA" w:rsidRDefault="00EB6202">
      <w:pPr>
        <w:spacing w:after="26"/>
        <w:ind w:left="17"/>
      </w:pPr>
      <w:r>
        <w:lastRenderedPageBreak/>
        <w:t xml:space="preserve">10.3.   V případě neshody stran o  </w:t>
      </w:r>
    </w:p>
    <w:p w:rsidR="00EF3FBA" w:rsidRDefault="00EB6202">
      <w:pPr>
        <w:numPr>
          <w:ilvl w:val="0"/>
          <w:numId w:val="7"/>
        </w:numPr>
        <w:spacing w:after="26"/>
        <w:ind w:hanging="240"/>
      </w:pPr>
      <w:r>
        <w:t xml:space="preserve">technickém způsobu provádění plnění dle smlouvy, </w:t>
      </w:r>
    </w:p>
    <w:p w:rsidR="00EF3FBA" w:rsidRDefault="00EB6202">
      <w:pPr>
        <w:numPr>
          <w:ilvl w:val="0"/>
          <w:numId w:val="7"/>
        </w:numPr>
        <w:spacing w:after="27" w:line="248" w:lineRule="auto"/>
        <w:ind w:hanging="240"/>
      </w:pPr>
      <w:r>
        <w:t xml:space="preserve">souladu provádění díla s podklady a pokyny nabyvatele,  </w:t>
      </w:r>
    </w:p>
    <w:p w:rsidR="00EF3FBA" w:rsidRDefault="00EB6202">
      <w:pPr>
        <w:numPr>
          <w:ilvl w:val="0"/>
          <w:numId w:val="7"/>
        </w:numPr>
        <w:spacing w:after="26"/>
        <w:ind w:hanging="240"/>
      </w:pPr>
      <w:r>
        <w:t xml:space="preserve">vhodnosti pokynu nabyvatele nebo podkladu od něj, anebo </w:t>
      </w:r>
    </w:p>
    <w:p w:rsidR="00EF3FBA" w:rsidRDefault="00EB6202">
      <w:pPr>
        <w:numPr>
          <w:ilvl w:val="0"/>
          <w:numId w:val="7"/>
        </w:numPr>
        <w:spacing w:after="27"/>
        <w:ind w:hanging="240"/>
      </w:pPr>
      <w:r>
        <w:t xml:space="preserve">příčině vady plnění, rozhodne znalec nebo odborná osoba, na níž se strany shodnou. Neshodnou-li se, bude znalec nebo odborná osoba určena losem, přičemž každá strana navrhne jednu osobu. Náklady spojené s určením příčiny vady nese strana, v jejíž neprospěch bylo rozhodnuto. </w:t>
      </w:r>
    </w:p>
    <w:p w:rsidR="00EF3FBA" w:rsidRDefault="00EB6202">
      <w:pPr>
        <w:spacing w:after="109" w:line="259" w:lineRule="auto"/>
        <w:ind w:left="367" w:firstLine="0"/>
        <w:jc w:val="left"/>
      </w:pPr>
      <w:r>
        <w:rPr>
          <w:b/>
        </w:rPr>
        <w:t xml:space="preserve"> </w:t>
      </w:r>
    </w:p>
    <w:p w:rsidR="00EF3FBA" w:rsidRDefault="00EB6202">
      <w:pPr>
        <w:pStyle w:val="Nadpis2"/>
        <w:spacing w:after="77"/>
        <w:ind w:left="14"/>
      </w:pPr>
      <w:r>
        <w:t>11.</w:t>
      </w:r>
      <w:r>
        <w:rPr>
          <w:rFonts w:ascii="Arial" w:eastAsia="Arial" w:hAnsi="Arial" w:cs="Arial"/>
        </w:rPr>
        <w:t xml:space="preserve"> </w:t>
      </w:r>
      <w:r>
        <w:t xml:space="preserve">Závěrečná ustanovení </w:t>
      </w:r>
    </w:p>
    <w:p w:rsidR="00EF3FBA" w:rsidRDefault="00EB6202">
      <w:pPr>
        <w:spacing w:after="38" w:line="259" w:lineRule="auto"/>
        <w:ind w:left="7" w:firstLine="0"/>
        <w:jc w:val="left"/>
      </w:pPr>
      <w:r>
        <w:rPr>
          <w:sz w:val="20"/>
        </w:rPr>
        <w:t xml:space="preserve"> </w:t>
      </w:r>
    </w:p>
    <w:p w:rsidR="00EF3FBA" w:rsidRDefault="00EB6202">
      <w:pPr>
        <w:spacing w:after="143" w:line="248" w:lineRule="auto"/>
        <w:ind w:left="2"/>
      </w:pPr>
      <w:r>
        <w:rPr>
          <w:sz w:val="24"/>
        </w:rPr>
        <w:t>11.1.</w:t>
      </w:r>
      <w:r>
        <w:rPr>
          <w:rFonts w:ascii="Arial" w:eastAsia="Arial" w:hAnsi="Arial" w:cs="Arial"/>
          <w:sz w:val="24"/>
        </w:rPr>
        <w:t xml:space="preserve"> </w:t>
      </w:r>
      <w:r>
        <w:t xml:space="preserve">Tato smlouva nabývá platnosti podpisem smlouvy a účinnosti dnem uveřejnění v registru smluv. </w:t>
      </w:r>
    </w:p>
    <w:p w:rsidR="00EF3FBA" w:rsidRDefault="00EB6202">
      <w:pPr>
        <w:ind w:left="17"/>
      </w:pPr>
      <w:r>
        <w:rPr>
          <w:sz w:val="24"/>
        </w:rPr>
        <w:t>11.2.</w:t>
      </w:r>
      <w:r>
        <w:rPr>
          <w:rFonts w:ascii="Arial" w:eastAsia="Arial" w:hAnsi="Arial" w:cs="Arial"/>
          <w:sz w:val="24"/>
        </w:rPr>
        <w:t xml:space="preserve"> </w:t>
      </w:r>
      <w:r>
        <w:t xml:space="preserve">Poskytovatel prohlašuje a odpovídá za to, že předmět plnění není zatížen právy třetích osob. </w:t>
      </w:r>
    </w:p>
    <w:p w:rsidR="00EF3FBA" w:rsidRDefault="00EB6202">
      <w:pPr>
        <w:ind w:left="715" w:hanging="708"/>
      </w:pPr>
      <w:r>
        <w:rPr>
          <w:sz w:val="24"/>
        </w:rPr>
        <w:t>11.3.</w:t>
      </w:r>
      <w:r>
        <w:rPr>
          <w:rFonts w:ascii="Arial" w:eastAsia="Arial" w:hAnsi="Arial" w:cs="Arial"/>
          <w:sz w:val="24"/>
        </w:rPr>
        <w:t xml:space="preserve"> </w:t>
      </w:r>
      <w:r>
        <w:t xml:space="preserve">Smluvní strany se zavazují řešit spory vzniklé z tohoto smluvního vztahu především smírně, společným jednáním. Nedojde-li k dohodě, má kterákoli smluvní strana právo předložit spor k rozhodnutí soudu příslušnému podle sídla nabyvatele. </w:t>
      </w:r>
    </w:p>
    <w:p w:rsidR="00EF3FBA" w:rsidRDefault="00EB6202">
      <w:pPr>
        <w:ind w:left="715" w:hanging="708"/>
      </w:pPr>
      <w:r>
        <w:rPr>
          <w:sz w:val="24"/>
        </w:rPr>
        <w:t>11.4.</w:t>
      </w:r>
      <w:r>
        <w:rPr>
          <w:rFonts w:ascii="Arial" w:eastAsia="Arial" w:hAnsi="Arial" w:cs="Arial"/>
          <w:sz w:val="24"/>
        </w:rPr>
        <w:t xml:space="preserve"> </w:t>
      </w:r>
      <w:r>
        <w:t xml:space="preserve">Závazkové vztahy vzniklé podle této smlouvy a na jejím základě se řídí zejména občanským zákoníkem. </w:t>
      </w:r>
    </w:p>
    <w:p w:rsidR="00EF3FBA" w:rsidRDefault="00EB6202">
      <w:pPr>
        <w:ind w:left="715" w:hanging="708"/>
      </w:pPr>
      <w:r>
        <w:rPr>
          <w:sz w:val="24"/>
        </w:rPr>
        <w:t>11.5.</w:t>
      </w:r>
      <w:r>
        <w:rPr>
          <w:rFonts w:ascii="Arial" w:eastAsia="Arial" w:hAnsi="Arial" w:cs="Arial"/>
          <w:sz w:val="24"/>
        </w:rPr>
        <w:t xml:space="preserve"> </w:t>
      </w:r>
      <w:r>
        <w:t xml:space="preserve">Tato smlouva může být měněna nebo doplňována pouze písemnými, smluvními stranami dohodnutými, postupně číslovanými dodatky. Tyto dodatky musí být podepsány oběma smluvními stranami a stávají se nedílnou součástí této smlouvy. </w:t>
      </w:r>
    </w:p>
    <w:p w:rsidR="00EF3FBA" w:rsidRDefault="00EB6202">
      <w:pPr>
        <w:spacing w:after="143" w:line="248" w:lineRule="auto"/>
        <w:ind w:left="2"/>
      </w:pPr>
      <w:r>
        <w:rPr>
          <w:sz w:val="24"/>
        </w:rPr>
        <w:t>11.6.</w:t>
      </w:r>
      <w:r>
        <w:rPr>
          <w:rFonts w:ascii="Arial" w:eastAsia="Arial" w:hAnsi="Arial" w:cs="Arial"/>
          <w:sz w:val="24"/>
        </w:rPr>
        <w:t xml:space="preserve"> </w:t>
      </w:r>
      <w:r>
        <w:t xml:space="preserve">Smlouva se vyhotovuje v elektronické podobě.  </w:t>
      </w:r>
    </w:p>
    <w:p w:rsidR="00EF3FBA" w:rsidRDefault="00EB6202">
      <w:pPr>
        <w:ind w:left="715" w:hanging="708"/>
      </w:pPr>
      <w:r>
        <w:rPr>
          <w:sz w:val="24"/>
        </w:rPr>
        <w:t>11.7.</w:t>
      </w:r>
      <w:r>
        <w:rPr>
          <w:rFonts w:ascii="Arial" w:eastAsia="Arial" w:hAnsi="Arial" w:cs="Arial"/>
          <w:sz w:val="24"/>
        </w:rPr>
        <w:t xml:space="preserve"> </w:t>
      </w:r>
      <w:r>
        <w:t xml:space="preserve">Smluvní strany prohlašují, že smlouvu uzavírají svobodně a vážně, že považují její obsah za určitý a srozumitelný a že jsou jim známy všechny skutečnosti, jež jsou pro uzavření této smlouvy rozhodující, na důkaz čehož smluvní strany připojují k této smlouvě své podpisy. </w:t>
      </w:r>
    </w:p>
    <w:p w:rsidR="00EF3FBA" w:rsidRDefault="00EB6202">
      <w:pPr>
        <w:spacing w:after="107"/>
        <w:ind w:left="715" w:hanging="708"/>
      </w:pPr>
      <w:r>
        <w:rPr>
          <w:sz w:val="24"/>
        </w:rPr>
        <w:t>11.8.</w:t>
      </w:r>
      <w:r>
        <w:rPr>
          <w:rFonts w:ascii="Arial" w:eastAsia="Arial" w:hAnsi="Arial" w:cs="Arial"/>
          <w:sz w:val="24"/>
        </w:rPr>
        <w:t xml:space="preserve"> </w:t>
      </w:r>
      <w:r>
        <w:t xml:space="preserve">Nedílnou součástí této smlouvy je příloha č. 1 - Technická specifikace; příloha č. 2 – Zajištění kybernetické bezpečnosti </w:t>
      </w:r>
    </w:p>
    <w:p w:rsidR="00EF3FBA" w:rsidRDefault="00EB6202">
      <w:pPr>
        <w:spacing w:after="2" w:line="349" w:lineRule="auto"/>
        <w:ind w:left="7" w:right="8314" w:firstLine="0"/>
        <w:jc w:val="left"/>
      </w:pPr>
      <w:r>
        <w:t xml:space="preserve">  </w:t>
      </w:r>
    </w:p>
    <w:p w:rsidR="00EF3FBA" w:rsidRDefault="00EF3FBA" w:rsidP="00C04ADF">
      <w:pPr>
        <w:spacing w:after="107" w:line="259" w:lineRule="auto"/>
        <w:ind w:left="0" w:firstLine="0"/>
        <w:jc w:val="left"/>
      </w:pPr>
    </w:p>
    <w:p w:rsidR="00EF3FBA" w:rsidRDefault="00EB6202">
      <w:pPr>
        <w:pStyle w:val="Nadpis2"/>
        <w:ind w:left="14" w:right="2"/>
      </w:pPr>
      <w:r>
        <w:t>12.</w:t>
      </w:r>
      <w:r>
        <w:rPr>
          <w:rFonts w:ascii="Arial" w:eastAsia="Arial" w:hAnsi="Arial" w:cs="Arial"/>
        </w:rPr>
        <w:t xml:space="preserve"> </w:t>
      </w:r>
      <w:r>
        <w:t xml:space="preserve">Doložka právního jednání </w:t>
      </w:r>
    </w:p>
    <w:p w:rsidR="00EF3FBA" w:rsidRDefault="00EB6202">
      <w:pPr>
        <w:spacing w:after="0" w:line="248" w:lineRule="auto"/>
        <w:ind w:left="2"/>
      </w:pPr>
      <w:r>
        <w:t xml:space="preserve">Město Aš potvrzuje ve smyslu § 41 zákona o obcích č. 128/2000 Sb., že byly splněny podmínky pro platnost tohoto právního jednání stanovené uvedeným zákonem, smlouva byla schválena RM dne 28.7.2025, číslo usnesení 399/25. </w:t>
      </w:r>
    </w:p>
    <w:p w:rsidR="00EF3FBA" w:rsidRDefault="00EB6202" w:rsidP="00C04ADF">
      <w:pPr>
        <w:spacing w:after="96" w:line="259" w:lineRule="auto"/>
        <w:ind w:left="715" w:firstLine="0"/>
        <w:jc w:val="left"/>
      </w:pPr>
      <w:r>
        <w:t xml:space="preserve">  </w:t>
      </w:r>
    </w:p>
    <w:p w:rsidR="00C04ADF" w:rsidRDefault="00C04ADF" w:rsidP="00C04ADF">
      <w:pPr>
        <w:spacing w:after="96" w:line="259" w:lineRule="auto"/>
        <w:ind w:left="715" w:firstLine="0"/>
        <w:jc w:val="left"/>
      </w:pPr>
      <w:bookmarkStart w:id="0" w:name="_GoBack"/>
      <w:bookmarkEnd w:id="0"/>
    </w:p>
    <w:tbl>
      <w:tblPr>
        <w:tblStyle w:val="TableGrid"/>
        <w:tblW w:w="8474" w:type="dxa"/>
        <w:tblInd w:w="7" w:type="dxa"/>
        <w:tblLook w:val="04A0" w:firstRow="1" w:lastRow="0" w:firstColumn="1" w:lastColumn="0" w:noHBand="0" w:noVBand="1"/>
      </w:tblPr>
      <w:tblGrid>
        <w:gridCol w:w="4679"/>
        <w:gridCol w:w="3795"/>
      </w:tblGrid>
      <w:tr w:rsidR="00EF3FBA">
        <w:trPr>
          <w:trHeight w:val="1239"/>
        </w:trPr>
        <w:tc>
          <w:tcPr>
            <w:tcW w:w="4679" w:type="dxa"/>
            <w:tcBorders>
              <w:top w:val="nil"/>
              <w:left w:val="nil"/>
              <w:bottom w:val="nil"/>
              <w:right w:val="nil"/>
            </w:tcBorders>
          </w:tcPr>
          <w:p w:rsidR="00EF3FBA" w:rsidRDefault="00EB6202">
            <w:pPr>
              <w:spacing w:after="0" w:line="259" w:lineRule="auto"/>
              <w:ind w:left="0" w:firstLine="0"/>
              <w:jc w:val="left"/>
            </w:pPr>
            <w:r>
              <w:t xml:space="preserve">V Aši dne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tc>
        <w:tc>
          <w:tcPr>
            <w:tcW w:w="3795" w:type="dxa"/>
            <w:tcBorders>
              <w:top w:val="nil"/>
              <w:left w:val="nil"/>
              <w:bottom w:val="nil"/>
              <w:right w:val="nil"/>
            </w:tcBorders>
          </w:tcPr>
          <w:p w:rsidR="00EF3FBA" w:rsidRDefault="00EB6202">
            <w:pPr>
              <w:spacing w:after="0" w:line="259" w:lineRule="auto"/>
              <w:ind w:left="0" w:firstLine="0"/>
              <w:jc w:val="left"/>
            </w:pPr>
            <w:r>
              <w:t xml:space="preserve">V Karlových Varech dne  </w:t>
            </w:r>
          </w:p>
        </w:tc>
      </w:tr>
      <w:tr w:rsidR="00EF3FBA">
        <w:trPr>
          <w:trHeight w:val="254"/>
        </w:trPr>
        <w:tc>
          <w:tcPr>
            <w:tcW w:w="4679" w:type="dxa"/>
            <w:tcBorders>
              <w:top w:val="nil"/>
              <w:left w:val="nil"/>
              <w:bottom w:val="nil"/>
              <w:right w:val="nil"/>
            </w:tcBorders>
          </w:tcPr>
          <w:p w:rsidR="00EF3FBA" w:rsidRDefault="00EB6202">
            <w:pPr>
              <w:spacing w:after="0" w:line="259" w:lineRule="auto"/>
              <w:ind w:left="0" w:firstLine="0"/>
              <w:jc w:val="left"/>
            </w:pPr>
            <w:r>
              <w:t xml:space="preserve">…………………………………………… </w:t>
            </w:r>
          </w:p>
        </w:tc>
        <w:tc>
          <w:tcPr>
            <w:tcW w:w="3795" w:type="dxa"/>
            <w:tcBorders>
              <w:top w:val="nil"/>
              <w:left w:val="nil"/>
              <w:bottom w:val="nil"/>
              <w:right w:val="nil"/>
            </w:tcBorders>
          </w:tcPr>
          <w:p w:rsidR="00EF3FBA" w:rsidRDefault="00EB6202">
            <w:pPr>
              <w:spacing w:after="0" w:line="259" w:lineRule="auto"/>
              <w:ind w:left="0" w:firstLine="0"/>
            </w:pPr>
            <w:r>
              <w:t xml:space="preserve">…………………………………………… </w:t>
            </w:r>
          </w:p>
        </w:tc>
      </w:tr>
      <w:tr w:rsidR="00EF3FBA">
        <w:trPr>
          <w:trHeight w:val="314"/>
        </w:trPr>
        <w:tc>
          <w:tcPr>
            <w:tcW w:w="4679" w:type="dxa"/>
            <w:tcBorders>
              <w:top w:val="nil"/>
              <w:left w:val="nil"/>
              <w:bottom w:val="nil"/>
              <w:right w:val="nil"/>
            </w:tcBorders>
          </w:tcPr>
          <w:p w:rsidR="00EF3FBA" w:rsidRDefault="00EB6202">
            <w:pPr>
              <w:spacing w:after="0" w:line="259" w:lineRule="auto"/>
              <w:ind w:left="0" w:firstLine="0"/>
              <w:jc w:val="left"/>
            </w:pPr>
            <w:r>
              <w:t xml:space="preserve">Nabyvatel </w:t>
            </w:r>
          </w:p>
        </w:tc>
        <w:tc>
          <w:tcPr>
            <w:tcW w:w="3795" w:type="dxa"/>
            <w:tcBorders>
              <w:top w:val="nil"/>
              <w:left w:val="nil"/>
              <w:bottom w:val="nil"/>
              <w:right w:val="nil"/>
            </w:tcBorders>
          </w:tcPr>
          <w:p w:rsidR="00EF3FBA" w:rsidRDefault="00EB6202">
            <w:pPr>
              <w:spacing w:after="0" w:line="259" w:lineRule="auto"/>
              <w:ind w:left="0" w:firstLine="0"/>
              <w:jc w:val="left"/>
            </w:pPr>
            <w:r>
              <w:t xml:space="preserve">Poskytovatel </w:t>
            </w:r>
          </w:p>
        </w:tc>
      </w:tr>
      <w:tr w:rsidR="00EF3FBA">
        <w:trPr>
          <w:trHeight w:val="372"/>
        </w:trPr>
        <w:tc>
          <w:tcPr>
            <w:tcW w:w="4679" w:type="dxa"/>
            <w:tcBorders>
              <w:top w:val="nil"/>
              <w:left w:val="nil"/>
              <w:bottom w:val="nil"/>
              <w:right w:val="nil"/>
            </w:tcBorders>
          </w:tcPr>
          <w:p w:rsidR="00EF3FBA" w:rsidRDefault="00EB6202">
            <w:pPr>
              <w:spacing w:after="0" w:line="259" w:lineRule="auto"/>
              <w:ind w:left="0" w:firstLine="0"/>
              <w:jc w:val="left"/>
            </w:pPr>
            <w:r>
              <w:t xml:space="preserve">Vítězslav Kokoř, MBA </w:t>
            </w:r>
          </w:p>
        </w:tc>
        <w:tc>
          <w:tcPr>
            <w:tcW w:w="3795" w:type="dxa"/>
            <w:tcBorders>
              <w:top w:val="nil"/>
              <w:left w:val="nil"/>
              <w:bottom w:val="nil"/>
              <w:right w:val="nil"/>
            </w:tcBorders>
          </w:tcPr>
          <w:p w:rsidR="00EF3FBA" w:rsidRDefault="00EB6202">
            <w:pPr>
              <w:spacing w:after="0" w:line="259" w:lineRule="auto"/>
              <w:ind w:left="0" w:firstLine="0"/>
              <w:jc w:val="left"/>
            </w:pPr>
            <w:r>
              <w:t xml:space="preserve">Petr Lenc, na základě plné moci </w:t>
            </w:r>
          </w:p>
        </w:tc>
      </w:tr>
      <w:tr w:rsidR="00EF3FBA">
        <w:trPr>
          <w:trHeight w:val="286"/>
        </w:trPr>
        <w:tc>
          <w:tcPr>
            <w:tcW w:w="4679" w:type="dxa"/>
            <w:tcBorders>
              <w:top w:val="nil"/>
              <w:left w:val="nil"/>
              <w:bottom w:val="nil"/>
              <w:right w:val="nil"/>
            </w:tcBorders>
          </w:tcPr>
          <w:p w:rsidR="00EF3FBA" w:rsidRDefault="00EB6202">
            <w:pPr>
              <w:spacing w:after="0" w:line="259" w:lineRule="auto"/>
              <w:ind w:left="0" w:firstLine="0"/>
              <w:jc w:val="left"/>
            </w:pPr>
            <w:r>
              <w:t xml:space="preserve">starosta </w:t>
            </w:r>
          </w:p>
        </w:tc>
        <w:tc>
          <w:tcPr>
            <w:tcW w:w="3795" w:type="dxa"/>
            <w:tcBorders>
              <w:top w:val="nil"/>
              <w:left w:val="nil"/>
              <w:bottom w:val="nil"/>
              <w:right w:val="nil"/>
            </w:tcBorders>
          </w:tcPr>
          <w:p w:rsidR="00EF3FBA" w:rsidRDefault="00EB6202">
            <w:pPr>
              <w:spacing w:after="0" w:line="259" w:lineRule="auto"/>
              <w:ind w:left="0" w:firstLine="0"/>
              <w:jc w:val="left"/>
            </w:pPr>
            <w:proofErr w:type="spellStart"/>
            <w:r>
              <w:t>Head</w:t>
            </w:r>
            <w:proofErr w:type="spellEnd"/>
            <w:r>
              <w:t xml:space="preserve"> </w:t>
            </w:r>
            <w:proofErr w:type="spellStart"/>
            <w:r>
              <w:t>of</w:t>
            </w:r>
            <w:proofErr w:type="spellEnd"/>
            <w:r>
              <w:t xml:space="preserve"> </w:t>
            </w:r>
            <w:proofErr w:type="spellStart"/>
            <w:r>
              <w:t>Infrastructure</w:t>
            </w:r>
            <w:proofErr w:type="spellEnd"/>
            <w:r>
              <w:t xml:space="preserve"> </w:t>
            </w:r>
            <w:proofErr w:type="spellStart"/>
            <w:r>
              <w:t>Division</w:t>
            </w:r>
            <w:proofErr w:type="spellEnd"/>
            <w:r>
              <w:t xml:space="preserve"> </w:t>
            </w:r>
          </w:p>
        </w:tc>
      </w:tr>
    </w:tbl>
    <w:p w:rsidR="00EF3FBA" w:rsidRDefault="00EB6202">
      <w:pPr>
        <w:spacing w:after="0" w:line="259" w:lineRule="auto"/>
        <w:ind w:left="7" w:firstLine="0"/>
        <w:jc w:val="left"/>
      </w:pPr>
      <w:r>
        <w:lastRenderedPageBreak/>
        <w:t xml:space="preserve"> </w:t>
      </w:r>
    </w:p>
    <w:p w:rsidR="00EF3FBA" w:rsidRDefault="00EF3FBA">
      <w:pPr>
        <w:sectPr w:rsidR="00EF3FBA">
          <w:headerReference w:type="even" r:id="rId7"/>
          <w:headerReference w:type="default" r:id="rId8"/>
          <w:footerReference w:type="even" r:id="rId9"/>
          <w:footerReference w:type="default" r:id="rId10"/>
          <w:headerReference w:type="first" r:id="rId11"/>
          <w:footerReference w:type="first" r:id="rId12"/>
          <w:pgSz w:w="11906" w:h="16841"/>
          <w:pgMar w:top="1220" w:right="1410" w:bottom="1623" w:left="1412" w:header="757" w:footer="706" w:gutter="0"/>
          <w:cols w:space="708"/>
        </w:sectPr>
      </w:pPr>
    </w:p>
    <w:p w:rsidR="00EF3FBA" w:rsidRDefault="00EB6202">
      <w:pPr>
        <w:spacing w:after="0" w:line="259" w:lineRule="auto"/>
        <w:ind w:left="0" w:firstLine="0"/>
        <w:jc w:val="right"/>
      </w:pPr>
      <w:r>
        <w:rPr>
          <w:rFonts w:ascii="Arial" w:eastAsia="Arial" w:hAnsi="Arial" w:cs="Arial"/>
          <w:sz w:val="20"/>
        </w:rPr>
        <w:lastRenderedPageBreak/>
        <w:t xml:space="preserve"> </w:t>
      </w:r>
    </w:p>
    <w:p w:rsidR="00EF3FBA" w:rsidRDefault="00EB6202">
      <w:pPr>
        <w:spacing w:after="0" w:line="259" w:lineRule="auto"/>
        <w:ind w:left="0" w:firstLine="0"/>
        <w:jc w:val="left"/>
      </w:pPr>
      <w:r>
        <w:rPr>
          <w:b/>
        </w:rPr>
        <w:t xml:space="preserve">Příloha č. 1 - Technická specifikace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right="59" w:firstLine="0"/>
        <w:jc w:val="center"/>
      </w:pPr>
      <w:r>
        <w:rPr>
          <w:b/>
          <w:sz w:val="20"/>
        </w:rPr>
        <w:t xml:space="preserve">TECHNICKÁ SPECIFIKACE PŘEDMĚTU PLNĚNÍ </w:t>
      </w:r>
    </w:p>
    <w:p w:rsidR="00EF3FBA" w:rsidRDefault="00EB6202">
      <w:pPr>
        <w:spacing w:after="136"/>
        <w:ind w:left="-5" w:right="41"/>
      </w:pPr>
      <w:r>
        <w:rPr>
          <w:sz w:val="20"/>
        </w:rPr>
        <w:t xml:space="preserve">Pronájem licencí MS 365 Business Premium (BP) podle písmena bude obsahovat následující plnění: </w:t>
      </w:r>
    </w:p>
    <w:p w:rsidR="00EF3FBA" w:rsidRDefault="00EB6202">
      <w:pPr>
        <w:numPr>
          <w:ilvl w:val="0"/>
          <w:numId w:val="8"/>
        </w:numPr>
        <w:ind w:left="1132" w:hanging="566"/>
      </w:pPr>
      <w:r>
        <w:t xml:space="preserve">Pronájem licencí MS 365 BP v </w:t>
      </w:r>
      <w:r>
        <w:rPr>
          <w:b/>
        </w:rPr>
        <w:t>počtu 125</w:t>
      </w:r>
      <w:r>
        <w:t xml:space="preserve"> (včetně konfigurace mailových a ostatních služeb). Cena licencí bude uvedena v CZK na základě kurzu EUR/CZK, stanoveného Českou národní bankou ke dni uveřejnění výzvy k výběrovému řízení, tedy ke dni 13.07.2025 („Referenční kurz“). </w:t>
      </w:r>
    </w:p>
    <w:p w:rsidR="00EF3FBA" w:rsidRDefault="00EB6202">
      <w:pPr>
        <w:numPr>
          <w:ilvl w:val="0"/>
          <w:numId w:val="8"/>
        </w:numPr>
        <w:spacing w:after="17"/>
        <w:ind w:left="1132" w:hanging="566"/>
      </w:pPr>
      <w:r>
        <w:t xml:space="preserve">Složení komponent poptávaného MS 365 BP. Součástí dodávky budou následující produkty, které jsou definovány licencí viz. </w:t>
      </w:r>
      <w:hyperlink r:id="rId13">
        <w:r>
          <w:rPr>
            <w:color w:val="0000FF"/>
            <w:sz w:val="20"/>
            <w:u w:val="single" w:color="0000FF"/>
          </w:rPr>
          <w:t>https://www.microsoft.com/cs</w:t>
        </w:r>
      </w:hyperlink>
      <w:hyperlink r:id="rId14">
        <w:r>
          <w:rPr>
            <w:color w:val="0000FF"/>
            <w:sz w:val="20"/>
            <w:u w:val="single" w:color="0000FF"/>
          </w:rPr>
          <w:t>-</w:t>
        </w:r>
      </w:hyperlink>
      <w:hyperlink r:id="rId15">
        <w:r>
          <w:rPr>
            <w:color w:val="0000FF"/>
            <w:sz w:val="20"/>
            <w:u w:val="single" w:color="0000FF"/>
          </w:rPr>
          <w:t>cz/microsoft</w:t>
        </w:r>
      </w:hyperlink>
      <w:hyperlink r:id="rId16">
        <w:r>
          <w:rPr>
            <w:color w:val="0000FF"/>
            <w:sz w:val="20"/>
            <w:u w:val="single" w:color="0000FF"/>
          </w:rPr>
          <w:t>-</w:t>
        </w:r>
      </w:hyperlink>
    </w:p>
    <w:p w:rsidR="00EF3FBA" w:rsidRDefault="00862EAD">
      <w:pPr>
        <w:spacing w:after="128" w:line="259" w:lineRule="auto"/>
        <w:ind w:left="1133" w:firstLine="0"/>
        <w:jc w:val="left"/>
      </w:pPr>
      <w:hyperlink r:id="rId17">
        <w:r w:rsidR="00EB6202">
          <w:rPr>
            <w:color w:val="0000FF"/>
            <w:sz w:val="20"/>
            <w:u w:val="single" w:color="0000FF"/>
          </w:rPr>
          <w:t>365/business/compare</w:t>
        </w:r>
      </w:hyperlink>
      <w:hyperlink r:id="rId18">
        <w:r w:rsidR="00EB6202">
          <w:rPr>
            <w:color w:val="0000FF"/>
            <w:sz w:val="20"/>
            <w:u w:val="single" w:color="0000FF"/>
          </w:rPr>
          <w:t>-</w:t>
        </w:r>
      </w:hyperlink>
      <w:hyperlink r:id="rId19">
        <w:r w:rsidR="00EB6202">
          <w:rPr>
            <w:color w:val="0000FF"/>
            <w:sz w:val="20"/>
            <w:u w:val="single" w:color="0000FF"/>
          </w:rPr>
          <w:t>all</w:t>
        </w:r>
      </w:hyperlink>
      <w:hyperlink r:id="rId20">
        <w:r w:rsidR="00EB6202">
          <w:rPr>
            <w:color w:val="0000FF"/>
            <w:sz w:val="20"/>
            <w:u w:val="single" w:color="0000FF"/>
          </w:rPr>
          <w:t>-</w:t>
        </w:r>
      </w:hyperlink>
      <w:hyperlink r:id="rId21">
        <w:r w:rsidR="00EB6202">
          <w:rPr>
            <w:color w:val="0000FF"/>
            <w:sz w:val="20"/>
            <w:u w:val="single" w:color="0000FF"/>
          </w:rPr>
          <w:t>microsoft</w:t>
        </w:r>
      </w:hyperlink>
      <w:hyperlink r:id="rId22">
        <w:r w:rsidR="00EB6202">
          <w:rPr>
            <w:color w:val="0000FF"/>
            <w:sz w:val="20"/>
            <w:u w:val="single" w:color="0000FF"/>
          </w:rPr>
          <w:t>-</w:t>
        </w:r>
      </w:hyperlink>
      <w:hyperlink r:id="rId23">
        <w:r w:rsidR="00EB6202">
          <w:rPr>
            <w:color w:val="0000FF"/>
            <w:sz w:val="20"/>
            <w:u w:val="single" w:color="0000FF"/>
          </w:rPr>
          <w:t>365</w:t>
        </w:r>
      </w:hyperlink>
      <w:hyperlink r:id="rId24">
        <w:r w:rsidR="00EB6202">
          <w:rPr>
            <w:color w:val="0000FF"/>
            <w:sz w:val="20"/>
            <w:u w:val="single" w:color="0000FF"/>
          </w:rPr>
          <w:t>-</w:t>
        </w:r>
      </w:hyperlink>
      <w:hyperlink r:id="rId25">
        <w:r w:rsidR="00EB6202">
          <w:rPr>
            <w:color w:val="0000FF"/>
            <w:sz w:val="20"/>
            <w:u w:val="single" w:color="0000FF"/>
          </w:rPr>
          <w:t>business</w:t>
        </w:r>
      </w:hyperlink>
      <w:hyperlink r:id="rId26">
        <w:r w:rsidR="00EB6202">
          <w:rPr>
            <w:color w:val="0000FF"/>
            <w:sz w:val="20"/>
            <w:u w:val="single" w:color="0000FF"/>
          </w:rPr>
          <w:t>-</w:t>
        </w:r>
      </w:hyperlink>
      <w:hyperlink r:id="rId27">
        <w:r w:rsidR="00EB6202">
          <w:rPr>
            <w:color w:val="0000FF"/>
            <w:sz w:val="20"/>
            <w:u w:val="single" w:color="0000FF"/>
          </w:rPr>
          <w:t>products</w:t>
        </w:r>
      </w:hyperlink>
      <w:hyperlink r:id="rId28">
        <w:r w:rsidR="00EB6202">
          <w:rPr>
            <w:sz w:val="20"/>
          </w:rPr>
          <w:t xml:space="preserve"> </w:t>
        </w:r>
      </w:hyperlink>
      <w:r w:rsidR="00EB6202">
        <w:t xml:space="preserve"> </w:t>
      </w:r>
    </w:p>
    <w:p w:rsidR="00EF3FBA" w:rsidRDefault="00EB6202">
      <w:pPr>
        <w:numPr>
          <w:ilvl w:val="0"/>
          <w:numId w:val="8"/>
        </w:numPr>
        <w:ind w:left="1132" w:hanging="566"/>
      </w:pPr>
      <w:proofErr w:type="spellStart"/>
      <w:r>
        <w:t>BackEndové</w:t>
      </w:r>
      <w:proofErr w:type="spellEnd"/>
      <w:r>
        <w:t xml:space="preserve"> aplikace (Exchange, SharePoint, </w:t>
      </w:r>
      <w:proofErr w:type="spellStart"/>
      <w:r>
        <w:t>OneDrive</w:t>
      </w:r>
      <w:proofErr w:type="spellEnd"/>
      <w:r>
        <w:t xml:space="preserve"> ad.) budou zprovozněny v </w:t>
      </w:r>
      <w:proofErr w:type="spellStart"/>
      <w:r>
        <w:t>cloudové</w:t>
      </w:r>
      <w:proofErr w:type="spellEnd"/>
      <w:r>
        <w:t xml:space="preserve"> platformě MS Azure. Náklady spojené s jejím provozem budou součástí této nabídky. </w:t>
      </w:r>
    </w:p>
    <w:p w:rsidR="00EF3FBA" w:rsidRDefault="00EB6202">
      <w:pPr>
        <w:numPr>
          <w:ilvl w:val="0"/>
          <w:numId w:val="8"/>
        </w:numPr>
        <w:ind w:left="1132" w:hanging="566"/>
      </w:pPr>
      <w:r>
        <w:t xml:space="preserve">Poskytnutí všech licenčních oprávnění výrobce v dokumentované podobě. </w:t>
      </w:r>
    </w:p>
    <w:p w:rsidR="00EF3FBA" w:rsidRDefault="00EB6202">
      <w:pPr>
        <w:numPr>
          <w:ilvl w:val="2"/>
          <w:numId w:val="9"/>
        </w:numPr>
        <w:ind w:hanging="286"/>
      </w:pPr>
      <w:r>
        <w:t xml:space="preserve">Licence musejí být dodávány výhradně v licenčním programu NCE.  </w:t>
      </w:r>
    </w:p>
    <w:p w:rsidR="00EF3FBA" w:rsidRDefault="00EB6202">
      <w:pPr>
        <w:numPr>
          <w:ilvl w:val="2"/>
          <w:numId w:val="9"/>
        </w:numPr>
        <w:ind w:hanging="286"/>
      </w:pPr>
      <w:r>
        <w:t xml:space="preserve">Předložení potvrzení způsobilosti dle směrnice NIS2 (viz příloha č. 2 smlouvy) </w:t>
      </w:r>
    </w:p>
    <w:p w:rsidR="00EF3FBA" w:rsidRDefault="00EB6202">
      <w:pPr>
        <w:tabs>
          <w:tab w:val="center" w:pos="2605"/>
        </w:tabs>
        <w:spacing w:after="143" w:line="248" w:lineRule="auto"/>
        <w:ind w:left="-8" w:firstLine="0"/>
        <w:jc w:val="left"/>
      </w:pPr>
      <w:r>
        <w:t>1.2</w:t>
      </w:r>
      <w:r>
        <w:rPr>
          <w:rFonts w:ascii="Arial" w:eastAsia="Arial" w:hAnsi="Arial" w:cs="Arial"/>
        </w:rPr>
        <w:t xml:space="preserve"> </w:t>
      </w:r>
      <w:r>
        <w:rPr>
          <w:rFonts w:ascii="Arial" w:eastAsia="Arial" w:hAnsi="Arial" w:cs="Arial"/>
        </w:rPr>
        <w:tab/>
      </w:r>
      <w:r>
        <w:t xml:space="preserve">Dokument Strategie implementace obsahující: </w:t>
      </w:r>
    </w:p>
    <w:p w:rsidR="00EF3FBA" w:rsidRDefault="00EB6202">
      <w:pPr>
        <w:numPr>
          <w:ilvl w:val="0"/>
          <w:numId w:val="10"/>
        </w:numPr>
        <w:ind w:left="1132" w:hanging="566"/>
      </w:pPr>
      <w:r>
        <w:t xml:space="preserve">Popis strategie nasazení a implementace produktů MS 365 BP do prostředí MÚ Aš včetně všech nabízených souvisejících služeb </w:t>
      </w:r>
    </w:p>
    <w:p w:rsidR="00EF3FBA" w:rsidRDefault="00EB6202">
      <w:pPr>
        <w:numPr>
          <w:ilvl w:val="2"/>
          <w:numId w:val="11"/>
        </w:numPr>
        <w:spacing w:after="143" w:line="248" w:lineRule="auto"/>
        <w:ind w:left="1415" w:hanging="286"/>
      </w:pPr>
      <w:r>
        <w:t xml:space="preserve">vize a strategické cíle projektu </w:t>
      </w:r>
    </w:p>
    <w:p w:rsidR="00EF3FBA" w:rsidRDefault="00EB6202">
      <w:pPr>
        <w:numPr>
          <w:ilvl w:val="2"/>
          <w:numId w:val="11"/>
        </w:numPr>
        <w:ind w:left="1415" w:hanging="286"/>
      </w:pPr>
      <w:r>
        <w:t xml:space="preserve">rámcový popis pilotního projektu, implementace, migrace, školení a souvisejících nabízených služeb </w:t>
      </w:r>
    </w:p>
    <w:p w:rsidR="00EF3FBA" w:rsidRDefault="00EB6202">
      <w:pPr>
        <w:numPr>
          <w:ilvl w:val="2"/>
          <w:numId w:val="11"/>
        </w:numPr>
        <w:spacing w:after="143" w:line="248" w:lineRule="auto"/>
        <w:ind w:left="1415" w:hanging="286"/>
      </w:pPr>
      <w:r>
        <w:t xml:space="preserve">rámcová specifikace servisní a technické podpory </w:t>
      </w:r>
    </w:p>
    <w:p w:rsidR="00EF3FBA" w:rsidRDefault="00EB6202">
      <w:pPr>
        <w:numPr>
          <w:ilvl w:val="2"/>
          <w:numId w:val="11"/>
        </w:numPr>
        <w:ind w:left="1415" w:hanging="286"/>
      </w:pPr>
      <w:r>
        <w:t xml:space="preserve">návrh předpokládaných opatření pro úspěšnou realizaci projektu </w:t>
      </w:r>
    </w:p>
    <w:p w:rsidR="00EF3FBA" w:rsidRDefault="00EB6202">
      <w:pPr>
        <w:numPr>
          <w:ilvl w:val="0"/>
          <w:numId w:val="10"/>
        </w:numPr>
        <w:spacing w:after="164"/>
        <w:ind w:left="1132" w:hanging="566"/>
      </w:pPr>
      <w:r>
        <w:t xml:space="preserve">Uchazeč se zavazuje postupovat podle předložené Strategie </w:t>
      </w:r>
    </w:p>
    <w:p w:rsidR="00EF3FBA" w:rsidRDefault="00EB6202">
      <w:pPr>
        <w:tabs>
          <w:tab w:val="center" w:pos="2825"/>
        </w:tabs>
        <w:spacing w:after="143" w:line="248" w:lineRule="auto"/>
        <w:ind w:left="-8" w:firstLine="0"/>
        <w:jc w:val="left"/>
      </w:pPr>
      <w:r>
        <w:t>1.3</w:t>
      </w:r>
      <w:r>
        <w:rPr>
          <w:rFonts w:ascii="Arial" w:eastAsia="Arial" w:hAnsi="Arial" w:cs="Arial"/>
        </w:rPr>
        <w:t xml:space="preserve"> </w:t>
      </w:r>
      <w:r>
        <w:rPr>
          <w:rFonts w:ascii="Arial" w:eastAsia="Arial" w:hAnsi="Arial" w:cs="Arial"/>
        </w:rPr>
        <w:tab/>
      </w:r>
      <w:r>
        <w:t xml:space="preserve">Dokument Plán projektu podle písmena obsahující: </w:t>
      </w:r>
    </w:p>
    <w:p w:rsidR="00EF3FBA" w:rsidRDefault="00EB6202">
      <w:pPr>
        <w:numPr>
          <w:ilvl w:val="2"/>
          <w:numId w:val="12"/>
        </w:numPr>
        <w:ind w:hanging="286"/>
      </w:pPr>
      <w:r>
        <w:t xml:space="preserve">Popis dílčích činností projektu a výstupních produktů </w:t>
      </w:r>
    </w:p>
    <w:p w:rsidR="00EF3FBA" w:rsidRDefault="00EB6202">
      <w:pPr>
        <w:numPr>
          <w:ilvl w:val="2"/>
          <w:numId w:val="12"/>
        </w:numPr>
        <w:ind w:hanging="286"/>
      </w:pPr>
      <w:r>
        <w:t xml:space="preserve">Popis výstupů jednotlivých projektových aktivit – viz rozpad činností, uvedený v zadávací dokumentaci </w:t>
      </w:r>
    </w:p>
    <w:p w:rsidR="00EF3FBA" w:rsidRDefault="00EB6202">
      <w:pPr>
        <w:numPr>
          <w:ilvl w:val="2"/>
          <w:numId w:val="12"/>
        </w:numPr>
        <w:ind w:hanging="286"/>
      </w:pPr>
      <w:r>
        <w:t>Časový plán projektu včetně milníků (</w:t>
      </w:r>
      <w:proofErr w:type="spellStart"/>
      <w:r>
        <w:t>Ganttův</w:t>
      </w:r>
      <w:proofErr w:type="spellEnd"/>
      <w:r>
        <w:t xml:space="preserve"> diagram) </w:t>
      </w:r>
    </w:p>
    <w:p w:rsidR="00EF3FBA" w:rsidRDefault="00EB6202">
      <w:pPr>
        <w:numPr>
          <w:ilvl w:val="2"/>
          <w:numId w:val="12"/>
        </w:numPr>
        <w:ind w:hanging="286"/>
      </w:pPr>
      <w:r>
        <w:t xml:space="preserve">Architektura a návrh využití komponent – Uchazeč navrhne nejvhodnější způsob využití jednotlivých aplikací MD 365 BP zejména v oblastech, kde se jejich funkce překrývají. Např.: </w:t>
      </w:r>
      <w:proofErr w:type="spellStart"/>
      <w:r>
        <w:t>Teams</w:t>
      </w:r>
      <w:proofErr w:type="spellEnd"/>
      <w:r>
        <w:t xml:space="preserve">, SharePoint, </w:t>
      </w:r>
      <w:proofErr w:type="spellStart"/>
      <w:r>
        <w:t>OneDrive</w:t>
      </w:r>
      <w:proofErr w:type="spellEnd"/>
      <w:r>
        <w:t xml:space="preserve"> a to tak, aby byly role aplikací jednoznačně vymezeny napomohly k maximální efektivitě pracovníků úřadu. </w:t>
      </w:r>
    </w:p>
    <w:p w:rsidR="00EF3FBA" w:rsidRDefault="00EB6202">
      <w:pPr>
        <w:tabs>
          <w:tab w:val="center" w:pos="649"/>
          <w:tab w:val="center" w:pos="4117"/>
        </w:tabs>
        <w:spacing w:after="164"/>
        <w:ind w:left="0" w:firstLine="0"/>
        <w:jc w:val="left"/>
      </w:pPr>
      <w:r>
        <w:rPr>
          <w:rFonts w:ascii="Calibri" w:eastAsia="Calibri" w:hAnsi="Calibri" w:cs="Calibri"/>
        </w:rPr>
        <w:tab/>
      </w:r>
      <w:r>
        <w:t>b.</w:t>
      </w:r>
      <w:r>
        <w:rPr>
          <w:rFonts w:ascii="Arial" w:eastAsia="Arial" w:hAnsi="Arial" w:cs="Arial"/>
        </w:rPr>
        <w:t xml:space="preserve"> </w:t>
      </w:r>
      <w:r>
        <w:rPr>
          <w:rFonts w:ascii="Arial" w:eastAsia="Arial" w:hAnsi="Arial" w:cs="Arial"/>
        </w:rPr>
        <w:tab/>
      </w:r>
      <w:r>
        <w:t xml:space="preserve">Uchazeč se zavazuje postupovat podle předloženého Plánu projektu </w:t>
      </w:r>
    </w:p>
    <w:p w:rsidR="00EF3FBA" w:rsidRDefault="00EB6202">
      <w:pPr>
        <w:tabs>
          <w:tab w:val="center" w:pos="1873"/>
        </w:tabs>
        <w:spacing w:after="143" w:line="248" w:lineRule="auto"/>
        <w:ind w:left="-8" w:firstLine="0"/>
        <w:jc w:val="left"/>
      </w:pPr>
      <w:r>
        <w:t>1.4</w:t>
      </w:r>
      <w:r>
        <w:rPr>
          <w:rFonts w:ascii="Arial" w:eastAsia="Arial" w:hAnsi="Arial" w:cs="Arial"/>
        </w:rPr>
        <w:t xml:space="preserve"> </w:t>
      </w:r>
      <w:r>
        <w:rPr>
          <w:rFonts w:ascii="Arial" w:eastAsia="Arial" w:hAnsi="Arial" w:cs="Arial"/>
        </w:rPr>
        <w:tab/>
      </w:r>
      <w:r>
        <w:t xml:space="preserve">Pilotní projekt implementace: </w:t>
      </w:r>
    </w:p>
    <w:p w:rsidR="00EF3FBA" w:rsidRDefault="00EB6202">
      <w:pPr>
        <w:numPr>
          <w:ilvl w:val="0"/>
          <w:numId w:val="13"/>
        </w:numPr>
        <w:ind w:left="1132" w:hanging="566"/>
      </w:pPr>
      <w:r>
        <w:t xml:space="preserve">Předmětem pilotního projektu je ověřit funkčnosti celkového řešení. Nasazeny a konfigurovány budou veškeré produkty MS 365 BP, které jsou předmětem zakázky.  </w:t>
      </w:r>
    </w:p>
    <w:p w:rsidR="00EF3FBA" w:rsidRDefault="00EB6202">
      <w:pPr>
        <w:numPr>
          <w:ilvl w:val="0"/>
          <w:numId w:val="13"/>
        </w:numPr>
        <w:spacing w:after="165" w:line="248" w:lineRule="auto"/>
        <w:ind w:left="1132" w:hanging="566"/>
      </w:pPr>
      <w:r>
        <w:lastRenderedPageBreak/>
        <w:t xml:space="preserve">V rámci Pilotního projektu bude nasazeno 25 licencí; </w:t>
      </w:r>
    </w:p>
    <w:p w:rsidR="00EF3FBA" w:rsidRDefault="00EB6202">
      <w:pPr>
        <w:numPr>
          <w:ilvl w:val="0"/>
          <w:numId w:val="13"/>
        </w:numPr>
        <w:ind w:left="1132" w:hanging="566"/>
      </w:pPr>
      <w:r>
        <w:t xml:space="preserve">Součástí Pilotního projektu je migrace všech souvisejících dat </w:t>
      </w:r>
    </w:p>
    <w:p w:rsidR="00EF3FBA" w:rsidRDefault="00EB6202">
      <w:pPr>
        <w:numPr>
          <w:ilvl w:val="0"/>
          <w:numId w:val="13"/>
        </w:numPr>
        <w:ind w:left="1132" w:hanging="566"/>
      </w:pPr>
      <w:r>
        <w:t xml:space="preserve">Rozpis jednotlivých činností, spojených s touto fází projektu </w:t>
      </w:r>
    </w:p>
    <w:p w:rsidR="00EF3FBA" w:rsidRDefault="00EB6202">
      <w:pPr>
        <w:numPr>
          <w:ilvl w:val="2"/>
          <w:numId w:val="15"/>
        </w:numPr>
        <w:ind w:hanging="286"/>
      </w:pPr>
      <w:r>
        <w:t xml:space="preserve">Migrace 25 licencí ze současného emailového řešení z </w:t>
      </w:r>
      <w:proofErr w:type="spellStart"/>
      <w:r>
        <w:t>Kerio</w:t>
      </w:r>
      <w:proofErr w:type="spellEnd"/>
      <w:r>
        <w:t xml:space="preserve"> </w:t>
      </w:r>
      <w:proofErr w:type="spellStart"/>
      <w:r>
        <w:t>Connect</w:t>
      </w:r>
      <w:proofErr w:type="spellEnd"/>
      <w:r>
        <w:t xml:space="preserve"> na Microsoft 365 s minimálním dopadem na provoz. Vzhledem k tomu, že nebudou migrovány veškeré schránky, musí být výsledné prostředí hybridní. </w:t>
      </w:r>
    </w:p>
    <w:p w:rsidR="00EF3FBA" w:rsidRDefault="00EB6202">
      <w:pPr>
        <w:numPr>
          <w:ilvl w:val="2"/>
          <w:numId w:val="15"/>
        </w:numPr>
        <w:ind w:hanging="286"/>
      </w:pPr>
      <w:r>
        <w:t xml:space="preserve">Na tomto vzorku budou provedeny veškeré činnosti, uvedené v dalších bodech plnění. </w:t>
      </w:r>
    </w:p>
    <w:p w:rsidR="00EF3FBA" w:rsidRDefault="00EB6202">
      <w:pPr>
        <w:numPr>
          <w:ilvl w:val="0"/>
          <w:numId w:val="13"/>
        </w:numPr>
        <w:ind w:left="1132" w:hanging="566"/>
      </w:pPr>
      <w:r>
        <w:t xml:space="preserve">Popis výstupů jednotlivých činností </w:t>
      </w:r>
    </w:p>
    <w:p w:rsidR="00EF3FBA" w:rsidRDefault="00EB6202">
      <w:pPr>
        <w:numPr>
          <w:ilvl w:val="2"/>
          <w:numId w:val="14"/>
        </w:numPr>
        <w:ind w:hanging="286"/>
      </w:pPr>
      <w:r>
        <w:t xml:space="preserve">25 licencí bude plně implementováno pro pracovníky, které určí Zadavatel </w:t>
      </w:r>
    </w:p>
    <w:p w:rsidR="00EF3FBA" w:rsidRDefault="00EB6202">
      <w:pPr>
        <w:numPr>
          <w:ilvl w:val="2"/>
          <w:numId w:val="14"/>
        </w:numPr>
        <w:ind w:hanging="286"/>
      </w:pPr>
      <w:r>
        <w:t xml:space="preserve">MS mail server Exchange bude zprovozněn na </w:t>
      </w:r>
      <w:proofErr w:type="spellStart"/>
      <w:r>
        <w:t>cloudové</w:t>
      </w:r>
      <w:proofErr w:type="spellEnd"/>
      <w:r>
        <w:t xml:space="preserve"> platformě </w:t>
      </w:r>
    </w:p>
    <w:p w:rsidR="00EF3FBA" w:rsidRDefault="00EB6202">
      <w:pPr>
        <w:numPr>
          <w:ilvl w:val="2"/>
          <w:numId w:val="14"/>
        </w:numPr>
        <w:ind w:hanging="286"/>
      </w:pPr>
      <w:r>
        <w:t xml:space="preserve">SharePoint bude instalován a konfigurován na </w:t>
      </w:r>
      <w:proofErr w:type="spellStart"/>
      <w:r>
        <w:t>cloudové</w:t>
      </w:r>
      <w:proofErr w:type="spellEnd"/>
      <w:r>
        <w:t xml:space="preserve"> platformě </w:t>
      </w:r>
    </w:p>
    <w:p w:rsidR="00EF3FBA" w:rsidRDefault="00EB6202">
      <w:pPr>
        <w:numPr>
          <w:ilvl w:val="2"/>
          <w:numId w:val="14"/>
        </w:numPr>
        <w:ind w:hanging="286"/>
      </w:pPr>
      <w:r>
        <w:t xml:space="preserve">Pilotní projekt bude podroben akceptaci Zadavatelem a podpisem Akceptačního protokolu. </w:t>
      </w:r>
    </w:p>
    <w:p w:rsidR="00EF3FBA" w:rsidRDefault="00EB6202">
      <w:pPr>
        <w:tabs>
          <w:tab w:val="center" w:pos="3055"/>
        </w:tabs>
        <w:spacing w:after="165" w:line="248" w:lineRule="auto"/>
        <w:ind w:left="-8" w:firstLine="0"/>
        <w:jc w:val="left"/>
      </w:pPr>
      <w:r>
        <w:t>1.5</w:t>
      </w:r>
      <w:r>
        <w:rPr>
          <w:rFonts w:ascii="Arial" w:eastAsia="Arial" w:hAnsi="Arial" w:cs="Arial"/>
        </w:rPr>
        <w:t xml:space="preserve"> </w:t>
      </w:r>
      <w:r>
        <w:rPr>
          <w:rFonts w:ascii="Arial" w:eastAsia="Arial" w:hAnsi="Arial" w:cs="Arial"/>
        </w:rPr>
        <w:tab/>
      </w:r>
      <w:r>
        <w:t xml:space="preserve">Implementace Front End (stanice) a </w:t>
      </w:r>
      <w:proofErr w:type="spellStart"/>
      <w:r>
        <w:t>Back</w:t>
      </w:r>
      <w:proofErr w:type="spellEnd"/>
      <w:r>
        <w:t xml:space="preserve"> End (servery); </w:t>
      </w:r>
    </w:p>
    <w:p w:rsidR="00EF3FBA" w:rsidRDefault="00EB6202">
      <w:pPr>
        <w:numPr>
          <w:ilvl w:val="0"/>
          <w:numId w:val="16"/>
        </w:numPr>
        <w:ind w:left="1132" w:hanging="566"/>
      </w:pPr>
      <w:r>
        <w:t xml:space="preserve">Rozpis jednotlivých činností, spojených s touto fází projektu </w:t>
      </w:r>
    </w:p>
    <w:p w:rsidR="00EF3FBA" w:rsidRDefault="00EB6202">
      <w:pPr>
        <w:numPr>
          <w:ilvl w:val="2"/>
          <w:numId w:val="17"/>
        </w:numPr>
        <w:ind w:hanging="286"/>
      </w:pPr>
      <w:r>
        <w:t xml:space="preserve">Nasazení všech aplikací MS 365 BP pro všechny určené uživatele </w:t>
      </w:r>
    </w:p>
    <w:p w:rsidR="00EF3FBA" w:rsidRDefault="00EB6202">
      <w:pPr>
        <w:numPr>
          <w:ilvl w:val="2"/>
          <w:numId w:val="17"/>
        </w:numPr>
        <w:spacing w:after="143" w:line="248" w:lineRule="auto"/>
        <w:ind w:hanging="286"/>
      </w:pPr>
      <w:proofErr w:type="spellStart"/>
      <w:r>
        <w:t>BackEnd</w:t>
      </w:r>
      <w:proofErr w:type="spellEnd"/>
      <w:r>
        <w:t xml:space="preserve"> aplikace (MS Exchange, SharePoint, ad.) budou nasazeny ve virtuálním prostředí MS Azure, které zajistí, nakonfiguruje a zprovozní Uchazeč. </w:t>
      </w:r>
    </w:p>
    <w:p w:rsidR="00EF3FBA" w:rsidRDefault="00EB6202">
      <w:pPr>
        <w:numPr>
          <w:ilvl w:val="2"/>
          <w:numId w:val="17"/>
        </w:numPr>
        <w:ind w:hanging="286"/>
      </w:pPr>
      <w:r>
        <w:t xml:space="preserve">Přiřazení licencí uživatelům na základě definice Zadavatele </w:t>
      </w:r>
    </w:p>
    <w:p w:rsidR="00EF3FBA" w:rsidRDefault="00EB6202">
      <w:pPr>
        <w:numPr>
          <w:ilvl w:val="2"/>
          <w:numId w:val="17"/>
        </w:numPr>
        <w:ind w:hanging="286"/>
      </w:pPr>
      <w:r>
        <w:t xml:space="preserve">Základní bezpečnostní nastavení s cílem dosáhnout </w:t>
      </w:r>
      <w:proofErr w:type="spellStart"/>
      <w:r>
        <w:t>Secure</w:t>
      </w:r>
      <w:proofErr w:type="spellEnd"/>
      <w:r>
        <w:t xml:space="preserve"> </w:t>
      </w:r>
      <w:proofErr w:type="spellStart"/>
      <w:r>
        <w:t>Score</w:t>
      </w:r>
      <w:proofErr w:type="spellEnd"/>
      <w:r>
        <w:t xml:space="preserve"> min. 40 %. </w:t>
      </w:r>
    </w:p>
    <w:p w:rsidR="00EF3FBA" w:rsidRDefault="00EB6202">
      <w:pPr>
        <w:numPr>
          <w:ilvl w:val="2"/>
          <w:numId w:val="17"/>
        </w:numPr>
        <w:ind w:hanging="286"/>
      </w:pPr>
      <w:r>
        <w:t xml:space="preserve">Konfigurace </w:t>
      </w:r>
      <w:proofErr w:type="spellStart"/>
      <w:r>
        <w:t>dvoufaktorového</w:t>
      </w:r>
      <w:proofErr w:type="spellEnd"/>
      <w:r>
        <w:t xml:space="preserve"> ověření (MFA) pro vybrané uživatele. </w:t>
      </w:r>
    </w:p>
    <w:p w:rsidR="00EF3FBA" w:rsidRDefault="00EB6202">
      <w:pPr>
        <w:numPr>
          <w:ilvl w:val="2"/>
          <w:numId w:val="17"/>
        </w:numPr>
        <w:spacing w:after="143" w:line="248" w:lineRule="auto"/>
        <w:ind w:hanging="286"/>
      </w:pPr>
      <w:r>
        <w:t xml:space="preserve">Konfigurace Microsoft </w:t>
      </w:r>
      <w:proofErr w:type="spellStart"/>
      <w:r>
        <w:t>Defender</w:t>
      </w:r>
      <w:proofErr w:type="spellEnd"/>
      <w:r>
        <w:t xml:space="preserve">. </w:t>
      </w:r>
    </w:p>
    <w:p w:rsidR="00EF3FBA" w:rsidRDefault="00EB6202">
      <w:pPr>
        <w:numPr>
          <w:ilvl w:val="2"/>
          <w:numId w:val="17"/>
        </w:numPr>
        <w:ind w:hanging="286"/>
      </w:pPr>
      <w:r>
        <w:t xml:space="preserve">Základní konfigurace </w:t>
      </w:r>
      <w:proofErr w:type="spellStart"/>
      <w:r>
        <w:t>Intune</w:t>
      </w:r>
      <w:proofErr w:type="spellEnd"/>
      <w:r>
        <w:t xml:space="preserve">, příprava prostředí pro nasazení a správu zařízení. </w:t>
      </w:r>
    </w:p>
    <w:p w:rsidR="00EF3FBA" w:rsidRDefault="00EB6202">
      <w:pPr>
        <w:numPr>
          <w:ilvl w:val="2"/>
          <w:numId w:val="17"/>
        </w:numPr>
        <w:ind w:hanging="286"/>
      </w:pPr>
      <w:r>
        <w:t xml:space="preserve">Napojení </w:t>
      </w:r>
      <w:proofErr w:type="spellStart"/>
      <w:r>
        <w:t>Teams</w:t>
      </w:r>
      <w:proofErr w:type="spellEnd"/>
      <w:r>
        <w:t xml:space="preserve"> na distribuční seznamy a složky </w:t>
      </w:r>
    </w:p>
    <w:p w:rsidR="00EF3FBA" w:rsidRDefault="00EB6202">
      <w:pPr>
        <w:numPr>
          <w:ilvl w:val="0"/>
          <w:numId w:val="16"/>
        </w:numPr>
        <w:ind w:left="1132" w:hanging="566"/>
      </w:pPr>
      <w:r>
        <w:t xml:space="preserve">Popis výstupů jednotlivých činností podle shora uvedeného seznamu. </w:t>
      </w:r>
    </w:p>
    <w:p w:rsidR="00EF3FBA" w:rsidRDefault="00EB6202">
      <w:pPr>
        <w:numPr>
          <w:ilvl w:val="2"/>
          <w:numId w:val="18"/>
        </w:numPr>
        <w:ind w:left="1419" w:hanging="286"/>
      </w:pPr>
      <w:r>
        <w:t xml:space="preserve">Funkční a plně nasazené hybridní prostředí Microsoft 365. </w:t>
      </w:r>
    </w:p>
    <w:p w:rsidR="00EF3FBA" w:rsidRDefault="00EB6202">
      <w:pPr>
        <w:numPr>
          <w:ilvl w:val="2"/>
          <w:numId w:val="18"/>
        </w:numPr>
        <w:spacing w:after="143" w:line="248" w:lineRule="auto"/>
        <w:ind w:left="1419" w:hanging="286"/>
      </w:pPr>
      <w:r>
        <w:t xml:space="preserve">Migrovaná emailová komunikace z </w:t>
      </w:r>
      <w:proofErr w:type="spellStart"/>
      <w:r>
        <w:t>Kerio</w:t>
      </w:r>
      <w:proofErr w:type="spellEnd"/>
      <w:r>
        <w:t xml:space="preserve"> </w:t>
      </w:r>
      <w:proofErr w:type="spellStart"/>
      <w:r>
        <w:t>Connect</w:t>
      </w:r>
      <w:proofErr w:type="spellEnd"/>
      <w:r>
        <w:t xml:space="preserve">. </w:t>
      </w:r>
    </w:p>
    <w:p w:rsidR="00EF3FBA" w:rsidRDefault="00EB6202">
      <w:pPr>
        <w:numPr>
          <w:ilvl w:val="2"/>
          <w:numId w:val="18"/>
        </w:numPr>
        <w:spacing w:after="143" w:line="248" w:lineRule="auto"/>
        <w:ind w:left="1419" w:hanging="286"/>
      </w:pPr>
      <w:r>
        <w:t xml:space="preserve">Poskytnutá dokumentace provedení konfigurace. </w:t>
      </w:r>
    </w:p>
    <w:p w:rsidR="00EF3FBA" w:rsidRDefault="00EB6202">
      <w:pPr>
        <w:numPr>
          <w:ilvl w:val="0"/>
          <w:numId w:val="16"/>
        </w:numPr>
        <w:ind w:left="1132" w:hanging="566"/>
      </w:pPr>
      <w:r>
        <w:t xml:space="preserve">Kvalitativní požadavky: </w:t>
      </w:r>
    </w:p>
    <w:p w:rsidR="00EF3FBA" w:rsidRDefault="00EB6202">
      <w:pPr>
        <w:numPr>
          <w:ilvl w:val="2"/>
          <w:numId w:val="19"/>
        </w:numPr>
        <w:ind w:hanging="286"/>
      </w:pPr>
      <w:r>
        <w:t xml:space="preserve">Nastavení jazyka, země a jména uživatele aplikací Office </w:t>
      </w:r>
    </w:p>
    <w:p w:rsidR="00EF3FBA" w:rsidRDefault="00EB6202">
      <w:pPr>
        <w:numPr>
          <w:ilvl w:val="2"/>
          <w:numId w:val="19"/>
        </w:numPr>
        <w:ind w:hanging="286"/>
      </w:pPr>
      <w:r>
        <w:t xml:space="preserve">Nastavení uživatelských účtů na BE (Exchange, </w:t>
      </w:r>
      <w:proofErr w:type="spellStart"/>
      <w:r>
        <w:t>Sharepointu</w:t>
      </w:r>
      <w:proofErr w:type="spellEnd"/>
      <w:r>
        <w:t xml:space="preserve">) pro snadnou a jednotnou práci pracovníků úřadu </w:t>
      </w:r>
    </w:p>
    <w:p w:rsidR="00EF3FBA" w:rsidRDefault="00EB6202">
      <w:pPr>
        <w:numPr>
          <w:ilvl w:val="2"/>
          <w:numId w:val="19"/>
        </w:numPr>
        <w:ind w:hanging="286"/>
      </w:pPr>
      <w:r>
        <w:t xml:space="preserve">Migrace všech uživatelských účtů </w:t>
      </w:r>
    </w:p>
    <w:p w:rsidR="00EF3FBA" w:rsidRDefault="00EB6202">
      <w:pPr>
        <w:numPr>
          <w:ilvl w:val="2"/>
          <w:numId w:val="19"/>
        </w:numPr>
        <w:ind w:hanging="286"/>
      </w:pPr>
      <w:r>
        <w:t xml:space="preserve">Migrace všech určených dokumentů do </w:t>
      </w:r>
      <w:proofErr w:type="spellStart"/>
      <w:r>
        <w:t>SharePointu</w:t>
      </w:r>
      <w:proofErr w:type="spellEnd"/>
      <w:r>
        <w:t xml:space="preserve"> </w:t>
      </w:r>
    </w:p>
    <w:p w:rsidR="00EF3FBA" w:rsidRDefault="00EB6202">
      <w:pPr>
        <w:numPr>
          <w:ilvl w:val="2"/>
          <w:numId w:val="19"/>
        </w:numPr>
        <w:ind w:hanging="286"/>
      </w:pPr>
      <w:r>
        <w:t xml:space="preserve">Migrace distribučních složek (odbory, vedení, rada, zastupitelstvo) </w:t>
      </w:r>
    </w:p>
    <w:p w:rsidR="00EF3FBA" w:rsidRDefault="00EB6202">
      <w:pPr>
        <w:numPr>
          <w:ilvl w:val="2"/>
          <w:numId w:val="19"/>
        </w:numPr>
        <w:ind w:hanging="286"/>
      </w:pPr>
      <w:r>
        <w:t xml:space="preserve">Využití antiviru MS </w:t>
      </w:r>
      <w:proofErr w:type="spellStart"/>
      <w:r>
        <w:t>Defender</w:t>
      </w:r>
      <w:proofErr w:type="spellEnd"/>
      <w:r>
        <w:t xml:space="preserve"> na všech stanicích </w:t>
      </w:r>
    </w:p>
    <w:p w:rsidR="00EF3FBA" w:rsidRDefault="00EB6202">
      <w:pPr>
        <w:tabs>
          <w:tab w:val="center" w:pos="2240"/>
        </w:tabs>
        <w:spacing w:after="164"/>
        <w:ind w:left="0" w:firstLine="0"/>
        <w:jc w:val="left"/>
      </w:pPr>
      <w:r>
        <w:t>1.6</w:t>
      </w:r>
      <w:r>
        <w:rPr>
          <w:rFonts w:ascii="Arial" w:eastAsia="Arial" w:hAnsi="Arial" w:cs="Arial"/>
        </w:rPr>
        <w:t xml:space="preserve"> </w:t>
      </w:r>
      <w:r>
        <w:rPr>
          <w:rFonts w:ascii="Arial" w:eastAsia="Arial" w:hAnsi="Arial" w:cs="Arial"/>
        </w:rPr>
        <w:tab/>
      </w:r>
      <w:r>
        <w:t xml:space="preserve">Migrace uživatelů a </w:t>
      </w:r>
      <w:proofErr w:type="spellStart"/>
      <w:r>
        <w:t>Active</w:t>
      </w:r>
      <w:proofErr w:type="spellEnd"/>
      <w:r>
        <w:t xml:space="preserve"> </w:t>
      </w:r>
      <w:proofErr w:type="spellStart"/>
      <w:r>
        <w:t>Directory</w:t>
      </w:r>
      <w:proofErr w:type="spellEnd"/>
      <w:r>
        <w:t xml:space="preserve">; </w:t>
      </w:r>
    </w:p>
    <w:p w:rsidR="00EF3FBA" w:rsidRDefault="00EB6202">
      <w:pPr>
        <w:numPr>
          <w:ilvl w:val="0"/>
          <w:numId w:val="20"/>
        </w:numPr>
        <w:ind w:left="1132" w:hanging="566"/>
      </w:pPr>
      <w:r>
        <w:lastRenderedPageBreak/>
        <w:t xml:space="preserve">Rozpis jednotlivých činností, spojených s touto fází projektu </w:t>
      </w:r>
    </w:p>
    <w:p w:rsidR="00EF3FBA" w:rsidRDefault="00EB6202">
      <w:pPr>
        <w:numPr>
          <w:ilvl w:val="2"/>
          <w:numId w:val="21"/>
        </w:numPr>
        <w:ind w:left="1415" w:hanging="286"/>
      </w:pPr>
      <w:r>
        <w:t xml:space="preserve">Konfigurace DNS záznamů, včetně DMARC a DKIM. </w:t>
      </w:r>
    </w:p>
    <w:p w:rsidR="00EF3FBA" w:rsidRDefault="00EB6202">
      <w:pPr>
        <w:numPr>
          <w:ilvl w:val="2"/>
          <w:numId w:val="21"/>
        </w:numPr>
        <w:spacing w:after="143" w:line="248" w:lineRule="auto"/>
        <w:ind w:left="1415" w:hanging="286"/>
      </w:pPr>
      <w:r>
        <w:t xml:space="preserve">Konfigurace synchronizace </w:t>
      </w:r>
      <w:proofErr w:type="spellStart"/>
      <w:r>
        <w:t>Active</w:t>
      </w:r>
      <w:proofErr w:type="spellEnd"/>
      <w:r>
        <w:t xml:space="preserve"> </w:t>
      </w:r>
      <w:proofErr w:type="spellStart"/>
      <w:r>
        <w:t>Directory</w:t>
      </w:r>
      <w:proofErr w:type="spellEnd"/>
      <w:r>
        <w:t xml:space="preserve"> (AD) s Azure </w:t>
      </w:r>
      <w:proofErr w:type="spellStart"/>
      <w:r>
        <w:t>Active</w:t>
      </w:r>
      <w:proofErr w:type="spellEnd"/>
      <w:r>
        <w:t xml:space="preserve"> </w:t>
      </w:r>
      <w:proofErr w:type="spellStart"/>
      <w:r>
        <w:t>Directory</w:t>
      </w:r>
      <w:proofErr w:type="spellEnd"/>
      <w:r>
        <w:t xml:space="preserve"> (AAD). </w:t>
      </w:r>
    </w:p>
    <w:p w:rsidR="00EF3FBA" w:rsidRDefault="00EB6202">
      <w:pPr>
        <w:numPr>
          <w:ilvl w:val="0"/>
          <w:numId w:val="20"/>
        </w:numPr>
        <w:ind w:left="1132" w:hanging="566"/>
      </w:pPr>
      <w:r>
        <w:t xml:space="preserve">Popis výstupů jednotlivých činností podle shora uvedeného seznamu. </w:t>
      </w:r>
    </w:p>
    <w:p w:rsidR="00EF3FBA" w:rsidRDefault="00EB6202">
      <w:pPr>
        <w:numPr>
          <w:ilvl w:val="2"/>
          <w:numId w:val="22"/>
        </w:numPr>
        <w:spacing w:after="143" w:line="248" w:lineRule="auto"/>
        <w:ind w:left="1415" w:hanging="286"/>
      </w:pPr>
      <w:r>
        <w:t xml:space="preserve">Poskytnutá dokumentace postupu migrace. </w:t>
      </w:r>
    </w:p>
    <w:p w:rsidR="00EF3FBA" w:rsidRDefault="00EB6202">
      <w:pPr>
        <w:numPr>
          <w:ilvl w:val="2"/>
          <w:numId w:val="22"/>
        </w:numPr>
        <w:ind w:left="1415" w:hanging="286"/>
      </w:pPr>
      <w:r>
        <w:t xml:space="preserve">Akceptační protokol </w:t>
      </w:r>
    </w:p>
    <w:p w:rsidR="00EF3FBA" w:rsidRDefault="00EB6202">
      <w:pPr>
        <w:tabs>
          <w:tab w:val="center" w:pos="1291"/>
        </w:tabs>
        <w:spacing w:after="164"/>
        <w:ind w:left="0" w:firstLine="0"/>
        <w:jc w:val="left"/>
      </w:pPr>
      <w:r>
        <w:t>1.7</w:t>
      </w:r>
      <w:r>
        <w:rPr>
          <w:rFonts w:ascii="Arial" w:eastAsia="Arial" w:hAnsi="Arial" w:cs="Arial"/>
        </w:rPr>
        <w:t xml:space="preserve"> </w:t>
      </w:r>
      <w:r>
        <w:rPr>
          <w:rFonts w:ascii="Arial" w:eastAsia="Arial" w:hAnsi="Arial" w:cs="Arial"/>
        </w:rPr>
        <w:tab/>
      </w:r>
      <w:r>
        <w:t xml:space="preserve">Migrace emailů: </w:t>
      </w:r>
    </w:p>
    <w:p w:rsidR="00EF3FBA" w:rsidRDefault="00EB6202">
      <w:pPr>
        <w:numPr>
          <w:ilvl w:val="0"/>
          <w:numId w:val="23"/>
        </w:numPr>
        <w:ind w:left="1132" w:hanging="566"/>
      </w:pPr>
      <w:r>
        <w:t xml:space="preserve">Rozpis jednotlivých činností, spojených s touto fází projektu </w:t>
      </w:r>
    </w:p>
    <w:p w:rsidR="00EF3FBA" w:rsidRDefault="00EB6202">
      <w:pPr>
        <w:numPr>
          <w:ilvl w:val="2"/>
          <w:numId w:val="24"/>
        </w:numPr>
        <w:ind w:hanging="286"/>
      </w:pPr>
      <w:r>
        <w:t xml:space="preserve">Migrace poštovních schránek z </w:t>
      </w:r>
      <w:proofErr w:type="spellStart"/>
      <w:r>
        <w:t>Kerio</w:t>
      </w:r>
      <w:proofErr w:type="spellEnd"/>
      <w:r>
        <w:t xml:space="preserve"> </w:t>
      </w:r>
      <w:proofErr w:type="spellStart"/>
      <w:r>
        <w:t>Connect</w:t>
      </w:r>
      <w:proofErr w:type="spellEnd"/>
      <w:r>
        <w:t xml:space="preserve"> do Microsoft 365. </w:t>
      </w:r>
    </w:p>
    <w:p w:rsidR="00EF3FBA" w:rsidRDefault="00EB6202">
      <w:pPr>
        <w:numPr>
          <w:ilvl w:val="2"/>
          <w:numId w:val="24"/>
        </w:numPr>
        <w:ind w:hanging="286"/>
      </w:pPr>
      <w:r>
        <w:t xml:space="preserve">Vytvoření distribučních seznamů a sdílených schránek dle specifikace Zadavatele. </w:t>
      </w:r>
    </w:p>
    <w:p w:rsidR="00EF3FBA" w:rsidRDefault="00EB6202">
      <w:pPr>
        <w:numPr>
          <w:ilvl w:val="0"/>
          <w:numId w:val="23"/>
        </w:numPr>
        <w:ind w:left="1132" w:hanging="566"/>
      </w:pPr>
      <w:r>
        <w:t xml:space="preserve">Popis výstupů jednotlivých činností podle shora uvedeného seznamu. </w:t>
      </w:r>
    </w:p>
    <w:p w:rsidR="00EF3FBA" w:rsidRDefault="00EB6202">
      <w:pPr>
        <w:ind w:left="1135"/>
      </w:pPr>
      <w:r>
        <w:t>a)</w:t>
      </w:r>
      <w:r>
        <w:rPr>
          <w:rFonts w:ascii="Arial" w:eastAsia="Arial" w:hAnsi="Arial" w:cs="Arial"/>
        </w:rPr>
        <w:t xml:space="preserve"> </w:t>
      </w:r>
      <w:r>
        <w:t xml:space="preserve">Akceptační protokol </w:t>
      </w:r>
    </w:p>
    <w:p w:rsidR="00EF3FBA" w:rsidRDefault="00EB6202">
      <w:pPr>
        <w:tabs>
          <w:tab w:val="center" w:pos="1431"/>
        </w:tabs>
        <w:spacing w:after="166" w:line="248" w:lineRule="auto"/>
        <w:ind w:left="-8" w:firstLine="0"/>
        <w:jc w:val="left"/>
      </w:pPr>
      <w:r>
        <w:t>1.8</w:t>
      </w:r>
      <w:r>
        <w:rPr>
          <w:rFonts w:ascii="Arial" w:eastAsia="Arial" w:hAnsi="Arial" w:cs="Arial"/>
        </w:rPr>
        <w:t xml:space="preserve"> </w:t>
      </w:r>
      <w:r>
        <w:rPr>
          <w:rFonts w:ascii="Arial" w:eastAsia="Arial" w:hAnsi="Arial" w:cs="Arial"/>
        </w:rPr>
        <w:tab/>
      </w:r>
      <w:r>
        <w:t xml:space="preserve">Migrace dokument: </w:t>
      </w:r>
    </w:p>
    <w:p w:rsidR="00EF3FBA" w:rsidRDefault="00EB6202">
      <w:pPr>
        <w:numPr>
          <w:ilvl w:val="0"/>
          <w:numId w:val="25"/>
        </w:numPr>
        <w:ind w:left="1132" w:hanging="566"/>
      </w:pPr>
      <w:r>
        <w:t xml:space="preserve">Rozpis jednotlivých činností, spojených s touto fází projektu </w:t>
      </w:r>
    </w:p>
    <w:p w:rsidR="00EF3FBA" w:rsidRDefault="00EB6202">
      <w:pPr>
        <w:ind w:left="1411" w:hanging="286"/>
      </w:pPr>
      <w:r>
        <w:t>a)</w:t>
      </w:r>
      <w:r>
        <w:rPr>
          <w:rFonts w:ascii="Arial" w:eastAsia="Arial" w:hAnsi="Arial" w:cs="Arial"/>
        </w:rPr>
        <w:t xml:space="preserve"> </w:t>
      </w:r>
      <w:r>
        <w:t xml:space="preserve">Poskytnutí školení pro administrátory Zadavatele v oblasti správy uživatelů, licencí a bezpečnosti MS 365. </w:t>
      </w:r>
    </w:p>
    <w:p w:rsidR="00EF3FBA" w:rsidRDefault="00EB6202">
      <w:pPr>
        <w:numPr>
          <w:ilvl w:val="0"/>
          <w:numId w:val="25"/>
        </w:numPr>
        <w:ind w:left="1132" w:hanging="566"/>
      </w:pPr>
      <w:r>
        <w:t xml:space="preserve">Popis výstupů jednotlivých činností podle shora uvedeného seznamu. </w:t>
      </w:r>
    </w:p>
    <w:p w:rsidR="00EF3FBA" w:rsidRDefault="00EB6202">
      <w:pPr>
        <w:ind w:left="1135"/>
      </w:pPr>
      <w:r>
        <w:t>a)</w:t>
      </w:r>
      <w:r>
        <w:rPr>
          <w:rFonts w:ascii="Arial" w:eastAsia="Arial" w:hAnsi="Arial" w:cs="Arial"/>
        </w:rPr>
        <w:t xml:space="preserve"> </w:t>
      </w:r>
      <w:r>
        <w:t xml:space="preserve">Akceptační protokol </w:t>
      </w:r>
    </w:p>
    <w:p w:rsidR="00EF3FBA" w:rsidRDefault="00EB6202">
      <w:pPr>
        <w:tabs>
          <w:tab w:val="center" w:pos="1701"/>
        </w:tabs>
        <w:spacing w:after="164"/>
        <w:ind w:left="0" w:firstLine="0"/>
        <w:jc w:val="left"/>
      </w:pPr>
      <w:r>
        <w:t>1.9</w:t>
      </w:r>
      <w:r>
        <w:rPr>
          <w:rFonts w:ascii="Arial" w:eastAsia="Arial" w:hAnsi="Arial" w:cs="Arial"/>
        </w:rPr>
        <w:t xml:space="preserve"> </w:t>
      </w:r>
      <w:r>
        <w:rPr>
          <w:rFonts w:ascii="Arial" w:eastAsia="Arial" w:hAnsi="Arial" w:cs="Arial"/>
        </w:rPr>
        <w:tab/>
      </w:r>
      <w:r>
        <w:t xml:space="preserve">Zaškolení administrátorů: </w:t>
      </w:r>
    </w:p>
    <w:p w:rsidR="00EF3FBA" w:rsidRDefault="00EB6202">
      <w:pPr>
        <w:tabs>
          <w:tab w:val="center" w:pos="643"/>
          <w:tab w:val="center" w:pos="2706"/>
        </w:tabs>
        <w:ind w:left="0" w:firstLine="0"/>
        <w:jc w:val="left"/>
      </w:pPr>
      <w:r>
        <w:rPr>
          <w:rFonts w:ascii="Calibri" w:eastAsia="Calibri" w:hAnsi="Calibri" w:cs="Calibri"/>
        </w:rPr>
        <w:tab/>
      </w:r>
      <w:r>
        <w:t>a.</w:t>
      </w:r>
      <w:r>
        <w:rPr>
          <w:rFonts w:ascii="Arial" w:eastAsia="Arial" w:hAnsi="Arial" w:cs="Arial"/>
        </w:rPr>
        <w:t xml:space="preserve"> </w:t>
      </w:r>
      <w:r>
        <w:rPr>
          <w:rFonts w:ascii="Arial" w:eastAsia="Arial" w:hAnsi="Arial" w:cs="Arial"/>
        </w:rPr>
        <w:tab/>
      </w:r>
      <w:r>
        <w:t xml:space="preserve">Popis výstupů jednotlivých činností </w:t>
      </w:r>
    </w:p>
    <w:p w:rsidR="00EF3FBA" w:rsidRDefault="00EB6202">
      <w:pPr>
        <w:numPr>
          <w:ilvl w:val="1"/>
          <w:numId w:val="26"/>
        </w:numPr>
        <w:spacing w:after="11"/>
        <w:ind w:hanging="286"/>
      </w:pPr>
      <w:r>
        <w:t>Zajištění znalostí a dovedností administrátorů pro administraci MS 365 BP (</w:t>
      </w:r>
      <w:proofErr w:type="spellStart"/>
      <w:r>
        <w:t>FrontEnd</w:t>
      </w:r>
      <w:proofErr w:type="spellEnd"/>
      <w:r>
        <w:t xml:space="preserve"> i </w:t>
      </w:r>
      <w:proofErr w:type="spellStart"/>
      <w:r>
        <w:t>BackEnd</w:t>
      </w:r>
      <w:proofErr w:type="spellEnd"/>
      <w:r>
        <w:t xml:space="preserve">) tak, aby bylo zajištěna jeho efektivní správa a konfigurace pro potřeby úřadu </w:t>
      </w:r>
    </w:p>
    <w:p w:rsidR="00EF3FBA" w:rsidRDefault="00EB6202">
      <w:pPr>
        <w:spacing w:after="143" w:line="248" w:lineRule="auto"/>
        <w:ind w:left="1428"/>
      </w:pPr>
      <w:r>
        <w:t xml:space="preserve">Zadavatele </w:t>
      </w:r>
    </w:p>
    <w:p w:rsidR="00EF3FBA" w:rsidRDefault="00EB6202">
      <w:pPr>
        <w:numPr>
          <w:ilvl w:val="1"/>
          <w:numId w:val="26"/>
        </w:numPr>
        <w:ind w:hanging="286"/>
      </w:pPr>
      <w:r>
        <w:t xml:space="preserve">Odborně vyškolení všichni administrátoři Zadavatele. </w:t>
      </w:r>
    </w:p>
    <w:p w:rsidR="00EF3FBA" w:rsidRDefault="00EB6202">
      <w:pPr>
        <w:numPr>
          <w:ilvl w:val="1"/>
          <w:numId w:val="26"/>
        </w:numPr>
        <w:ind w:hanging="286"/>
      </w:pPr>
      <w:r>
        <w:t xml:space="preserve">Dokumentace provedeného školení </w:t>
      </w:r>
    </w:p>
    <w:p w:rsidR="00EF3FBA" w:rsidRDefault="00EB6202">
      <w:pPr>
        <w:numPr>
          <w:ilvl w:val="1"/>
          <w:numId w:val="26"/>
        </w:numPr>
        <w:ind w:hanging="286"/>
      </w:pPr>
      <w:r>
        <w:t xml:space="preserve">Potvrzení o úspěšném provedení závěrečného testu </w:t>
      </w:r>
    </w:p>
    <w:p w:rsidR="00EF3FBA" w:rsidRDefault="00EB6202">
      <w:r>
        <w:t>1.10</w:t>
      </w:r>
      <w:r>
        <w:rPr>
          <w:rFonts w:ascii="Arial" w:eastAsia="Arial" w:hAnsi="Arial" w:cs="Arial"/>
        </w:rPr>
        <w:t xml:space="preserve"> </w:t>
      </w:r>
      <w:r>
        <w:t xml:space="preserve">Zaškolení uživatelů: </w:t>
      </w:r>
    </w:p>
    <w:p w:rsidR="00EF3FBA" w:rsidRDefault="00EB6202">
      <w:pPr>
        <w:tabs>
          <w:tab w:val="center" w:pos="643"/>
          <w:tab w:val="center" w:pos="2706"/>
        </w:tabs>
        <w:ind w:left="0" w:firstLine="0"/>
        <w:jc w:val="left"/>
      </w:pPr>
      <w:r>
        <w:rPr>
          <w:rFonts w:ascii="Calibri" w:eastAsia="Calibri" w:hAnsi="Calibri" w:cs="Calibri"/>
        </w:rPr>
        <w:tab/>
      </w:r>
      <w:r>
        <w:t>a.</w:t>
      </w:r>
      <w:r>
        <w:rPr>
          <w:rFonts w:ascii="Arial" w:eastAsia="Arial" w:hAnsi="Arial" w:cs="Arial"/>
        </w:rPr>
        <w:t xml:space="preserve"> </w:t>
      </w:r>
      <w:r>
        <w:rPr>
          <w:rFonts w:ascii="Arial" w:eastAsia="Arial" w:hAnsi="Arial" w:cs="Arial"/>
        </w:rPr>
        <w:tab/>
      </w:r>
      <w:r>
        <w:t xml:space="preserve">Popis výstupů jednotlivých činností </w:t>
      </w:r>
    </w:p>
    <w:p w:rsidR="00EF3FBA" w:rsidRDefault="00EB6202">
      <w:pPr>
        <w:numPr>
          <w:ilvl w:val="1"/>
          <w:numId w:val="27"/>
        </w:numPr>
        <w:ind w:hanging="286"/>
      </w:pPr>
      <w:r>
        <w:t xml:space="preserve">Zajištění znalostí a dovedností uživatelů pro práci s MS 365 BP tak, aby bylo zajištěno jeho efektivní využívání pro potřeby úřadu Zadavatele </w:t>
      </w:r>
    </w:p>
    <w:p w:rsidR="00EF3FBA" w:rsidRDefault="00EB6202">
      <w:pPr>
        <w:numPr>
          <w:ilvl w:val="1"/>
          <w:numId w:val="27"/>
        </w:numPr>
        <w:ind w:hanging="286"/>
      </w:pPr>
      <w:r>
        <w:t xml:space="preserve">Odborně vyškolení všichni uživatelé Zadavatele, kteří dostali přidělenu licenci MS 365. </w:t>
      </w:r>
    </w:p>
    <w:p w:rsidR="00EF3FBA" w:rsidRDefault="00EB6202">
      <w:pPr>
        <w:numPr>
          <w:ilvl w:val="1"/>
          <w:numId w:val="27"/>
        </w:numPr>
        <w:ind w:hanging="286"/>
      </w:pPr>
      <w:r>
        <w:t xml:space="preserve">Dokumentace provedeného školení </w:t>
      </w:r>
    </w:p>
    <w:p w:rsidR="00EF3FBA" w:rsidRDefault="00EB6202">
      <w:pPr>
        <w:numPr>
          <w:ilvl w:val="1"/>
          <w:numId w:val="27"/>
        </w:numPr>
        <w:ind w:hanging="286"/>
      </w:pPr>
      <w:r>
        <w:t xml:space="preserve">Potvrzení o úspěšném provedení závěrečného testu </w:t>
      </w:r>
    </w:p>
    <w:p w:rsidR="00EF3FBA" w:rsidRDefault="00EB6202">
      <w:pPr>
        <w:spacing w:after="143" w:line="248" w:lineRule="auto"/>
        <w:ind w:left="2"/>
      </w:pPr>
      <w:r>
        <w:t>1.11</w:t>
      </w:r>
      <w:r>
        <w:rPr>
          <w:rFonts w:ascii="Arial" w:eastAsia="Arial" w:hAnsi="Arial" w:cs="Arial"/>
        </w:rPr>
        <w:t xml:space="preserve"> </w:t>
      </w:r>
      <w:r>
        <w:t xml:space="preserve">Servisní a technická podpora a konzultace; </w:t>
      </w:r>
    </w:p>
    <w:p w:rsidR="00EF3FBA" w:rsidRDefault="00EB6202">
      <w:pPr>
        <w:tabs>
          <w:tab w:val="center" w:pos="643"/>
          <w:tab w:val="center" w:pos="3804"/>
        </w:tabs>
        <w:ind w:left="0" w:firstLine="0"/>
        <w:jc w:val="left"/>
      </w:pPr>
      <w:r>
        <w:rPr>
          <w:rFonts w:ascii="Calibri" w:eastAsia="Calibri" w:hAnsi="Calibri" w:cs="Calibri"/>
        </w:rPr>
        <w:tab/>
      </w:r>
      <w:r>
        <w:t>a.</w:t>
      </w:r>
      <w:r>
        <w:rPr>
          <w:rFonts w:ascii="Arial" w:eastAsia="Arial" w:hAnsi="Arial" w:cs="Arial"/>
        </w:rPr>
        <w:t xml:space="preserve"> </w:t>
      </w:r>
      <w:r>
        <w:rPr>
          <w:rFonts w:ascii="Arial" w:eastAsia="Arial" w:hAnsi="Arial" w:cs="Arial"/>
        </w:rPr>
        <w:tab/>
      </w:r>
      <w:r>
        <w:t xml:space="preserve">Rozpis jednotlivých činností, spojených s touto fází projektu </w:t>
      </w:r>
    </w:p>
    <w:p w:rsidR="00EF3FBA" w:rsidRDefault="00EB6202">
      <w:pPr>
        <w:numPr>
          <w:ilvl w:val="0"/>
          <w:numId w:val="28"/>
        </w:numPr>
        <w:spacing w:after="143" w:line="248" w:lineRule="auto"/>
        <w:ind w:hanging="286"/>
      </w:pPr>
      <w:r>
        <w:t xml:space="preserve">Poskytnutí technické podpory po celou dobu platnosti zakoupených licencí. </w:t>
      </w:r>
    </w:p>
    <w:p w:rsidR="00EF3FBA" w:rsidRDefault="00EB6202">
      <w:pPr>
        <w:numPr>
          <w:ilvl w:val="0"/>
          <w:numId w:val="28"/>
        </w:numPr>
        <w:ind w:hanging="286"/>
      </w:pPr>
      <w:r>
        <w:lastRenderedPageBreak/>
        <w:t xml:space="preserve">Rozsah podpory: Servisní podpora se vztahuje výhradně na řešení incidentů, nikoliv na rozvojové projekty či nové implementace.  </w:t>
      </w:r>
    </w:p>
    <w:p w:rsidR="00EF3FBA" w:rsidRDefault="00EB6202">
      <w:pPr>
        <w:numPr>
          <w:ilvl w:val="0"/>
          <w:numId w:val="28"/>
        </w:numPr>
        <w:ind w:hanging="286"/>
      </w:pPr>
      <w:r>
        <w:t xml:space="preserve">Servisní kalendář: Podpora bude poskytována v režimu 7x8 v pracovní dny od pondělí do pátku, od 8:00 do 16:00.  </w:t>
      </w:r>
    </w:p>
    <w:p w:rsidR="00EF3FBA" w:rsidRDefault="00EB6202">
      <w:pPr>
        <w:numPr>
          <w:ilvl w:val="0"/>
          <w:numId w:val="28"/>
        </w:numPr>
        <w:spacing w:after="11"/>
        <w:ind w:hanging="286"/>
      </w:pPr>
      <w:r>
        <w:t xml:space="preserve">Typy incidentů: Podpora bude zahrnovat pomoc při řešení technických problémů, jako jsou výpadky služeb, nefunkčnost systémů či jiné urgentní technické potíže. </w:t>
      </w:r>
    </w:p>
    <w:p w:rsidR="00EF3FBA" w:rsidRDefault="00EB6202">
      <w:pPr>
        <w:spacing w:after="0" w:line="259" w:lineRule="auto"/>
        <w:ind w:left="0" w:firstLine="0"/>
        <w:jc w:val="left"/>
      </w:pPr>
      <w:r>
        <w:rPr>
          <w:sz w:val="20"/>
        </w:rP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lastRenderedPageBreak/>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0" w:line="259" w:lineRule="auto"/>
        <w:ind w:left="0" w:firstLine="0"/>
        <w:jc w:val="left"/>
      </w:pPr>
      <w:r>
        <w:t xml:space="preserve"> </w:t>
      </w:r>
    </w:p>
    <w:p w:rsidR="00EF3FBA" w:rsidRDefault="00EB6202">
      <w:pPr>
        <w:spacing w:after="179" w:line="259" w:lineRule="auto"/>
        <w:ind w:left="-5"/>
        <w:jc w:val="left"/>
      </w:pPr>
      <w:r>
        <w:rPr>
          <w:b/>
          <w:sz w:val="20"/>
        </w:rPr>
        <w:t xml:space="preserve">Příloha č. 2 – zajištění kybernetické bezpečnosti </w:t>
      </w:r>
    </w:p>
    <w:p w:rsidR="00EF3FBA" w:rsidRDefault="00EB6202">
      <w:pPr>
        <w:pStyle w:val="Nadpis3"/>
        <w:ind w:left="-5" w:right="0"/>
      </w:pPr>
      <w:r>
        <w:t xml:space="preserve">Bezpečnost informací </w:t>
      </w:r>
    </w:p>
    <w:p w:rsidR="00EF3FBA" w:rsidRDefault="00EB6202">
      <w:pPr>
        <w:spacing w:after="193"/>
        <w:ind w:left="-5" w:right="41"/>
      </w:pPr>
      <w:r>
        <w:rPr>
          <w:sz w:val="20"/>
        </w:rPr>
        <w:t xml:space="preserve">1.1. Poskytovatel je povinen zavést a udržovat bezpečnostní zásady a procesy, které zajistí důvěrnost, integritu a dostupnost všech dat a informací zpracovávaných při poskytování služeb dle smlouvy. </w:t>
      </w:r>
    </w:p>
    <w:p w:rsidR="00EF3FBA" w:rsidRDefault="00EB6202">
      <w:pPr>
        <w:spacing w:after="193"/>
        <w:ind w:left="-5" w:right="41"/>
      </w:pPr>
      <w:r>
        <w:rPr>
          <w:sz w:val="20"/>
        </w:rPr>
        <w:t xml:space="preserve">1.2. Poskytovatel zavede bezpečnostní opatření na základě bezpečnostních potřeb a výsledků hodnocení rizik, a to v rozsahu poskytovaného předmětu plnění. </w:t>
      </w:r>
    </w:p>
    <w:p w:rsidR="00EF3FBA" w:rsidRDefault="00EB6202">
      <w:pPr>
        <w:spacing w:after="193"/>
        <w:ind w:left="-5" w:right="41"/>
      </w:pPr>
      <w:r>
        <w:rPr>
          <w:sz w:val="20"/>
        </w:rPr>
        <w:t xml:space="preserve">1.3. Po ukončení plnění smlouvy je Poskytovatel povinen bez zbytečného odkladu skartovat veškeré informace a data, která mu byla Nabyvatelem předána, pokud nebude dohodnuto jinak. </w:t>
      </w:r>
    </w:p>
    <w:p w:rsidR="00EF3FBA" w:rsidRDefault="00EB6202">
      <w:pPr>
        <w:spacing w:after="193"/>
        <w:ind w:left="-5" w:right="41"/>
      </w:pPr>
      <w:r>
        <w:rPr>
          <w:sz w:val="20"/>
        </w:rPr>
        <w:t xml:space="preserve">1.4. Poskytovatel je povinen stanovit a udržovat aktuální seznam všech aktivních produktů a služeb (hardware, software, data, dokumentace) využívaných pro plnění této smlouvy a tento seznam předat Nabyvateli na vyžádání, nejméně však jednou ročně. </w:t>
      </w:r>
    </w:p>
    <w:p w:rsidR="00EF3FBA" w:rsidRDefault="00EB6202">
      <w:pPr>
        <w:spacing w:after="193"/>
        <w:ind w:left="-5" w:right="41"/>
      </w:pPr>
      <w:r>
        <w:rPr>
          <w:sz w:val="20"/>
        </w:rPr>
        <w:t xml:space="preserve">1.5. Poskytovatel je povinen řídit vlastní rizika, která mohou ovlivnit poskytování služeb, a alespoň jednou ročně vytvořit a předložit Nabyvateli zprávu o řízení kybernetických rizik. </w:t>
      </w:r>
    </w:p>
    <w:p w:rsidR="00EF3FBA" w:rsidRDefault="00EB6202">
      <w:pPr>
        <w:pStyle w:val="Nadpis3"/>
        <w:ind w:left="-5" w:right="0"/>
      </w:pPr>
      <w:r>
        <w:t xml:space="preserve">2. Řetězení poskytovatelů </w:t>
      </w:r>
    </w:p>
    <w:p w:rsidR="00EF3FBA" w:rsidRDefault="00EB6202">
      <w:pPr>
        <w:spacing w:after="193"/>
        <w:ind w:left="-5" w:right="41"/>
      </w:pPr>
      <w:r>
        <w:rPr>
          <w:sz w:val="20"/>
        </w:rPr>
        <w:t xml:space="preserve">2.1. Poskytovatel je povinen písemně informovat Nabyvatele o všech </w:t>
      </w:r>
      <w:proofErr w:type="spellStart"/>
      <w:r>
        <w:rPr>
          <w:sz w:val="20"/>
        </w:rPr>
        <w:t>subposkytovatelích</w:t>
      </w:r>
      <w:proofErr w:type="spellEnd"/>
      <w:r>
        <w:rPr>
          <w:sz w:val="20"/>
        </w:rPr>
        <w:t xml:space="preserve"> zapojených do plnění této smlouvy, přičemž Nabyvatel si v pochybnostech o osobě </w:t>
      </w:r>
      <w:proofErr w:type="spellStart"/>
      <w:r>
        <w:rPr>
          <w:sz w:val="20"/>
        </w:rPr>
        <w:t>subposkytovatele</w:t>
      </w:r>
      <w:proofErr w:type="spellEnd"/>
      <w:r>
        <w:rPr>
          <w:sz w:val="20"/>
        </w:rPr>
        <w:t xml:space="preserve"> podílejícího se na plnění předmětu smlouvy vyhrazuje právo odmítnout takovou osobu </w:t>
      </w:r>
      <w:proofErr w:type="spellStart"/>
      <w:r>
        <w:rPr>
          <w:sz w:val="20"/>
        </w:rPr>
        <w:t>subposkytovatele</w:t>
      </w:r>
      <w:proofErr w:type="spellEnd"/>
      <w:r>
        <w:rPr>
          <w:sz w:val="20"/>
        </w:rPr>
        <w:t xml:space="preserve"> bez udání důvodu. </w:t>
      </w:r>
    </w:p>
    <w:p w:rsidR="00EF3FBA" w:rsidRDefault="00EB6202">
      <w:pPr>
        <w:spacing w:after="193"/>
        <w:ind w:left="-5" w:right="41"/>
      </w:pPr>
      <w:r>
        <w:rPr>
          <w:sz w:val="20"/>
        </w:rPr>
        <w:t xml:space="preserve">2.2. Poskytovatel je povinen smluvně zajistit, že všechny bezpečnostní požadavky této smlouvy budou aplikovány i na jeho </w:t>
      </w:r>
      <w:proofErr w:type="spellStart"/>
      <w:r>
        <w:rPr>
          <w:sz w:val="20"/>
        </w:rPr>
        <w:t>subposkytovatele</w:t>
      </w:r>
      <w:proofErr w:type="spellEnd"/>
      <w:r>
        <w:rPr>
          <w:sz w:val="20"/>
        </w:rPr>
        <w:t xml:space="preserve">. </w:t>
      </w:r>
    </w:p>
    <w:p w:rsidR="00EF3FBA" w:rsidRDefault="00EB6202">
      <w:pPr>
        <w:numPr>
          <w:ilvl w:val="0"/>
          <w:numId w:val="29"/>
        </w:numPr>
        <w:spacing w:after="179" w:line="259" w:lineRule="auto"/>
        <w:ind w:hanging="201"/>
        <w:jc w:val="left"/>
      </w:pPr>
      <w:r>
        <w:rPr>
          <w:b/>
          <w:sz w:val="20"/>
        </w:rPr>
        <w:t xml:space="preserve">Exit strategie </w:t>
      </w:r>
    </w:p>
    <w:p w:rsidR="00EF3FBA" w:rsidRDefault="00EB6202">
      <w:pPr>
        <w:spacing w:after="228"/>
        <w:ind w:left="-5" w:right="41"/>
      </w:pPr>
      <w:r>
        <w:rPr>
          <w:sz w:val="20"/>
        </w:rPr>
        <w:t xml:space="preserve">3.1. V případě ukončení smluvního vztahu je Poskytovatel bezodkladně a řádně povinen: </w:t>
      </w:r>
    </w:p>
    <w:p w:rsidR="00EF3FBA" w:rsidRDefault="00EB6202">
      <w:pPr>
        <w:numPr>
          <w:ilvl w:val="1"/>
          <w:numId w:val="29"/>
        </w:numPr>
        <w:spacing w:after="193"/>
        <w:ind w:right="41" w:hanging="360"/>
      </w:pPr>
      <w:r>
        <w:rPr>
          <w:sz w:val="20"/>
        </w:rPr>
        <w:t xml:space="preserve">předat veškerá data a informace Nabyvateli v předem dohodnutém formátu, </w:t>
      </w:r>
    </w:p>
    <w:p w:rsidR="00EF3FBA" w:rsidRDefault="00EB6202">
      <w:pPr>
        <w:numPr>
          <w:ilvl w:val="1"/>
          <w:numId w:val="29"/>
        </w:numPr>
        <w:spacing w:after="193"/>
        <w:ind w:right="41" w:hanging="360"/>
      </w:pPr>
      <w:r>
        <w:rPr>
          <w:sz w:val="20"/>
        </w:rPr>
        <w:t xml:space="preserve">bezpečně vymazat všechna data Nabyvatele ze svých systémů, </w:t>
      </w:r>
    </w:p>
    <w:p w:rsidR="00EF3FBA" w:rsidRDefault="00EB6202">
      <w:pPr>
        <w:numPr>
          <w:ilvl w:val="1"/>
          <w:numId w:val="29"/>
        </w:numPr>
        <w:spacing w:after="157"/>
        <w:ind w:right="41" w:hanging="360"/>
      </w:pPr>
      <w:r>
        <w:rPr>
          <w:sz w:val="20"/>
        </w:rPr>
        <w:t xml:space="preserve">předložit Nabyvateli písemné potvrzení o provedení těchto kroků. </w:t>
      </w:r>
    </w:p>
    <w:p w:rsidR="00EF3FBA" w:rsidRDefault="00EB6202">
      <w:pPr>
        <w:pStyle w:val="Nadpis3"/>
        <w:ind w:left="-5" w:right="0"/>
      </w:pPr>
      <w:r>
        <w:t xml:space="preserve">4. Sankce za porušení smluvních povinností </w:t>
      </w:r>
    </w:p>
    <w:p w:rsidR="00EF3FBA" w:rsidRDefault="00EB6202">
      <w:pPr>
        <w:spacing w:after="193"/>
        <w:ind w:left="-5" w:right="41"/>
      </w:pPr>
      <w:r>
        <w:rPr>
          <w:sz w:val="20"/>
        </w:rPr>
        <w:t xml:space="preserve">4.1. V případě porušení povinností Poskytovatele dle tohoto Dodatku je Nabyvatel oprávněn požadovat: </w:t>
      </w:r>
    </w:p>
    <w:p w:rsidR="00EF3FBA" w:rsidRDefault="00EB6202">
      <w:pPr>
        <w:numPr>
          <w:ilvl w:val="0"/>
          <w:numId w:val="30"/>
        </w:numPr>
        <w:spacing w:after="229"/>
        <w:ind w:right="41" w:hanging="360"/>
      </w:pPr>
      <w:r>
        <w:rPr>
          <w:sz w:val="20"/>
        </w:rPr>
        <w:t>jednorázovou smluvní pokutu ve výši 10 000 Kč za každé jednotlivé porušení a průběžnou smluvní pokutu ve výši 1 000 Kč za každý započatý den trvání porušení</w:t>
      </w:r>
      <w:proofErr w:type="gramStart"/>
      <w:r>
        <w:rPr>
          <w:sz w:val="20"/>
        </w:rPr>
        <w:t>, ,</w:t>
      </w:r>
      <w:proofErr w:type="gramEnd"/>
      <w:r>
        <w:rPr>
          <w:sz w:val="20"/>
        </w:rPr>
        <w:t xml:space="preserve"> </w:t>
      </w:r>
    </w:p>
    <w:p w:rsidR="00EF3FBA" w:rsidRDefault="00EB6202">
      <w:pPr>
        <w:numPr>
          <w:ilvl w:val="0"/>
          <w:numId w:val="30"/>
        </w:numPr>
        <w:spacing w:after="193"/>
        <w:ind w:right="41" w:hanging="360"/>
      </w:pPr>
      <w:r>
        <w:rPr>
          <w:sz w:val="20"/>
        </w:rPr>
        <w:t xml:space="preserve">náhradu škody v plné výši, </w:t>
      </w:r>
    </w:p>
    <w:p w:rsidR="00EF3FBA" w:rsidRDefault="00EB6202">
      <w:pPr>
        <w:numPr>
          <w:ilvl w:val="0"/>
          <w:numId w:val="30"/>
        </w:numPr>
        <w:spacing w:after="157"/>
        <w:ind w:right="41" w:hanging="360"/>
      </w:pPr>
      <w:r>
        <w:rPr>
          <w:sz w:val="20"/>
        </w:rPr>
        <w:t xml:space="preserve">ukončení smlouvy s okamžitou platností a odstoupit od smlouvy. </w:t>
      </w:r>
    </w:p>
    <w:p w:rsidR="00EF3FBA" w:rsidRDefault="00EB6202">
      <w:pPr>
        <w:pStyle w:val="Nadpis3"/>
        <w:ind w:left="-5" w:right="0"/>
      </w:pPr>
      <w:r>
        <w:lastRenderedPageBreak/>
        <w:t xml:space="preserve">5. Oprávnění užívat data </w:t>
      </w:r>
    </w:p>
    <w:p w:rsidR="00EF3FBA" w:rsidRDefault="00EB6202">
      <w:pPr>
        <w:spacing w:after="193"/>
        <w:ind w:left="-5" w:right="41"/>
      </w:pPr>
      <w:r>
        <w:rPr>
          <w:sz w:val="20"/>
        </w:rPr>
        <w:t xml:space="preserve">5.1. Poskytovatel je oprávněn užívat data Nabyvatele pouze za účelem plnění této smlouvy a pouze v rozsahu nezbytném pro poskytování služeb. </w:t>
      </w:r>
    </w:p>
    <w:p w:rsidR="00EF3FBA" w:rsidRDefault="00EB6202">
      <w:pPr>
        <w:spacing w:after="193"/>
        <w:ind w:left="-5" w:right="41"/>
      </w:pPr>
      <w:r>
        <w:rPr>
          <w:sz w:val="20"/>
        </w:rPr>
        <w:t xml:space="preserve">5.2. Jakékoliv jiné použití dat Nabyvatele je možné pouze s předchozím písemným souhlasem Nabyvatele. </w:t>
      </w:r>
    </w:p>
    <w:p w:rsidR="00EF3FBA" w:rsidRDefault="00EB6202">
      <w:pPr>
        <w:numPr>
          <w:ilvl w:val="0"/>
          <w:numId w:val="31"/>
        </w:numPr>
        <w:spacing w:after="179" w:line="259" w:lineRule="auto"/>
        <w:ind w:hanging="201"/>
        <w:jc w:val="left"/>
      </w:pPr>
      <w:r>
        <w:rPr>
          <w:b/>
          <w:sz w:val="20"/>
        </w:rPr>
        <w:t xml:space="preserve">Autorské právo a licence </w:t>
      </w:r>
    </w:p>
    <w:p w:rsidR="00EF3FBA" w:rsidRDefault="00EB6202">
      <w:pPr>
        <w:numPr>
          <w:ilvl w:val="1"/>
          <w:numId w:val="31"/>
        </w:numPr>
        <w:spacing w:after="193"/>
        <w:ind w:right="41" w:hanging="345"/>
      </w:pPr>
      <w:r>
        <w:rPr>
          <w:sz w:val="20"/>
        </w:rPr>
        <w:t xml:space="preserve">Veškerý programový kód, software a dokumentace vytvořená Poskytovatelem v rámci této smlouvy je výhradním vlastnictvím Nabyvatele, pokud není výslovně sjednáno jinak. </w:t>
      </w:r>
      <w:r>
        <w:rPr>
          <w:b/>
          <w:sz w:val="20"/>
        </w:rPr>
        <w:t xml:space="preserve">To neplatí, pokud je předmětem smlouvy využití licence jiné osoby v souladu s právním řádem ČR a EU. </w:t>
      </w:r>
    </w:p>
    <w:p w:rsidR="00EF3FBA" w:rsidRDefault="00EB6202">
      <w:pPr>
        <w:numPr>
          <w:ilvl w:val="1"/>
          <w:numId w:val="31"/>
        </w:numPr>
        <w:spacing w:after="193"/>
        <w:ind w:right="41" w:hanging="345"/>
      </w:pPr>
      <w:r>
        <w:rPr>
          <w:sz w:val="20"/>
        </w:rPr>
        <w:t xml:space="preserve">Poskytovatel je povinen předat Nabyvateli veškerý zdrojový kód, dokumentaci a potřebné licence k užívání, úpravám a dalšímu rozvoji. </w:t>
      </w:r>
    </w:p>
    <w:p w:rsidR="00EF3FBA" w:rsidRDefault="00EB6202">
      <w:pPr>
        <w:numPr>
          <w:ilvl w:val="1"/>
          <w:numId w:val="31"/>
        </w:numPr>
        <w:spacing w:after="193"/>
        <w:ind w:right="41" w:hanging="345"/>
      </w:pPr>
      <w:r>
        <w:rPr>
          <w:sz w:val="20"/>
        </w:rPr>
        <w:t xml:space="preserve">Převod nebo licencování práv třetím stranám je možný pouze s předchozím písemným souhlasem Nabyvatele. </w:t>
      </w:r>
    </w:p>
    <w:p w:rsidR="00EF3FBA" w:rsidRDefault="00EB6202">
      <w:pPr>
        <w:pStyle w:val="Nadpis3"/>
        <w:ind w:left="-5" w:right="0"/>
      </w:pPr>
      <w:r>
        <w:t xml:space="preserve">7. Důvěrnost </w:t>
      </w:r>
    </w:p>
    <w:p w:rsidR="00EF3FBA" w:rsidRDefault="00EB6202">
      <w:pPr>
        <w:spacing w:after="193"/>
        <w:ind w:left="-5" w:right="41"/>
      </w:pPr>
      <w:r>
        <w:rPr>
          <w:sz w:val="20"/>
        </w:rPr>
        <w:t xml:space="preserve">7.1. Za důvěrné informace se považují veškeré informace, dokumenty a data, které si Smluvní strany předají v souvislosti s plněním této smlouvy. </w:t>
      </w:r>
    </w:p>
    <w:p w:rsidR="00EF3FBA" w:rsidRDefault="00EB6202">
      <w:pPr>
        <w:spacing w:after="193"/>
        <w:ind w:left="-5" w:right="41"/>
      </w:pPr>
      <w:r>
        <w:rPr>
          <w:sz w:val="20"/>
        </w:rPr>
        <w:t xml:space="preserve">7.2. Poskytovatel je povinen chránit důvěrné informace před neoprávněným přístupem a zveřejněním. </w:t>
      </w:r>
    </w:p>
    <w:p w:rsidR="00EF3FBA" w:rsidRDefault="00EB6202">
      <w:pPr>
        <w:spacing w:after="193"/>
        <w:ind w:left="-5" w:right="41"/>
      </w:pPr>
      <w:r>
        <w:rPr>
          <w:sz w:val="20"/>
        </w:rPr>
        <w:t xml:space="preserve">7.3. Povinnost mlčenlivosti trvá po dobu trvání smlouvy a ještě 5 let po jejím ukončení. </w:t>
      </w:r>
    </w:p>
    <w:p w:rsidR="00EF3FBA" w:rsidRDefault="00EB6202">
      <w:pPr>
        <w:pStyle w:val="Nadpis3"/>
        <w:ind w:left="-5" w:right="0"/>
      </w:pPr>
      <w:r>
        <w:t xml:space="preserve">8. Povinnost dodržovat pravidla pro poskytovatele </w:t>
      </w:r>
    </w:p>
    <w:p w:rsidR="00EF3FBA" w:rsidRDefault="00EB6202">
      <w:pPr>
        <w:spacing w:after="193"/>
        <w:ind w:left="-5" w:right="41"/>
      </w:pPr>
      <w:r>
        <w:rPr>
          <w:sz w:val="20"/>
        </w:rPr>
        <w:t xml:space="preserve">8.1. Poskytovatel zajistí, že jeho zaměstnanci a </w:t>
      </w:r>
      <w:proofErr w:type="spellStart"/>
      <w:r>
        <w:rPr>
          <w:sz w:val="20"/>
        </w:rPr>
        <w:t>subposkytovatelé</w:t>
      </w:r>
      <w:proofErr w:type="spellEnd"/>
      <w:r>
        <w:rPr>
          <w:sz w:val="20"/>
        </w:rPr>
        <w:t xml:space="preserve"> budou prokazatelně seznámeni se všemi pravidly a požadavky této smlouvy a všech jejích případných dodatků a náležitě zajistí, že je budou dodržovat. </w:t>
      </w:r>
    </w:p>
    <w:p w:rsidR="00EF3FBA" w:rsidRDefault="00EB6202">
      <w:pPr>
        <w:pStyle w:val="Nadpis3"/>
        <w:ind w:left="-5" w:right="0"/>
      </w:pPr>
      <w:r>
        <w:t xml:space="preserve">9. Řízení změn </w:t>
      </w:r>
    </w:p>
    <w:p w:rsidR="00EF3FBA" w:rsidRDefault="00EB6202">
      <w:pPr>
        <w:spacing w:after="193"/>
        <w:ind w:left="-5" w:right="41"/>
      </w:pPr>
      <w:r>
        <w:rPr>
          <w:sz w:val="20"/>
        </w:rPr>
        <w:t xml:space="preserve">9.1. Poskytovatel je povinen zavést postupy pro identifikaci, hodnocení, schvalování a implementaci změn, které mohou ovlivnit kybernetickou bezpečnost. </w:t>
      </w:r>
    </w:p>
    <w:p w:rsidR="00EF3FBA" w:rsidRDefault="00EB6202">
      <w:pPr>
        <w:spacing w:after="193"/>
        <w:ind w:left="-5" w:right="41"/>
      </w:pPr>
      <w:r>
        <w:rPr>
          <w:sz w:val="20"/>
        </w:rPr>
        <w:t xml:space="preserve">9.2. Za významné změny se považují změny, které mají nebo mohou mít vliv na kybernetickou bezpečnost a představují vysoké riziko. </w:t>
      </w:r>
    </w:p>
    <w:p w:rsidR="00EF3FBA" w:rsidRDefault="00EB6202">
      <w:pPr>
        <w:spacing w:after="193"/>
        <w:ind w:left="-5" w:right="41"/>
      </w:pPr>
      <w:r>
        <w:rPr>
          <w:sz w:val="20"/>
        </w:rPr>
        <w:t xml:space="preserve">9.3. Poskytovatel je povinen o všech významných změnách předem včas a dostatečně řádně informovat Nabyvatele a realizovat příslušná bezpečnostní opatření dle platné legislativy. </w:t>
      </w:r>
    </w:p>
    <w:p w:rsidR="00EF3FBA" w:rsidRDefault="00EB6202">
      <w:pPr>
        <w:pStyle w:val="Nadpis3"/>
        <w:ind w:left="-5" w:right="0"/>
      </w:pPr>
      <w:r>
        <w:t xml:space="preserve">10. Kybernetické bezpečnostní incidenty </w:t>
      </w:r>
    </w:p>
    <w:p w:rsidR="00EF3FBA" w:rsidRDefault="00EB6202">
      <w:pPr>
        <w:spacing w:after="193"/>
        <w:ind w:left="-5" w:right="41"/>
      </w:pPr>
      <w:r>
        <w:rPr>
          <w:sz w:val="20"/>
        </w:rPr>
        <w:t xml:space="preserve">10.1. Poskytovatel je povinen zajistit plnou součinnost při řešení incidentů a minimalizovat jejich dopady. </w:t>
      </w:r>
    </w:p>
    <w:p w:rsidR="00EF3FBA" w:rsidRDefault="00EB6202">
      <w:pPr>
        <w:spacing w:after="193"/>
        <w:ind w:left="-5" w:right="41"/>
      </w:pPr>
      <w:r>
        <w:rPr>
          <w:sz w:val="20"/>
        </w:rPr>
        <w:t xml:space="preserve">10.2. Poskytovatel je povinen mít stanoveny interní postupy, role a odpovědnosti pro rychlé a účinné zvládání bezpečnostních incidentů a tyto na vyžádání předložit Nabyvateli. </w:t>
      </w:r>
    </w:p>
    <w:p w:rsidR="00EF3FBA" w:rsidRDefault="00EB6202">
      <w:pPr>
        <w:pStyle w:val="Nadpis3"/>
        <w:ind w:left="-5" w:right="0"/>
      </w:pPr>
      <w:r>
        <w:t xml:space="preserve">11. Řízení kontinuity činností </w:t>
      </w:r>
    </w:p>
    <w:p w:rsidR="00EF3FBA" w:rsidRDefault="00EB6202">
      <w:pPr>
        <w:spacing w:after="90"/>
        <w:ind w:left="-5" w:right="41"/>
      </w:pPr>
      <w:r>
        <w:rPr>
          <w:sz w:val="20"/>
        </w:rPr>
        <w:t xml:space="preserve">11.1. Poskytovatel je povinen předat řádně a včas předem Nabyvateli plány obnovy provozu, zálohování dat a zajištění alternativních zdrojů. </w:t>
      </w:r>
    </w:p>
    <w:p w:rsidR="00EF3FBA" w:rsidRDefault="00EB6202">
      <w:pPr>
        <w:spacing w:after="0" w:line="259" w:lineRule="auto"/>
        <w:ind w:left="0" w:firstLine="0"/>
        <w:jc w:val="left"/>
      </w:pPr>
      <w:r>
        <w:rPr>
          <w:sz w:val="20"/>
        </w:rPr>
        <w:t xml:space="preserve"> </w:t>
      </w:r>
    </w:p>
    <w:p w:rsidR="00EF3FBA" w:rsidRDefault="00EB6202">
      <w:pPr>
        <w:spacing w:after="0" w:line="259" w:lineRule="auto"/>
        <w:ind w:left="0" w:firstLine="0"/>
        <w:jc w:val="left"/>
      </w:pPr>
      <w:r>
        <w:t xml:space="preserve"> </w:t>
      </w:r>
    </w:p>
    <w:sectPr w:rsidR="00EF3FBA">
      <w:headerReference w:type="even" r:id="rId29"/>
      <w:headerReference w:type="default" r:id="rId30"/>
      <w:footerReference w:type="even" r:id="rId31"/>
      <w:footerReference w:type="default" r:id="rId32"/>
      <w:headerReference w:type="first" r:id="rId33"/>
      <w:footerReference w:type="first" r:id="rId34"/>
      <w:pgSz w:w="11906" w:h="16841"/>
      <w:pgMar w:top="750" w:right="1359" w:bottom="1421" w:left="1419"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EAD" w:rsidRDefault="00862EAD">
      <w:pPr>
        <w:spacing w:after="0" w:line="240" w:lineRule="auto"/>
      </w:pPr>
      <w:r>
        <w:separator/>
      </w:r>
    </w:p>
  </w:endnote>
  <w:endnote w:type="continuationSeparator" w:id="0">
    <w:p w:rsidR="00862EAD" w:rsidRDefault="0086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B6202">
    <w:pPr>
      <w:spacing w:after="0" w:line="259" w:lineRule="auto"/>
      <w:ind w:left="3" w:firstLine="0"/>
      <w:jc w:val="center"/>
    </w:pPr>
    <w:r>
      <w:fldChar w:fldCharType="begin"/>
    </w:r>
    <w:r>
      <w:instrText xml:space="preserve"> PAGE   \* MERGEFORMAT </w:instrText>
    </w:r>
    <w:r>
      <w:fldChar w:fldCharType="separate"/>
    </w:r>
    <w:r>
      <w:t>1</w:t>
    </w:r>
    <w:r>
      <w:fldChar w:fldCharType="end"/>
    </w:r>
    <w:r>
      <w:rPr>
        <w:rFonts w:ascii="Arial" w:eastAsia="Arial" w:hAnsi="Arial" w:cs="Arial"/>
        <w:sz w:val="20"/>
      </w:rPr>
      <w:t xml:space="preserve"> </w:t>
    </w:r>
  </w:p>
  <w:p w:rsidR="00EF3FBA" w:rsidRDefault="00EB6202">
    <w:pPr>
      <w:spacing w:after="0" w:line="259" w:lineRule="auto"/>
      <w:ind w:left="7"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B6202">
    <w:pPr>
      <w:spacing w:after="0" w:line="259" w:lineRule="auto"/>
      <w:ind w:left="3" w:firstLine="0"/>
      <w:jc w:val="center"/>
    </w:pPr>
    <w:r>
      <w:fldChar w:fldCharType="begin"/>
    </w:r>
    <w:r>
      <w:instrText xml:space="preserve"> PAGE   \* MERGEFORMAT </w:instrText>
    </w:r>
    <w:r>
      <w:fldChar w:fldCharType="separate"/>
    </w:r>
    <w:r>
      <w:t>1</w:t>
    </w:r>
    <w:r>
      <w:fldChar w:fldCharType="end"/>
    </w:r>
    <w:r>
      <w:rPr>
        <w:rFonts w:ascii="Arial" w:eastAsia="Arial" w:hAnsi="Arial" w:cs="Arial"/>
        <w:sz w:val="20"/>
      </w:rPr>
      <w:t xml:space="preserve"> </w:t>
    </w:r>
  </w:p>
  <w:p w:rsidR="00EF3FBA" w:rsidRDefault="00EB6202">
    <w:pPr>
      <w:spacing w:after="0" w:line="259" w:lineRule="auto"/>
      <w:ind w:left="7"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B6202">
    <w:pPr>
      <w:spacing w:after="0" w:line="259" w:lineRule="auto"/>
      <w:ind w:left="3" w:firstLine="0"/>
      <w:jc w:val="center"/>
    </w:pPr>
    <w:r>
      <w:fldChar w:fldCharType="begin"/>
    </w:r>
    <w:r>
      <w:instrText xml:space="preserve"> PAGE   \* MERGEFORMAT </w:instrText>
    </w:r>
    <w:r>
      <w:fldChar w:fldCharType="separate"/>
    </w:r>
    <w:r>
      <w:t>1</w:t>
    </w:r>
    <w:r>
      <w:fldChar w:fldCharType="end"/>
    </w:r>
    <w:r>
      <w:rPr>
        <w:rFonts w:ascii="Arial" w:eastAsia="Arial" w:hAnsi="Arial" w:cs="Arial"/>
        <w:sz w:val="20"/>
      </w:rPr>
      <w:t xml:space="preserve"> </w:t>
    </w:r>
  </w:p>
  <w:p w:rsidR="00EF3FBA" w:rsidRDefault="00EB6202">
    <w:pPr>
      <w:spacing w:after="0" w:line="259" w:lineRule="auto"/>
      <w:ind w:left="7" w:firstLine="0"/>
      <w:jc w:val="lef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B6202">
    <w:pPr>
      <w:spacing w:after="0" w:line="259" w:lineRule="auto"/>
      <w:ind w:left="0" w:right="56" w:firstLine="0"/>
      <w:jc w:val="center"/>
    </w:pPr>
    <w:r>
      <w:fldChar w:fldCharType="begin"/>
    </w:r>
    <w:r>
      <w:instrText xml:space="preserve"> PAGE   \* MERGEFORMAT </w:instrText>
    </w:r>
    <w:r>
      <w:fldChar w:fldCharType="separate"/>
    </w:r>
    <w:r>
      <w:t>1</w:t>
    </w:r>
    <w:r>
      <w:fldChar w:fldCharType="end"/>
    </w:r>
    <w:r>
      <w:rPr>
        <w:rFonts w:ascii="Arial" w:eastAsia="Arial" w:hAnsi="Arial" w:cs="Arial"/>
        <w:sz w:val="20"/>
      </w:rPr>
      <w:t xml:space="preserve"> </w:t>
    </w:r>
  </w:p>
  <w:p w:rsidR="00EF3FBA" w:rsidRDefault="00EB6202">
    <w:pPr>
      <w:spacing w:after="0" w:line="259" w:lineRule="auto"/>
      <w:ind w:left="0" w:firstLine="0"/>
      <w:jc w:val="lef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B6202">
    <w:pPr>
      <w:spacing w:after="0" w:line="259" w:lineRule="auto"/>
      <w:ind w:left="0" w:right="56" w:firstLine="0"/>
      <w:jc w:val="center"/>
    </w:pPr>
    <w:r>
      <w:fldChar w:fldCharType="begin"/>
    </w:r>
    <w:r>
      <w:instrText xml:space="preserve"> PAGE   \* MERGEFORMAT </w:instrText>
    </w:r>
    <w:r>
      <w:fldChar w:fldCharType="separate"/>
    </w:r>
    <w:r>
      <w:t>1</w:t>
    </w:r>
    <w:r>
      <w:fldChar w:fldCharType="end"/>
    </w:r>
    <w:r>
      <w:rPr>
        <w:rFonts w:ascii="Arial" w:eastAsia="Arial" w:hAnsi="Arial" w:cs="Arial"/>
        <w:sz w:val="20"/>
      </w:rPr>
      <w:t xml:space="preserve"> </w:t>
    </w:r>
  </w:p>
  <w:p w:rsidR="00EF3FBA" w:rsidRDefault="00EB6202">
    <w:pPr>
      <w:spacing w:after="0" w:line="259" w:lineRule="auto"/>
      <w:ind w:left="0" w:firstLine="0"/>
      <w:jc w:val="left"/>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B6202">
    <w:pPr>
      <w:spacing w:after="0" w:line="259" w:lineRule="auto"/>
      <w:ind w:left="0" w:right="56" w:firstLine="0"/>
      <w:jc w:val="center"/>
    </w:pPr>
    <w:r>
      <w:fldChar w:fldCharType="begin"/>
    </w:r>
    <w:r>
      <w:instrText xml:space="preserve"> PAGE   \* MERGEFORMAT </w:instrText>
    </w:r>
    <w:r>
      <w:fldChar w:fldCharType="separate"/>
    </w:r>
    <w:r>
      <w:t>1</w:t>
    </w:r>
    <w:r>
      <w:fldChar w:fldCharType="end"/>
    </w:r>
    <w:r>
      <w:rPr>
        <w:rFonts w:ascii="Arial" w:eastAsia="Arial" w:hAnsi="Arial" w:cs="Arial"/>
        <w:sz w:val="20"/>
      </w:rPr>
      <w:t xml:space="preserve"> </w:t>
    </w:r>
  </w:p>
  <w:p w:rsidR="00EF3FBA" w:rsidRDefault="00EB6202">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EAD" w:rsidRDefault="00862EAD">
      <w:pPr>
        <w:spacing w:after="0" w:line="240" w:lineRule="auto"/>
      </w:pPr>
      <w:r>
        <w:separator/>
      </w:r>
    </w:p>
  </w:footnote>
  <w:footnote w:type="continuationSeparator" w:id="0">
    <w:p w:rsidR="00862EAD" w:rsidRDefault="0086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B6202">
    <w:pPr>
      <w:spacing w:after="0" w:line="259" w:lineRule="auto"/>
      <w:ind w:left="0" w:right="5" w:firstLine="0"/>
      <w:jc w:val="right"/>
    </w:pPr>
    <w:r>
      <w:rPr>
        <w:sz w:val="20"/>
      </w:rPr>
      <w:t>Číslo smlouvy:</w:t>
    </w:r>
    <w:r>
      <w:rPr>
        <w:b/>
        <w:sz w:val="20"/>
      </w:rPr>
      <w:t xml:space="preserve"> </w:t>
    </w:r>
    <w:r>
      <w:rPr>
        <w:sz w:val="20"/>
      </w:rPr>
      <w:t xml:space="preserve"> </w:t>
    </w:r>
  </w:p>
  <w:p w:rsidR="00EF3FBA" w:rsidRDefault="00EB6202">
    <w:pPr>
      <w:spacing w:after="0" w:line="259" w:lineRule="auto"/>
      <w:ind w:left="0" w:right="-52" w:firstLine="0"/>
      <w:jc w:val="right"/>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Pr="00C04ADF" w:rsidRDefault="00EB6202" w:rsidP="00C04ADF">
    <w:pPr>
      <w:spacing w:after="0" w:line="259" w:lineRule="auto"/>
      <w:ind w:left="0" w:right="5" w:firstLine="0"/>
      <w:jc w:val="right"/>
      <w:rPr>
        <w:sz w:val="20"/>
      </w:rPr>
    </w:pPr>
    <w:r>
      <w:rPr>
        <w:sz w:val="20"/>
      </w:rPr>
      <w:t>Číslo smlouvy:</w:t>
    </w:r>
    <w:r w:rsidR="00C04ADF">
      <w:rPr>
        <w:sz w:val="20"/>
      </w:rPr>
      <w:t xml:space="preserve"> 548/2025</w:t>
    </w:r>
    <w:r w:rsidR="00C04ADF">
      <w:rPr>
        <w:sz w:val="20"/>
      </w:rPr>
      <w:tab/>
    </w:r>
    <w:r>
      <w:rPr>
        <w:b/>
        <w:sz w:val="20"/>
      </w:rPr>
      <w:t xml:space="preserve"> </w:t>
    </w:r>
    <w:r>
      <w:rPr>
        <w:sz w:val="20"/>
      </w:rPr>
      <w:t xml:space="preserve"> </w:t>
    </w:r>
  </w:p>
  <w:p w:rsidR="00EF3FBA" w:rsidRDefault="00EB6202">
    <w:pPr>
      <w:spacing w:after="0" w:line="259" w:lineRule="auto"/>
      <w:ind w:left="0" w:right="-52" w:firstLine="0"/>
      <w:jc w:val="right"/>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B6202">
    <w:pPr>
      <w:spacing w:after="0" w:line="259" w:lineRule="auto"/>
      <w:ind w:left="0" w:right="5" w:firstLine="0"/>
      <w:jc w:val="right"/>
    </w:pPr>
    <w:r>
      <w:rPr>
        <w:sz w:val="20"/>
      </w:rPr>
      <w:t>Číslo smlouvy:</w:t>
    </w:r>
    <w:r>
      <w:rPr>
        <w:b/>
        <w:sz w:val="20"/>
      </w:rPr>
      <w:t xml:space="preserve"> </w:t>
    </w:r>
    <w:r>
      <w:rPr>
        <w:sz w:val="20"/>
      </w:rPr>
      <w:t xml:space="preserve"> </w:t>
    </w:r>
  </w:p>
  <w:p w:rsidR="00EF3FBA" w:rsidRDefault="00EB6202">
    <w:pPr>
      <w:spacing w:after="0" w:line="259" w:lineRule="auto"/>
      <w:ind w:left="0" w:right="-52" w:firstLine="0"/>
      <w:jc w:val="right"/>
    </w:pPr>
    <w:r>
      <w:rPr>
        <w:rFonts w:ascii="Arial" w:eastAsia="Arial" w:hAnsi="Arial" w:cs="Arial"/>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F3FB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F3FBA">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FBA" w:rsidRDefault="00EF3FB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6519"/>
    <w:multiLevelType w:val="hybridMultilevel"/>
    <w:tmpl w:val="5B5085BA"/>
    <w:lvl w:ilvl="0" w:tplc="9FECCD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F24FDC">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0A8D14">
      <w:start w:val="1"/>
      <w:numFmt w:val="lowerLetter"/>
      <w:lvlRestart w:val="0"/>
      <w:lvlText w:val="%3)"/>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4A52F0">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CC200">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F07820">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8A92CE">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A076F0">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0A256">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612775"/>
    <w:multiLevelType w:val="hybridMultilevel"/>
    <w:tmpl w:val="BB263AA4"/>
    <w:lvl w:ilvl="0" w:tplc="0548EDB2">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EEF7E4">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2E0FF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8453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84FB0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04B4C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E6594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AA13C6">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70A41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5C5239"/>
    <w:multiLevelType w:val="hybridMultilevel"/>
    <w:tmpl w:val="25B4D8F6"/>
    <w:lvl w:ilvl="0" w:tplc="11C4E68E">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0448E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3E3584">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26CFA">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48F526">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AACB5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48438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063D5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1AD05C">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278F2"/>
    <w:multiLevelType w:val="hybridMultilevel"/>
    <w:tmpl w:val="5314C1B4"/>
    <w:lvl w:ilvl="0" w:tplc="BF5CE0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36AE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1A45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CE26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1C79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8209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78AF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1E0D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FAAE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2877DD"/>
    <w:multiLevelType w:val="hybridMultilevel"/>
    <w:tmpl w:val="5192E488"/>
    <w:lvl w:ilvl="0" w:tplc="E89E9C22">
      <w:start w:val="3"/>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9B097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A8DD2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60752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FC1D9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64900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2468F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F0D98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DAAAB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87144A"/>
    <w:multiLevelType w:val="hybridMultilevel"/>
    <w:tmpl w:val="097E6740"/>
    <w:lvl w:ilvl="0" w:tplc="5770B9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4022C0">
      <w:start w:val="1"/>
      <w:numFmt w:val="lowerLetter"/>
      <w:lvlRestart w:val="0"/>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888142">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F0A06C">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80088">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AC8B8">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E261A">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0A04A6">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647152">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37407B"/>
    <w:multiLevelType w:val="hybridMultilevel"/>
    <w:tmpl w:val="FDF0A56C"/>
    <w:lvl w:ilvl="0" w:tplc="C206F4AA">
      <w:start w:val="1"/>
      <w:numFmt w:val="lowerLetter"/>
      <w:lvlText w:val="%1)"/>
      <w:lvlJc w:val="left"/>
      <w:pPr>
        <w:ind w:left="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527DFE">
      <w:start w:val="1"/>
      <w:numFmt w:val="lowerLetter"/>
      <w:lvlText w:val="%2"/>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A003BA">
      <w:start w:val="1"/>
      <w:numFmt w:val="lowerRoman"/>
      <w:lvlText w:val="%3"/>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8D900">
      <w:start w:val="1"/>
      <w:numFmt w:val="decimal"/>
      <w:lvlText w:val="%4"/>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E1BC8">
      <w:start w:val="1"/>
      <w:numFmt w:val="lowerLetter"/>
      <w:lvlText w:val="%5"/>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F82064">
      <w:start w:val="1"/>
      <w:numFmt w:val="lowerRoman"/>
      <w:lvlText w:val="%6"/>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782258">
      <w:start w:val="1"/>
      <w:numFmt w:val="decimal"/>
      <w:lvlText w:val="%7"/>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2AE936">
      <w:start w:val="1"/>
      <w:numFmt w:val="lowerLetter"/>
      <w:lvlText w:val="%8"/>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628944">
      <w:start w:val="1"/>
      <w:numFmt w:val="lowerRoman"/>
      <w:lvlText w:val="%9"/>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BB3714"/>
    <w:multiLevelType w:val="hybridMultilevel"/>
    <w:tmpl w:val="8278D222"/>
    <w:lvl w:ilvl="0" w:tplc="FD902D36">
      <w:start w:val="1"/>
      <w:numFmt w:val="lowerLetter"/>
      <w:lvlText w:val="%1)"/>
      <w:lvlJc w:val="left"/>
      <w:pPr>
        <w:ind w:left="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367A70">
      <w:start w:val="1"/>
      <w:numFmt w:val="lowerLetter"/>
      <w:lvlText w:val="%2"/>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ACA8A8">
      <w:start w:val="1"/>
      <w:numFmt w:val="lowerRoman"/>
      <w:lvlText w:val="%3"/>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7425D2">
      <w:start w:val="1"/>
      <w:numFmt w:val="decimal"/>
      <w:lvlText w:val="%4"/>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6E9DE6">
      <w:start w:val="1"/>
      <w:numFmt w:val="lowerLetter"/>
      <w:lvlText w:val="%5"/>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EFA7A">
      <w:start w:val="1"/>
      <w:numFmt w:val="lowerRoman"/>
      <w:lvlText w:val="%6"/>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A62C90">
      <w:start w:val="1"/>
      <w:numFmt w:val="decimal"/>
      <w:lvlText w:val="%7"/>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4EB81A">
      <w:start w:val="1"/>
      <w:numFmt w:val="lowerLetter"/>
      <w:lvlText w:val="%8"/>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46F10">
      <w:start w:val="1"/>
      <w:numFmt w:val="lowerRoman"/>
      <w:lvlText w:val="%9"/>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F62032"/>
    <w:multiLevelType w:val="hybridMultilevel"/>
    <w:tmpl w:val="C7E8C92E"/>
    <w:lvl w:ilvl="0" w:tplc="78AA8700">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3629B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26532">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30043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1EAFF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A461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D2B07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B46AA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6E8FB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7C3185"/>
    <w:multiLevelType w:val="hybridMultilevel"/>
    <w:tmpl w:val="D728BE38"/>
    <w:lvl w:ilvl="0" w:tplc="FE12C1C6">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D610C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A89988">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F63F6C">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E2CDA0">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34991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C0E76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DC2CF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14708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1B07C2"/>
    <w:multiLevelType w:val="hybridMultilevel"/>
    <w:tmpl w:val="89E8FD32"/>
    <w:lvl w:ilvl="0" w:tplc="036465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10B5D6">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FCE696">
      <w:start w:val="1"/>
      <w:numFmt w:val="lowerLetter"/>
      <w:lvlRestart w:val="0"/>
      <w:lvlText w:val="%3)"/>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7AA0C6">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585414">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ACD186">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06BCAE">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9AFE94">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06A986">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E46B8C"/>
    <w:multiLevelType w:val="hybridMultilevel"/>
    <w:tmpl w:val="4AC2502E"/>
    <w:lvl w:ilvl="0" w:tplc="509004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5C2F2C">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D22958">
      <w:start w:val="1"/>
      <w:numFmt w:val="lowerLetter"/>
      <w:lvlRestart w:val="0"/>
      <w:lvlText w:val="%3)"/>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F21E54">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0CEC1E">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264BB0">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F4C782">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86B232">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20D30C">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961AF4"/>
    <w:multiLevelType w:val="hybridMultilevel"/>
    <w:tmpl w:val="65F6E8E0"/>
    <w:lvl w:ilvl="0" w:tplc="954ACB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02C932">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E483BC">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08EBD0">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6E8C12">
      <w:start w:val="1"/>
      <w:numFmt w:val="lowerLetter"/>
      <w:lvlText w:val="%5"/>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3EB8A2">
      <w:start w:val="1"/>
      <w:numFmt w:val="lowerRoman"/>
      <w:lvlText w:val="%6"/>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E89FFE">
      <w:start w:val="1"/>
      <w:numFmt w:val="decimal"/>
      <w:lvlText w:val="%7"/>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C0422">
      <w:start w:val="1"/>
      <w:numFmt w:val="lowerLetter"/>
      <w:lvlText w:val="%8"/>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EE1C1A">
      <w:start w:val="1"/>
      <w:numFmt w:val="lowerRoman"/>
      <w:lvlText w:val="%9"/>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DE3215"/>
    <w:multiLevelType w:val="hybridMultilevel"/>
    <w:tmpl w:val="3918A2DC"/>
    <w:lvl w:ilvl="0" w:tplc="703AE4FA">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48228">
      <w:start w:val="1"/>
      <w:numFmt w:val="bullet"/>
      <w:lvlText w:val="o"/>
      <w:lvlJc w:val="left"/>
      <w:pPr>
        <w:ind w:left="2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B02564">
      <w:start w:val="1"/>
      <w:numFmt w:val="bullet"/>
      <w:lvlText w:val="▪"/>
      <w:lvlJc w:val="left"/>
      <w:pPr>
        <w:ind w:left="3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4E134C">
      <w:start w:val="1"/>
      <w:numFmt w:val="bullet"/>
      <w:lvlText w:val="•"/>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7EA440">
      <w:start w:val="1"/>
      <w:numFmt w:val="bullet"/>
      <w:lvlText w:val="o"/>
      <w:lvlJc w:val="left"/>
      <w:pPr>
        <w:ind w:left="4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9EDE7C">
      <w:start w:val="1"/>
      <w:numFmt w:val="bullet"/>
      <w:lvlText w:val="▪"/>
      <w:lvlJc w:val="left"/>
      <w:pPr>
        <w:ind w:left="5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8C9454">
      <w:start w:val="1"/>
      <w:numFmt w:val="bullet"/>
      <w:lvlText w:val="•"/>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9216C2">
      <w:start w:val="1"/>
      <w:numFmt w:val="bullet"/>
      <w:lvlText w:val="o"/>
      <w:lvlJc w:val="left"/>
      <w:pPr>
        <w:ind w:left="6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FCD762">
      <w:start w:val="1"/>
      <w:numFmt w:val="bullet"/>
      <w:lvlText w:val="▪"/>
      <w:lvlJc w:val="left"/>
      <w:pPr>
        <w:ind w:left="7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104995"/>
    <w:multiLevelType w:val="hybridMultilevel"/>
    <w:tmpl w:val="24124C06"/>
    <w:lvl w:ilvl="0" w:tplc="FED835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A48D2C">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CE3AAE">
      <w:start w:val="1"/>
      <w:numFmt w:val="lowerLetter"/>
      <w:lvlRestart w:val="0"/>
      <w:lvlText w:val="%3)"/>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CA78">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FE908E">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76C83C">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2EAB3E">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52FC7C">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18E922">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A351EE"/>
    <w:multiLevelType w:val="hybridMultilevel"/>
    <w:tmpl w:val="B4C20DE4"/>
    <w:lvl w:ilvl="0" w:tplc="4CFCD6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FE248E">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4E30A6">
      <w:start w:val="1"/>
      <w:numFmt w:val="lowerLetter"/>
      <w:lvlRestart w:val="0"/>
      <w:lvlText w:val="%3)"/>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268004">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EE67E8">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7EBA98">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2E117E">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0A896A">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CA4196">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3F3939"/>
    <w:multiLevelType w:val="hybridMultilevel"/>
    <w:tmpl w:val="F1E45AD8"/>
    <w:lvl w:ilvl="0" w:tplc="83A031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BA2A96">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50B34A">
      <w:start w:val="1"/>
      <w:numFmt w:val="lowerLetter"/>
      <w:lvlRestart w:val="0"/>
      <w:lvlText w:val="%3)"/>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D661AE">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F001D4">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0ADEC">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8EC72">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005A46">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A8845A">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6801B1"/>
    <w:multiLevelType w:val="multilevel"/>
    <w:tmpl w:val="41FCEC38"/>
    <w:lvl w:ilvl="0">
      <w:start w:val="6"/>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301507B"/>
    <w:multiLevelType w:val="hybridMultilevel"/>
    <w:tmpl w:val="67D4B0D8"/>
    <w:lvl w:ilvl="0" w:tplc="05EEB5FA">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46EA54">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0BE64">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469060">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EAFD5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904E3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A7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F07FD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D2EC3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35D0851"/>
    <w:multiLevelType w:val="hybridMultilevel"/>
    <w:tmpl w:val="8A8A3BC0"/>
    <w:lvl w:ilvl="0" w:tplc="7F044646">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8AB08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4C728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1477DC">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B28052">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96F62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12147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38D56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34A18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986CF8"/>
    <w:multiLevelType w:val="hybridMultilevel"/>
    <w:tmpl w:val="5BA8CF54"/>
    <w:lvl w:ilvl="0" w:tplc="4AEA5110">
      <w:start w:val="5"/>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AEC82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B03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88D40">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86FD1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92FCE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B4946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7A5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F87AA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ED23E6"/>
    <w:multiLevelType w:val="hybridMultilevel"/>
    <w:tmpl w:val="CABAFFFC"/>
    <w:lvl w:ilvl="0" w:tplc="2C6235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D02EE6">
      <w:start w:val="1"/>
      <w:numFmt w:val="lowerLetter"/>
      <w:lvlRestart w:val="0"/>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1CAFFA">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06D98E">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E219E4">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F08F5E">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6E7B9E">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0AEEAC">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001E92">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C578F3"/>
    <w:multiLevelType w:val="hybridMultilevel"/>
    <w:tmpl w:val="B19AD7A8"/>
    <w:lvl w:ilvl="0" w:tplc="CB54D0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8A2B4A">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CCD95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146D44">
      <w:start w:val="1"/>
      <w:numFmt w:val="lowerLetter"/>
      <w:lvlRestart w:val="0"/>
      <w:lvlText w:val="%4)"/>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C1D74">
      <w:start w:val="1"/>
      <w:numFmt w:val="lowerLetter"/>
      <w:lvlText w:val="%5"/>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42CAAE">
      <w:start w:val="1"/>
      <w:numFmt w:val="lowerRoman"/>
      <w:lvlText w:val="%6"/>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A60122">
      <w:start w:val="1"/>
      <w:numFmt w:val="decimal"/>
      <w:lvlText w:val="%7"/>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F2F6AC">
      <w:start w:val="1"/>
      <w:numFmt w:val="lowerLetter"/>
      <w:lvlText w:val="%8"/>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CE75B0">
      <w:start w:val="1"/>
      <w:numFmt w:val="lowerRoman"/>
      <w:lvlText w:val="%9"/>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980014"/>
    <w:multiLevelType w:val="hybridMultilevel"/>
    <w:tmpl w:val="46767AAE"/>
    <w:lvl w:ilvl="0" w:tplc="E7E265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D0F386">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E8986E">
      <w:start w:val="1"/>
      <w:numFmt w:val="lowerLetter"/>
      <w:lvlRestart w:val="0"/>
      <w:lvlText w:val="%3)"/>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886AAE">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14C934">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083914">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DECE16">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DE6432">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7AA228">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D8F0017"/>
    <w:multiLevelType w:val="hybridMultilevel"/>
    <w:tmpl w:val="5F7C81E0"/>
    <w:lvl w:ilvl="0" w:tplc="DA34810C">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A26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E433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3EEB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0CD0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9646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A2B1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07A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1A0C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935AAF"/>
    <w:multiLevelType w:val="hybridMultilevel"/>
    <w:tmpl w:val="43B86402"/>
    <w:lvl w:ilvl="0" w:tplc="0BF2995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EA659A">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F2C3F8">
      <w:start w:val="1"/>
      <w:numFmt w:val="lowerLetter"/>
      <w:lvlRestart w:val="0"/>
      <w:lvlText w:val="%3)"/>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8890F0">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88704C">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A81676">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A6C6CA">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44F0EC">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5AC4AC">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C133DE"/>
    <w:multiLevelType w:val="hybridMultilevel"/>
    <w:tmpl w:val="EDCC440A"/>
    <w:lvl w:ilvl="0" w:tplc="9E70C1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124E68">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F0B5F8">
      <w:start w:val="1"/>
      <w:numFmt w:val="lowerLetter"/>
      <w:lvlRestart w:val="0"/>
      <w:lvlText w:val="%3)"/>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4858B8">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DE9D70">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0242A8">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5A37FE">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DE05C2">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F42352">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64343D9"/>
    <w:multiLevelType w:val="hybridMultilevel"/>
    <w:tmpl w:val="350C7252"/>
    <w:lvl w:ilvl="0" w:tplc="4FB8D640">
      <w:start w:val="1"/>
      <w:numFmt w:val="lowerLetter"/>
      <w:lvlText w:val="%1)"/>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3A84BC">
      <w:start w:val="1"/>
      <w:numFmt w:val="lowerLetter"/>
      <w:lvlText w:val="%2"/>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8C0460">
      <w:start w:val="1"/>
      <w:numFmt w:val="lowerRoman"/>
      <w:lvlText w:val="%3"/>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86ADB4">
      <w:start w:val="1"/>
      <w:numFmt w:val="decimal"/>
      <w:lvlText w:val="%4"/>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A259DC">
      <w:start w:val="1"/>
      <w:numFmt w:val="lowerLetter"/>
      <w:lvlText w:val="%5"/>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C49904">
      <w:start w:val="1"/>
      <w:numFmt w:val="lowerRoman"/>
      <w:lvlText w:val="%6"/>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8CE38E">
      <w:start w:val="1"/>
      <w:numFmt w:val="decimal"/>
      <w:lvlText w:val="%7"/>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BAE3AE">
      <w:start w:val="1"/>
      <w:numFmt w:val="lowerLetter"/>
      <w:lvlText w:val="%8"/>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AED9B2">
      <w:start w:val="1"/>
      <w:numFmt w:val="lowerRoman"/>
      <w:lvlText w:val="%9"/>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E814F4"/>
    <w:multiLevelType w:val="hybridMultilevel"/>
    <w:tmpl w:val="EEEA0C68"/>
    <w:lvl w:ilvl="0" w:tplc="3EEC492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883672">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261A08">
      <w:start w:val="1"/>
      <w:numFmt w:val="lowerLetter"/>
      <w:lvlRestart w:val="0"/>
      <w:lvlText w:val="%3)"/>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BE6916">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2ED43E">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387288">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363C3E">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EA2F0">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90DA4C">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E4F5E6E"/>
    <w:multiLevelType w:val="hybridMultilevel"/>
    <w:tmpl w:val="E0548CFA"/>
    <w:lvl w:ilvl="0" w:tplc="C540E1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5C6ED6">
      <w:start w:val="1"/>
      <w:numFmt w:val="lowerLetter"/>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023760">
      <w:start w:val="1"/>
      <w:numFmt w:val="lowerLetter"/>
      <w:lvlRestart w:val="0"/>
      <w:lvlText w:val="%3)"/>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34ADEA">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EA562E">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AA9FAE">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08F90A">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B43980">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004FB4">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9F7A9B"/>
    <w:multiLevelType w:val="hybridMultilevel"/>
    <w:tmpl w:val="9D90284C"/>
    <w:lvl w:ilvl="0" w:tplc="44EA3E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D0254A">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843904">
      <w:start w:val="1"/>
      <w:numFmt w:val="lowerLetter"/>
      <w:lvlRestart w:val="0"/>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44EFB8">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283688">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5A87DA">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06E66C">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A86C18">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EAE78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30"/>
  </w:num>
  <w:num w:numId="3">
    <w:abstractNumId w:val="22"/>
  </w:num>
  <w:num w:numId="4">
    <w:abstractNumId w:val="12"/>
  </w:num>
  <w:num w:numId="5">
    <w:abstractNumId w:val="13"/>
  </w:num>
  <w:num w:numId="6">
    <w:abstractNumId w:val="7"/>
  </w:num>
  <w:num w:numId="7">
    <w:abstractNumId w:val="6"/>
  </w:num>
  <w:num w:numId="8">
    <w:abstractNumId w:val="20"/>
  </w:num>
  <w:num w:numId="9">
    <w:abstractNumId w:val="25"/>
  </w:num>
  <w:num w:numId="10">
    <w:abstractNumId w:val="18"/>
  </w:num>
  <w:num w:numId="11">
    <w:abstractNumId w:val="28"/>
  </w:num>
  <w:num w:numId="12">
    <w:abstractNumId w:val="11"/>
  </w:num>
  <w:num w:numId="13">
    <w:abstractNumId w:val="2"/>
  </w:num>
  <w:num w:numId="14">
    <w:abstractNumId w:val="0"/>
  </w:num>
  <w:num w:numId="15">
    <w:abstractNumId w:val="15"/>
  </w:num>
  <w:num w:numId="16">
    <w:abstractNumId w:val="19"/>
  </w:num>
  <w:num w:numId="17">
    <w:abstractNumId w:val="14"/>
  </w:num>
  <w:num w:numId="18">
    <w:abstractNumId w:val="16"/>
  </w:num>
  <w:num w:numId="19">
    <w:abstractNumId w:val="26"/>
  </w:num>
  <w:num w:numId="20">
    <w:abstractNumId w:val="8"/>
  </w:num>
  <w:num w:numId="21">
    <w:abstractNumId w:val="10"/>
  </w:num>
  <w:num w:numId="22">
    <w:abstractNumId w:val="29"/>
  </w:num>
  <w:num w:numId="23">
    <w:abstractNumId w:val="1"/>
  </w:num>
  <w:num w:numId="24">
    <w:abstractNumId w:val="23"/>
  </w:num>
  <w:num w:numId="25">
    <w:abstractNumId w:val="9"/>
  </w:num>
  <w:num w:numId="26">
    <w:abstractNumId w:val="21"/>
  </w:num>
  <w:num w:numId="27">
    <w:abstractNumId w:val="5"/>
  </w:num>
  <w:num w:numId="28">
    <w:abstractNumId w:val="27"/>
  </w:num>
  <w:num w:numId="29">
    <w:abstractNumId w:val="4"/>
  </w:num>
  <w:num w:numId="30">
    <w:abstractNumId w:val="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BA"/>
    <w:rsid w:val="00862EAD"/>
    <w:rsid w:val="00C04ADF"/>
    <w:rsid w:val="00E62FD9"/>
    <w:rsid w:val="00EB6202"/>
    <w:rsid w:val="00EF3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62E9"/>
  <w15:docId w15:val="{FDDC6EBA-5192-43C4-B926-909018D2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41" w:line="249" w:lineRule="auto"/>
      <w:ind w:left="10" w:hanging="1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100"/>
      <w:ind w:left="13" w:hanging="10"/>
      <w:jc w:val="center"/>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100"/>
      <w:ind w:left="13" w:hanging="10"/>
      <w:jc w:val="center"/>
      <w:outlineLvl w:val="1"/>
    </w:pPr>
    <w:rPr>
      <w:rFonts w:ascii="Times New Roman" w:eastAsia="Times New Roman" w:hAnsi="Times New Roman" w:cs="Times New Roman"/>
      <w:b/>
      <w:color w:val="000000"/>
    </w:rPr>
  </w:style>
  <w:style w:type="paragraph" w:styleId="Nadpis3">
    <w:name w:val="heading 3"/>
    <w:next w:val="Normln"/>
    <w:link w:val="Nadpis3Char"/>
    <w:uiPriority w:val="9"/>
    <w:unhideWhenUsed/>
    <w:qFormat/>
    <w:pPr>
      <w:keepNext/>
      <w:keepLines/>
      <w:spacing w:after="179"/>
      <w:ind w:left="10" w:right="59" w:hanging="10"/>
      <w:outlineLvl w:val="2"/>
    </w:pPr>
    <w:rPr>
      <w:rFonts w:ascii="Times New Roman" w:eastAsia="Times New Roman" w:hAnsi="Times New Roman" w:cs="Times New Roman"/>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b/>
      <w:color w:val="000000"/>
      <w:sz w:val="20"/>
    </w:rPr>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icrosoft.com/cs-cz/microsoft-365/business/compare-all-microsoft-365-business-products" TargetMode="External"/><Relationship Id="rId18" Type="http://schemas.openxmlformats.org/officeDocument/2006/relationships/hyperlink" Target="https://www.microsoft.com/cs-cz/microsoft-365/business/compare-all-microsoft-365-business-products" TargetMode="External"/><Relationship Id="rId26" Type="http://schemas.openxmlformats.org/officeDocument/2006/relationships/hyperlink" Target="https://www.microsoft.com/cs-cz/microsoft-365/business/compare-all-microsoft-365-business-products" TargetMode="External"/><Relationship Id="rId3" Type="http://schemas.openxmlformats.org/officeDocument/2006/relationships/settings" Target="settings.xml"/><Relationship Id="rId21" Type="http://schemas.openxmlformats.org/officeDocument/2006/relationships/hyperlink" Target="https://www.microsoft.com/cs-cz/microsoft-365/business/compare-all-microsoft-365-business-products" TargetMode="External"/><Relationship Id="rId34"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microsoft.com/cs-cz/microsoft-365/business/compare-all-microsoft-365-business-products" TargetMode="External"/><Relationship Id="rId25" Type="http://schemas.openxmlformats.org/officeDocument/2006/relationships/hyperlink" Target="https://www.microsoft.com/cs-cz/microsoft-365/business/compare-all-microsoft-365-business-products" TargetMode="Externa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www.microsoft.com/cs-cz/microsoft-365/business/compare-all-microsoft-365-business-products" TargetMode="External"/><Relationship Id="rId20" Type="http://schemas.openxmlformats.org/officeDocument/2006/relationships/hyperlink" Target="https://www.microsoft.com/cs-cz/microsoft-365/business/compare-all-microsoft-365-business-products"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microsoft.com/cs-cz/microsoft-365/business/compare-all-microsoft-365-business-products" TargetMode="Externa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microsoft.com/cs-cz/microsoft-365/business/compare-all-microsoft-365-business-products" TargetMode="External"/><Relationship Id="rId23" Type="http://schemas.openxmlformats.org/officeDocument/2006/relationships/hyperlink" Target="https://www.microsoft.com/cs-cz/microsoft-365/business/compare-all-microsoft-365-business-products" TargetMode="External"/><Relationship Id="rId28" Type="http://schemas.openxmlformats.org/officeDocument/2006/relationships/hyperlink" Target="https://www.microsoft.com/cs-cz/microsoft-365/business/compare-all-microsoft-365-business-products"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microsoft.com/cs-cz/microsoft-365/business/compare-all-microsoft-365-business-products"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icrosoft.com/cs-cz/microsoft-365/business/compare-all-microsoft-365-business-products" TargetMode="External"/><Relationship Id="rId22" Type="http://schemas.openxmlformats.org/officeDocument/2006/relationships/hyperlink" Target="https://www.microsoft.com/cs-cz/microsoft-365/business/compare-all-microsoft-365-business-products" TargetMode="External"/><Relationship Id="rId27" Type="http://schemas.openxmlformats.org/officeDocument/2006/relationships/hyperlink" Target="https://www.microsoft.com/cs-cz/microsoft-365/business/compare-all-microsoft-365-business-products" TargetMode="Externa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4400</Words>
  <Characters>25964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Jakubeková</dc:creator>
  <cp:keywords/>
  <cp:lastModifiedBy>Blanka Vaněčková Rašková</cp:lastModifiedBy>
  <cp:revision>4</cp:revision>
  <dcterms:created xsi:type="dcterms:W3CDTF">2025-08-14T04:39:00Z</dcterms:created>
  <dcterms:modified xsi:type="dcterms:W3CDTF">2025-08-14T04:42:00Z</dcterms:modified>
</cp:coreProperties>
</file>