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6BF92AA3"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414912">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6645C7BD"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633592">
        <w:rPr>
          <w:rFonts w:ascii="Arial" w:hAnsi="Arial" w:cs="Arial"/>
          <w:bCs/>
          <w:sz w:val="22"/>
          <w:szCs w:val="22"/>
        </w:rPr>
        <w:t>16</w:t>
      </w:r>
      <w:r w:rsidR="00D01F32" w:rsidRPr="00633592">
        <w:rPr>
          <w:rFonts w:ascii="Arial" w:hAnsi="Arial" w:cs="Arial"/>
          <w:bCs/>
          <w:sz w:val="22"/>
          <w:szCs w:val="22"/>
        </w:rPr>
        <w:t>/44685173/202</w:t>
      </w:r>
      <w:r w:rsidR="002C5395" w:rsidRPr="00633592">
        <w:rPr>
          <w:rFonts w:ascii="Arial" w:hAnsi="Arial" w:cs="Arial"/>
          <w:bCs/>
          <w:sz w:val="22"/>
          <w:szCs w:val="22"/>
        </w:rPr>
        <w:t>5</w:t>
      </w:r>
      <w:r w:rsidR="00D01F32" w:rsidRPr="00F837C8">
        <w:t xml:space="preserve">              </w:t>
      </w:r>
    </w:p>
    <w:p w14:paraId="44A6B613" w14:textId="14B002D5"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00414912">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779F37B1" w14:textId="341ABA3B" w:rsidR="008E3FD3" w:rsidRDefault="008E3FD3" w:rsidP="008E3FD3">
      <w:pPr>
        <w:pStyle w:val="AKFZFnormln"/>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w:t>
      </w:r>
      <w:r w:rsidR="002C5395">
        <w:rPr>
          <w:rFonts w:ascii="Times New Roman" w:hAnsi="Times New Roman" w:cs="Times New Roman"/>
          <w:b/>
          <w:sz w:val="24"/>
          <w:szCs w:val="24"/>
        </w:rPr>
        <w:t>Sanace – zdiva II.</w:t>
      </w:r>
      <w:r>
        <w:rPr>
          <w:rFonts w:ascii="Times New Roman" w:hAnsi="Times New Roman" w:cs="Times New Roman"/>
          <w:b/>
          <w:sz w:val="24"/>
          <w:szCs w:val="24"/>
        </w:rPr>
        <w:t>“</w:t>
      </w:r>
    </w:p>
    <w:p w14:paraId="611C5BB5" w14:textId="77777777" w:rsidR="008E3FD3" w:rsidRDefault="008E3FD3">
      <w:pPr>
        <w:autoSpaceDE w:val="0"/>
        <w:ind w:left="360"/>
        <w:jc w:val="center"/>
        <w:rPr>
          <w:rFonts w:ascii="Arial" w:hAnsi="Arial" w:cs="Arial"/>
          <w:b/>
          <w:bCs/>
          <w:sz w:val="22"/>
          <w:szCs w:val="22"/>
        </w:rPr>
      </w:pP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1D4ECC15" w:rsidR="00762879" w:rsidRDefault="00762879" w:rsidP="00762879">
      <w:pPr>
        <w:spacing w:line="276" w:lineRule="auto"/>
        <w:rPr>
          <w:rFonts w:ascii="Arial" w:hAnsi="Arial" w:cs="Arial"/>
          <w:sz w:val="22"/>
          <w:szCs w:val="22"/>
        </w:rPr>
      </w:pPr>
      <w:r w:rsidRPr="00746FCA">
        <w:rPr>
          <w:rFonts w:ascii="Arial" w:hAnsi="Arial" w:cs="Arial"/>
          <w:sz w:val="22"/>
          <w:szCs w:val="22"/>
        </w:rPr>
        <w:t xml:space="preserve">Bankovní </w:t>
      </w:r>
      <w:proofErr w:type="gramStart"/>
      <w:r w:rsidRPr="00746FCA">
        <w:rPr>
          <w:rFonts w:ascii="Arial" w:hAnsi="Arial" w:cs="Arial"/>
          <w:sz w:val="22"/>
          <w:szCs w:val="22"/>
        </w:rPr>
        <w:t>spojení:</w:t>
      </w:r>
      <w:r w:rsidR="008E3FD3">
        <w:rPr>
          <w:rFonts w:ascii="Arial" w:hAnsi="Arial" w:cs="Arial"/>
          <w:sz w:val="22"/>
          <w:szCs w:val="22"/>
        </w:rPr>
        <w:t xml:space="preserve"> </w:t>
      </w:r>
      <w:r w:rsidR="00226175">
        <w:rPr>
          <w:rFonts w:ascii="Arial" w:hAnsi="Arial" w:cs="Arial"/>
          <w:sz w:val="22"/>
          <w:szCs w:val="22"/>
        </w:rPr>
        <w:t xml:space="preserve"> </w:t>
      </w:r>
      <w:r w:rsidR="00D01F32" w:rsidRPr="0039220B">
        <w:rPr>
          <w:rFonts w:ascii="Arial" w:hAnsi="Arial" w:cs="Arial"/>
          <w:sz w:val="22"/>
          <w:szCs w:val="22"/>
        </w:rPr>
        <w:t>.</w:t>
      </w:r>
      <w:proofErr w:type="gramEnd"/>
      <w:r w:rsidR="00D01F32" w:rsidRPr="0039220B">
        <w:rPr>
          <w:rFonts w:ascii="Arial" w:hAnsi="Arial" w:cs="Arial"/>
          <w:sz w:val="22"/>
          <w:szCs w:val="22"/>
        </w:rPr>
        <w:t>,</w:t>
      </w:r>
      <w:r w:rsidRPr="00746FCA">
        <w:rPr>
          <w:rFonts w:ascii="Arial" w:hAnsi="Arial" w:cs="Arial"/>
          <w:sz w:val="22"/>
          <w:szCs w:val="22"/>
        </w:rPr>
        <w:t xml:space="preserve"> číslo účtu: </w:t>
      </w:r>
      <w:r w:rsidR="00226175">
        <w:rPr>
          <w:rFonts w:ascii="Arial" w:hAnsi="Arial" w:cs="Arial"/>
          <w:sz w:val="22"/>
          <w:szCs w:val="22"/>
        </w:rPr>
        <w:t xml:space="preserve"> </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24B46349" w14:textId="77777777" w:rsidR="00414912" w:rsidRDefault="00414912" w:rsidP="00414912">
      <w:pPr>
        <w:autoSpaceDE w:val="0"/>
        <w:rPr>
          <w:rFonts w:ascii="Arial" w:eastAsia="Calibri" w:hAnsi="Arial" w:cs="Arial"/>
          <w:b/>
          <w:bCs/>
          <w:sz w:val="22"/>
          <w:szCs w:val="22"/>
          <w:lang w:eastAsia="en-US"/>
        </w:rPr>
      </w:pPr>
      <w:r>
        <w:rPr>
          <w:rFonts w:ascii="Arial" w:hAnsi="Arial" w:cs="Arial"/>
          <w:sz w:val="22"/>
          <w:szCs w:val="22"/>
        </w:rPr>
        <w:t xml:space="preserve">Dodavatel: </w:t>
      </w:r>
      <w:r w:rsidRPr="00414912">
        <w:rPr>
          <w:rFonts w:ascii="Arial" w:hAnsi="Arial" w:cs="Arial"/>
          <w:b/>
          <w:bCs/>
          <w:sz w:val="22"/>
          <w:szCs w:val="22"/>
        </w:rPr>
        <w:t>SANACE CZ s.r.o.</w:t>
      </w:r>
    </w:p>
    <w:p w14:paraId="3751B2C0" w14:textId="2E76976E" w:rsidR="00414912" w:rsidRDefault="00414912" w:rsidP="00414912">
      <w:pPr>
        <w:autoSpaceDE w:val="0"/>
        <w:ind w:left="360" w:hanging="360"/>
        <w:rPr>
          <w:rFonts w:ascii="Arial" w:hAnsi="Arial" w:cs="Arial"/>
          <w:sz w:val="22"/>
          <w:szCs w:val="22"/>
        </w:rPr>
      </w:pPr>
      <w:r>
        <w:rPr>
          <w:rFonts w:ascii="Arial" w:hAnsi="Arial" w:cs="Arial"/>
          <w:sz w:val="22"/>
          <w:szCs w:val="22"/>
        </w:rPr>
        <w:t xml:space="preserve">se sídlem Korunní 2569/108, Praha – Vinohrady </w:t>
      </w:r>
    </w:p>
    <w:p w14:paraId="54433150" w14:textId="0F781E02" w:rsidR="00414912" w:rsidRDefault="00414912" w:rsidP="00414912">
      <w:pPr>
        <w:autoSpaceDE w:val="0"/>
        <w:rPr>
          <w:rFonts w:ascii="Arial" w:hAnsi="Arial" w:cs="Arial"/>
          <w:sz w:val="22"/>
          <w:szCs w:val="22"/>
        </w:rPr>
      </w:pPr>
      <w:r>
        <w:rPr>
          <w:rFonts w:ascii="Arial" w:hAnsi="Arial" w:cs="Arial"/>
          <w:sz w:val="22"/>
          <w:szCs w:val="22"/>
        </w:rPr>
        <w:t xml:space="preserve">zapsaný v obchodním rejstříku vedeném </w:t>
      </w:r>
      <w:r>
        <w:rPr>
          <w:rFonts w:ascii="Arial" w:eastAsia="Calibri" w:hAnsi="Arial" w:cs="Arial"/>
          <w:sz w:val="22"/>
          <w:szCs w:val="22"/>
          <w:lang w:eastAsia="en-US"/>
        </w:rPr>
        <w:t xml:space="preserve">Městským </w:t>
      </w:r>
      <w:r>
        <w:rPr>
          <w:rFonts w:ascii="Arial" w:hAnsi="Arial" w:cs="Arial"/>
          <w:sz w:val="22"/>
          <w:szCs w:val="22"/>
        </w:rPr>
        <w:t>soudem v Praze v oddíle C vložka 324141</w:t>
      </w:r>
    </w:p>
    <w:p w14:paraId="30C7A16E" w14:textId="77777777" w:rsidR="00414912" w:rsidRDefault="00414912" w:rsidP="00414912">
      <w:pPr>
        <w:autoSpaceDE w:val="0"/>
        <w:ind w:left="360" w:hanging="360"/>
        <w:rPr>
          <w:rFonts w:ascii="Arial" w:hAnsi="Arial" w:cs="Arial"/>
          <w:sz w:val="22"/>
          <w:szCs w:val="22"/>
        </w:rPr>
      </w:pPr>
      <w:r>
        <w:rPr>
          <w:rFonts w:ascii="Arial" w:hAnsi="Arial" w:cs="Arial"/>
          <w:sz w:val="22"/>
          <w:szCs w:val="22"/>
        </w:rPr>
        <w:t>jednající Dalibor Hájek</w:t>
      </w:r>
    </w:p>
    <w:p w14:paraId="7588CADB" w14:textId="77777777" w:rsidR="00414912" w:rsidRDefault="00414912" w:rsidP="00414912">
      <w:pPr>
        <w:autoSpaceDE w:val="0"/>
        <w:ind w:left="360" w:hanging="360"/>
        <w:rPr>
          <w:rFonts w:ascii="Arial" w:hAnsi="Arial" w:cs="Arial"/>
          <w:sz w:val="22"/>
          <w:szCs w:val="22"/>
        </w:rPr>
      </w:pPr>
      <w:r>
        <w:rPr>
          <w:rFonts w:ascii="Arial" w:hAnsi="Arial" w:cs="Arial"/>
          <w:sz w:val="22"/>
          <w:szCs w:val="22"/>
        </w:rPr>
        <w:t>IČ:</w:t>
      </w:r>
      <w:r>
        <w:rPr>
          <w:rFonts w:ascii="Arial" w:eastAsia="Calibri" w:hAnsi="Arial" w:cs="Arial"/>
          <w:sz w:val="22"/>
          <w:szCs w:val="22"/>
          <w:lang w:eastAsia="en-US"/>
        </w:rPr>
        <w:t xml:space="preserve"> 08730342 </w:t>
      </w:r>
      <w:r>
        <w:rPr>
          <w:rFonts w:ascii="Arial" w:hAnsi="Arial" w:cs="Arial"/>
          <w:sz w:val="22"/>
          <w:szCs w:val="22"/>
        </w:rPr>
        <w:t>DIČ: CZ08730342</w:t>
      </w:r>
    </w:p>
    <w:p w14:paraId="1BDB21DB" w14:textId="464AE6AD" w:rsidR="00414912" w:rsidRDefault="00414912" w:rsidP="00414912">
      <w:pPr>
        <w:autoSpaceDE w:val="0"/>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 xml:space="preserve">spojení: </w:t>
      </w:r>
      <w:r w:rsidR="00226175">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a.s. číslo účtu </w:t>
      </w:r>
      <w:r w:rsidR="00226175">
        <w:rPr>
          <w:rFonts w:ascii="Arial" w:hAnsi="Arial" w:cs="Arial"/>
          <w:sz w:val="22"/>
          <w:szCs w:val="22"/>
        </w:rPr>
        <w:t xml:space="preserve"> </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 xml:space="preserve">Dodavatel dále prohlašuje, že neporušuje jakékoli zákony, předpisy, obchodní embarga nebo jiná omezující opatření týkající se hospodářských nebo finančních sankcí (zejména, ale nikoli výlučně, </w:t>
      </w:r>
      <w:r>
        <w:rPr>
          <w:rFonts w:ascii="Arial" w:hAnsi="Arial" w:cs="Arial"/>
          <w:sz w:val="20"/>
          <w:szCs w:val="20"/>
        </w:rPr>
        <w:lastRenderedPageBreak/>
        <w:t>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74B24006"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34775D" w:rsidRPr="00A24561">
        <w:rPr>
          <w:rFonts w:cs="Arial"/>
          <w:b/>
        </w:rPr>
        <w:t>„</w:t>
      </w:r>
      <w:r w:rsidR="002C5395" w:rsidRPr="002C5395">
        <w:rPr>
          <w:rFonts w:cs="Arial"/>
          <w:b/>
        </w:rPr>
        <w:t>Sa</w:t>
      </w:r>
      <w:r w:rsidR="002C5395">
        <w:rPr>
          <w:rFonts w:cs="Arial"/>
          <w:b/>
        </w:rPr>
        <w:t>nace – zdiva II.</w:t>
      </w:r>
      <w:r w:rsidR="00D01F32">
        <w:rPr>
          <w:rFonts w:cs="Arial"/>
          <w:b/>
        </w:rPr>
        <w:t>“</w:t>
      </w:r>
      <w:r w:rsidR="00743446" w:rsidRPr="00743446">
        <w:rPr>
          <w:rFonts w:cs="Arial"/>
          <w:b/>
        </w:rPr>
        <w:t>,</w:t>
      </w:r>
      <w:r w:rsidR="0034775D" w:rsidRPr="00A24561">
        <w:rPr>
          <w:rFonts w:cs="Arial"/>
          <w:b/>
        </w:rPr>
        <w:t xml:space="preserve"> </w:t>
      </w:r>
      <w:r w:rsidR="00290083" w:rsidRPr="00C33900">
        <w:rPr>
          <w:rFonts w:ascii="Arial" w:hAnsi="Arial" w:cs="Arial"/>
          <w:sz w:val="22"/>
          <w:szCs w:val="22"/>
        </w:rPr>
        <w:t xml:space="preserve">podle </w:t>
      </w:r>
      <w:r w:rsidR="001515A4">
        <w:rPr>
          <w:rFonts w:ascii="Arial" w:hAnsi="Arial" w:cs="Arial"/>
          <w:sz w:val="22"/>
          <w:szCs w:val="22"/>
        </w:rPr>
        <w:t xml:space="preserve">veřejné zakázky a </w:t>
      </w:r>
      <w:r w:rsidR="002C5395">
        <w:rPr>
          <w:rFonts w:ascii="Arial" w:hAnsi="Arial" w:cs="Arial"/>
          <w:sz w:val="22"/>
          <w:szCs w:val="22"/>
        </w:rPr>
        <w:t xml:space="preserve"> </w:t>
      </w:r>
      <w:r w:rsidR="00D379BA">
        <w:rPr>
          <w:rFonts w:ascii="Arial" w:hAnsi="Arial" w:cs="Arial"/>
          <w:sz w:val="22"/>
          <w:szCs w:val="22"/>
        </w:rPr>
        <w:t xml:space="preserve"> technické </w:t>
      </w:r>
      <w:r w:rsidR="002C5395">
        <w:rPr>
          <w:rFonts w:ascii="Arial" w:hAnsi="Arial" w:cs="Arial"/>
          <w:sz w:val="22"/>
          <w:szCs w:val="22"/>
        </w:rPr>
        <w:t>specifikac</w:t>
      </w:r>
      <w:r w:rsidR="00D379BA" w:rsidRPr="00C15500">
        <w:rPr>
          <w:rFonts w:ascii="Arial" w:hAnsi="Arial" w:cs="Arial"/>
          <w:sz w:val="22"/>
          <w:szCs w:val="22"/>
        </w:rPr>
        <w:t>e vč. výkazu výměr</w:t>
      </w:r>
      <w:r w:rsidR="00D379BA">
        <w:rPr>
          <w:rFonts w:ascii="Arial" w:hAnsi="Arial" w:cs="Arial"/>
          <w:sz w:val="22"/>
          <w:szCs w:val="22"/>
        </w:rPr>
        <w:t xml:space="preserve"> </w:t>
      </w:r>
      <w:r w:rsidR="008A0F39" w:rsidRPr="0089354F">
        <w:rPr>
          <w:rFonts w:ascii="Arial" w:hAnsi="Arial" w:cs="Arial"/>
          <w:sz w:val="22"/>
          <w:szCs w:val="22"/>
        </w:rPr>
        <w:t>v rozsahu specifikovaném v oceněném výkazu výměr</w:t>
      </w:r>
      <w:r w:rsidR="008A0F39" w:rsidRPr="00C15500">
        <w:rPr>
          <w:rFonts w:ascii="Arial" w:hAnsi="Arial" w:cs="Arial"/>
          <w:sz w:val="22"/>
          <w:szCs w:val="22"/>
        </w:rPr>
        <w:t xml:space="preserve"> (položkovém rozpočtu), který tvoří přílohu</w:t>
      </w:r>
      <w:r w:rsidR="0027200B">
        <w:rPr>
          <w:rFonts w:ascii="Arial" w:hAnsi="Arial" w:cs="Arial"/>
          <w:sz w:val="22"/>
          <w:szCs w:val="22"/>
        </w:rPr>
        <w:t xml:space="preserve"> č. </w:t>
      </w:r>
      <w:r w:rsidR="00633592">
        <w:rPr>
          <w:rFonts w:ascii="Arial" w:hAnsi="Arial" w:cs="Arial"/>
          <w:sz w:val="22"/>
          <w:szCs w:val="22"/>
        </w:rPr>
        <w:t>1 a 2</w:t>
      </w:r>
      <w:r w:rsidR="008A0F39" w:rsidRPr="00C15500">
        <w:rPr>
          <w:rFonts w:ascii="Arial" w:hAnsi="Arial" w:cs="Arial"/>
          <w:sz w:val="22"/>
          <w:szCs w:val="22"/>
        </w:rPr>
        <w:t xml:space="preserve"> této smlouvy a byl součástí nabídky </w:t>
      </w:r>
      <w:r w:rsidR="00821424">
        <w:rPr>
          <w:rFonts w:ascii="Arial" w:hAnsi="Arial" w:cs="Arial"/>
          <w:sz w:val="22"/>
          <w:szCs w:val="22"/>
        </w:rPr>
        <w:t>dodavatele</w:t>
      </w:r>
      <w:r w:rsidR="008A0F39" w:rsidRPr="00C15500">
        <w:rPr>
          <w:rFonts w:ascii="Arial" w:hAnsi="Arial" w:cs="Arial"/>
          <w:sz w:val="22"/>
          <w:szCs w:val="22"/>
        </w:rPr>
        <w:t xml:space="preserve"> podané v rámci zadávacího řízení na výběr </w:t>
      </w:r>
      <w:r w:rsidR="00821424">
        <w:rPr>
          <w:rFonts w:ascii="Arial" w:hAnsi="Arial" w:cs="Arial"/>
          <w:sz w:val="22"/>
          <w:szCs w:val="22"/>
        </w:rPr>
        <w:t>dodavatele</w:t>
      </w:r>
      <w:r w:rsidR="008A0F39" w:rsidRPr="00C15500">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4CACD313"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0"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0"/>
      <w:r w:rsidR="00D01F32">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lastRenderedPageBreak/>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644DE331"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2C5395">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2C5395">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1B11B23C"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průběžné pořizování fotodokumentace provádění díla včetně jejího předání objednateli po skončení provádění díla, a to v rozsahu nezbytném pro posouzení kvality díla</w:t>
      </w:r>
      <w:r w:rsidR="00633592">
        <w:rPr>
          <w:rFonts w:ascii="Arial" w:hAnsi="Arial" w:cs="Arial"/>
          <w:sz w:val="22"/>
          <w:szCs w:val="22"/>
        </w:rPr>
        <w:t>.</w:t>
      </w:r>
      <w:r w:rsidRPr="0089354F">
        <w:rPr>
          <w:rFonts w:ascii="Arial" w:hAnsi="Arial" w:cs="Arial"/>
          <w:sz w:val="22"/>
          <w:szCs w:val="22"/>
        </w:rPr>
        <w:t xml:space="preserve">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330EE75D"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2) </w:t>
      </w:r>
      <w:r w:rsidR="00D379BA">
        <w:rPr>
          <w:rFonts w:ascii="Arial" w:hAnsi="Arial" w:cs="Arial"/>
          <w:sz w:val="22"/>
          <w:szCs w:val="22"/>
        </w:rPr>
        <w:t>technick</w:t>
      </w:r>
      <w:r w:rsidR="002C5395">
        <w:rPr>
          <w:rFonts w:ascii="Arial" w:hAnsi="Arial" w:cs="Arial"/>
          <w:sz w:val="22"/>
          <w:szCs w:val="22"/>
        </w:rPr>
        <w:t xml:space="preserve">á specifikace, </w:t>
      </w:r>
      <w:r w:rsidRPr="00E35788">
        <w:rPr>
          <w:rFonts w:ascii="Arial" w:hAnsi="Arial" w:cs="Arial"/>
          <w:sz w:val="22"/>
          <w:szCs w:val="22"/>
        </w:rPr>
        <w:t xml:space="preserve">3)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010F5E" w:rsidRPr="00A24561">
        <w:rPr>
          <w:rFonts w:cs="Arial"/>
          <w:b/>
        </w:rPr>
        <w:t>„</w:t>
      </w:r>
      <w:r w:rsidR="002C5395">
        <w:rPr>
          <w:rFonts w:cs="Arial"/>
          <w:b/>
        </w:rPr>
        <w:t>Sanace – zdiva II.</w:t>
      </w:r>
      <w:r w:rsidR="00010F5E" w:rsidRPr="00A24561">
        <w:rPr>
          <w:rFonts w:cs="Arial"/>
          <w:b/>
        </w:rPr>
        <w:t xml:space="preserve">“ </w:t>
      </w:r>
      <w:r w:rsidRPr="00E35788">
        <w:rPr>
          <w:rFonts w:ascii="Arial" w:hAnsi="Arial" w:cs="Arial"/>
          <w:sz w:val="22"/>
          <w:szCs w:val="22"/>
        </w:rPr>
        <w:t xml:space="preserve">(dále jen „Veřejná zakázka“) – výkaz výměr, </w:t>
      </w:r>
      <w:r w:rsidR="002C5395">
        <w:rPr>
          <w:rFonts w:ascii="Arial" w:hAnsi="Arial" w:cs="Arial"/>
          <w:sz w:val="22"/>
          <w:szCs w:val="22"/>
        </w:rPr>
        <w:t>4</w:t>
      </w:r>
      <w:r w:rsidRPr="00E35788">
        <w:rPr>
          <w:rFonts w:ascii="Arial" w:hAnsi="Arial" w:cs="Arial"/>
          <w:sz w:val="22"/>
          <w:szCs w:val="22"/>
        </w:rPr>
        <w:t xml:space="preserve">) </w:t>
      </w:r>
      <w:r w:rsidR="00F93EF4" w:rsidRPr="00E35788">
        <w:rPr>
          <w:rFonts w:ascii="Arial" w:hAnsi="Arial" w:cs="Arial"/>
          <w:sz w:val="22"/>
          <w:szCs w:val="22"/>
        </w:rPr>
        <w:t>zadávací dokumentace Veřejné zakázky</w:t>
      </w:r>
      <w:r w:rsidR="00F93EF4">
        <w:rPr>
          <w:rFonts w:ascii="Arial" w:hAnsi="Arial" w:cs="Arial"/>
          <w:sz w:val="22"/>
          <w:szCs w:val="22"/>
        </w:rPr>
        <w:t>,</w:t>
      </w:r>
      <w:r w:rsidR="00F93EF4" w:rsidRPr="00E35788">
        <w:rPr>
          <w:rFonts w:ascii="Arial" w:hAnsi="Arial" w:cs="Arial"/>
          <w:sz w:val="22"/>
          <w:szCs w:val="22"/>
        </w:rPr>
        <w:t xml:space="preserve"> </w:t>
      </w:r>
      <w:r w:rsidR="002C5395">
        <w:rPr>
          <w:rFonts w:ascii="Arial" w:hAnsi="Arial" w:cs="Arial"/>
          <w:sz w:val="22"/>
          <w:szCs w:val="22"/>
        </w:rPr>
        <w:t>5</w:t>
      </w:r>
      <w:r w:rsidR="00F93EF4">
        <w:rPr>
          <w:rFonts w:ascii="Arial" w:hAnsi="Arial" w:cs="Arial"/>
          <w:sz w:val="22"/>
          <w:szCs w:val="22"/>
        </w:rPr>
        <w:t>)</w:t>
      </w:r>
      <w:r w:rsidR="00F93EF4" w:rsidRPr="00F93EF4">
        <w:rPr>
          <w:rFonts w:ascii="Arial" w:hAnsi="Arial" w:cs="Arial"/>
          <w:sz w:val="22"/>
          <w:szCs w:val="22"/>
        </w:rPr>
        <w:t xml:space="preserve"> </w:t>
      </w:r>
      <w:r w:rsidR="00F93EF4" w:rsidRPr="00E35788">
        <w:rPr>
          <w:rFonts w:ascii="Arial" w:hAnsi="Arial" w:cs="Arial"/>
          <w:sz w:val="22"/>
          <w:szCs w:val="22"/>
        </w:rPr>
        <w:t>nabídka dodavatele ostatní</w:t>
      </w:r>
      <w:r w:rsidRPr="00E35788">
        <w:rPr>
          <w:rFonts w:ascii="Arial" w:hAnsi="Arial" w:cs="Arial"/>
          <w:sz w:val="22"/>
          <w:szCs w:val="22"/>
        </w:rPr>
        <w:t>.</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14CF0F67"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4A2E6B">
        <w:rPr>
          <w:rFonts w:ascii="Arial" w:hAnsi="Arial" w:cs="Arial"/>
          <w:sz w:val="22"/>
          <w:szCs w:val="22"/>
        </w:rPr>
        <w:t>9</w:t>
      </w:r>
      <w:r w:rsidR="009E7CFE" w:rsidRPr="00BC13C8">
        <w:rPr>
          <w:rFonts w:ascii="Arial" w:hAnsi="Arial" w:cs="Arial"/>
          <w:sz w:val="22"/>
          <w:szCs w:val="22"/>
        </w:rPr>
        <w:t xml:space="preserve"> </w:t>
      </w:r>
      <w:r w:rsidR="004A2E6B">
        <w:rPr>
          <w:rFonts w:ascii="Arial" w:hAnsi="Arial" w:cs="Arial"/>
          <w:sz w:val="22"/>
          <w:szCs w:val="22"/>
        </w:rPr>
        <w:t>týdnů</w:t>
      </w:r>
      <w:r w:rsidR="009E7CFE">
        <w:rPr>
          <w:rFonts w:ascii="Arial" w:hAnsi="Arial" w:cs="Arial"/>
          <w:sz w:val="22"/>
          <w:szCs w:val="22"/>
        </w:rPr>
        <w:t xml:space="preserve"> ode dne </w:t>
      </w:r>
      <w:r w:rsidR="001A68C6">
        <w:rPr>
          <w:rFonts w:ascii="Arial" w:hAnsi="Arial" w:cs="Arial"/>
          <w:sz w:val="22"/>
          <w:szCs w:val="22"/>
        </w:rPr>
        <w:t xml:space="preserve">účinnosti </w:t>
      </w:r>
      <w:r w:rsidR="009E7CFE">
        <w:rPr>
          <w:rFonts w:ascii="Arial" w:hAnsi="Arial" w:cs="Arial"/>
          <w:sz w:val="22"/>
          <w:szCs w:val="22"/>
        </w:rPr>
        <w:t>smlouvy</w:t>
      </w:r>
      <w:r w:rsidR="00290083">
        <w:rPr>
          <w:rFonts w:ascii="Arial" w:hAnsi="Arial" w:cs="Arial"/>
          <w:sz w:val="22"/>
          <w:szCs w:val="22"/>
        </w:rPr>
        <w:t xml:space="preserve"> v souladu s </w:t>
      </w:r>
      <w:r w:rsidR="00290083" w:rsidRPr="004A2E6B">
        <w:rPr>
          <w:rFonts w:ascii="Arial" w:hAnsi="Arial" w:cs="Arial"/>
          <w:sz w:val="22"/>
          <w:szCs w:val="22"/>
        </w:rPr>
        <w:t xml:space="preserve">Přílohou č. </w:t>
      </w:r>
      <w:r w:rsidR="004A2E6B" w:rsidRPr="004A2E6B">
        <w:rPr>
          <w:rFonts w:ascii="Arial" w:hAnsi="Arial" w:cs="Arial"/>
          <w:sz w:val="22"/>
          <w:szCs w:val="22"/>
        </w:rPr>
        <w:t>4</w:t>
      </w:r>
      <w:r w:rsidR="00290083">
        <w:rPr>
          <w:rFonts w:ascii="Arial" w:hAnsi="Arial" w:cs="Arial"/>
          <w:sz w:val="22"/>
          <w:szCs w:val="22"/>
        </w:rPr>
        <w:t xml:space="preserve"> – </w:t>
      </w:r>
      <w:r w:rsidR="002A1868">
        <w:rPr>
          <w:rFonts w:ascii="Arial" w:hAnsi="Arial" w:cs="Arial"/>
          <w:sz w:val="22"/>
          <w:szCs w:val="22"/>
        </w:rPr>
        <w:t>Č</w:t>
      </w:r>
      <w:r w:rsidR="003263E0">
        <w:rPr>
          <w:rFonts w:ascii="Arial" w:hAnsi="Arial" w:cs="Arial"/>
          <w:sz w:val="22"/>
          <w:szCs w:val="22"/>
        </w:rPr>
        <w:t xml:space="preserve">asový </w:t>
      </w:r>
      <w:r w:rsidR="00CB6FCE">
        <w:rPr>
          <w:rFonts w:ascii="Arial" w:hAnsi="Arial" w:cs="Arial"/>
          <w:sz w:val="22"/>
          <w:szCs w:val="22"/>
        </w:rPr>
        <w:t>h</w:t>
      </w:r>
      <w:r w:rsidR="00290083">
        <w:rPr>
          <w:rFonts w:ascii="Arial" w:hAnsi="Arial" w:cs="Arial"/>
          <w:sz w:val="22"/>
          <w:szCs w:val="22"/>
        </w:rPr>
        <w:t xml:space="preserve">armonogram </w:t>
      </w:r>
      <w:r w:rsidR="003263E0">
        <w:rPr>
          <w:rFonts w:ascii="Arial" w:hAnsi="Arial" w:cs="Arial"/>
          <w:sz w:val="22"/>
          <w:szCs w:val="22"/>
        </w:rPr>
        <w:t>stavby</w:t>
      </w:r>
      <w:r w:rsidR="00290083">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lastRenderedPageBreak/>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5095B982"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 xml:space="preserve">e dohodou smluvních stran v souladu se zákonem č. 526/1990 Sb., o cenách, ve znění pozdějších předpisů, v celkové </w:t>
      </w:r>
      <w:r w:rsidR="00414912" w:rsidRPr="00414912">
        <w:rPr>
          <w:rFonts w:ascii="Arial" w:hAnsi="Arial" w:cs="Arial"/>
          <w:sz w:val="22"/>
          <w:szCs w:val="22"/>
        </w:rPr>
        <w:t>výši 922 615.- Kč bez DPH,</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682CDC75"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(1</w:t>
      </w:r>
      <w:r w:rsidR="00942521">
        <w:rPr>
          <w:rFonts w:ascii="Arial" w:hAnsi="Arial" w:cs="Arial"/>
          <w:sz w:val="22"/>
          <w:szCs w:val="22"/>
        </w:rPr>
        <w:t>2</w:t>
      </w:r>
      <w:r w:rsidR="00676C47">
        <w:rPr>
          <w:rFonts w:ascii="Arial" w:hAnsi="Arial" w:cs="Arial"/>
          <w:sz w:val="22"/>
          <w:szCs w:val="22"/>
        </w:rPr>
        <w:t xml:space="preserve">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2B10E83C"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414912" w:rsidRPr="00414912">
        <w:rPr>
          <w:rFonts w:ascii="Arial" w:eastAsia="Calibri" w:hAnsi="Arial" w:cs="Arial"/>
          <w:sz w:val="22"/>
          <w:szCs w:val="22"/>
          <w:lang w:eastAsia="en-US"/>
        </w:rPr>
        <w:t>1 033 328,80 Kč.</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7777777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příloze č. 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lastRenderedPageBreak/>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7E97622B"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w:t>
      </w:r>
      <w:r w:rsidR="00824040">
        <w:rPr>
          <w:rFonts w:ascii="Arial" w:hAnsi="Arial" w:cs="Arial"/>
          <w:sz w:val="22"/>
          <w:szCs w:val="22"/>
        </w:rPr>
        <w:t xml:space="preserve"> dodávek, montáží a</w:t>
      </w:r>
      <w:r w:rsidRPr="00C15500">
        <w:rPr>
          <w:rFonts w:ascii="Arial" w:hAnsi="Arial" w:cs="Arial"/>
          <w:sz w:val="22"/>
          <w:szCs w:val="22"/>
        </w:rPr>
        <w:t xml:space="preserve"> prací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D975AF" w:rsidRPr="00B23A02">
        <w:rPr>
          <w:rFonts w:ascii="Arial" w:hAnsi="Arial" w:cs="Arial"/>
          <w:b/>
          <w:bCs/>
          <w:sz w:val="22"/>
          <w:szCs w:val="22"/>
        </w:rPr>
        <w:t>„</w:t>
      </w:r>
      <w:r w:rsidR="00DE7AA9">
        <w:rPr>
          <w:rFonts w:ascii="Arial" w:hAnsi="Arial" w:cs="Arial"/>
          <w:b/>
          <w:bCs/>
          <w:sz w:val="22"/>
          <w:szCs w:val="22"/>
        </w:rPr>
        <w:t>Sanace – zdiva II.</w:t>
      </w:r>
      <w:r w:rsidR="00D975AF" w:rsidRPr="00B23A02">
        <w:rPr>
          <w:rFonts w:ascii="Arial" w:hAnsi="Arial" w:cs="Arial"/>
          <w:b/>
          <w:bCs/>
          <w:sz w:val="22"/>
          <w:szCs w:val="22"/>
        </w:rPr>
        <w:t>“</w:t>
      </w:r>
      <w:r w:rsidRPr="009E7CFE">
        <w:rPr>
          <w:rFonts w:ascii="Arial" w:hAnsi="Arial" w:cs="Arial"/>
          <w:sz w:val="22"/>
          <w:szCs w:val="22"/>
        </w:rPr>
        <w:t xml:space="preserve">. Nedílnou </w:t>
      </w:r>
      <w:r w:rsidRPr="009E7CFE">
        <w:rPr>
          <w:rFonts w:ascii="Arial" w:hAnsi="Arial" w:cs="Arial"/>
          <w:sz w:val="22"/>
          <w:szCs w:val="22"/>
        </w:rPr>
        <w:lastRenderedPageBreak/>
        <w:t xml:space="preserve">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w:t>
      </w:r>
      <w:r w:rsidR="006A25CB">
        <w:rPr>
          <w:rFonts w:ascii="Arial" w:hAnsi="Arial" w:cs="Arial"/>
          <w:sz w:val="22"/>
          <w:szCs w:val="22"/>
        </w:rPr>
        <w:t xml:space="preserve"> dle </w:t>
      </w:r>
      <w:r w:rsidRPr="00C15500">
        <w:rPr>
          <w:rFonts w:ascii="Arial" w:hAnsi="Arial" w:cs="Arial"/>
          <w:sz w:val="22"/>
          <w:szCs w:val="22"/>
        </w:rPr>
        <w:t>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4976AF">
        <w:rPr>
          <w:rFonts w:ascii="Arial" w:hAnsi="Arial" w:cs="Arial"/>
          <w:sz w:val="22"/>
          <w:szCs w:val="22"/>
        </w:rPr>
        <w:t>14</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w:t>
      </w:r>
      <w:r w:rsidR="004976AF">
        <w:rPr>
          <w:rFonts w:ascii="Arial" w:hAnsi="Arial" w:cs="Arial"/>
          <w:sz w:val="22"/>
          <w:szCs w:val="22"/>
        </w:rPr>
        <w:t>5</w:t>
      </w:r>
      <w:r w:rsidR="001D16BF" w:rsidRPr="00C15500">
        <w:rPr>
          <w:rFonts w:ascii="Arial" w:hAnsi="Arial" w:cs="Arial"/>
          <w:sz w:val="22"/>
          <w:szCs w:val="22"/>
        </w:rPr>
        <w:t>.</w:t>
      </w:r>
      <w:r w:rsidRPr="00C15500">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2A8D8205"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F95EE4">
        <w:rPr>
          <w:rFonts w:ascii="Arial" w:hAnsi="Arial" w:cs="Arial"/>
          <w:sz w:val="22"/>
          <w:szCs w:val="22"/>
        </w:rPr>
        <w:t>4</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5CF0BD4A"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 xml:space="preserve">Tento časový harmonogram tvoří nedílnou součást smlouvy o dílo jako Příloha č. </w:t>
      </w:r>
      <w:r w:rsidR="00F95EE4">
        <w:rPr>
          <w:rFonts w:ascii="Arial" w:hAnsi="Arial" w:cs="Arial"/>
          <w:sz w:val="22"/>
          <w:szCs w:val="22"/>
        </w:rPr>
        <w:t>4</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3357F36C"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w:t>
      </w:r>
      <w:r w:rsidR="00C95BF9">
        <w:rPr>
          <w:rFonts w:ascii="Arial" w:hAnsi="Arial" w:cs="Arial"/>
          <w:sz w:val="22"/>
          <w:szCs w:val="22"/>
        </w:rPr>
        <w:t xml:space="preserve">objednateli </w:t>
      </w:r>
      <w:r w:rsidRPr="00AD10B3">
        <w:rPr>
          <w:rFonts w:ascii="Arial" w:hAnsi="Arial" w:cs="Arial"/>
          <w:sz w:val="22"/>
          <w:szCs w:val="22"/>
        </w:rPr>
        <w:t>budou předmětná plnění fakturována včetně DPH.</w:t>
      </w: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xml:space="preserve">.  Na základě předmětné odborné zprávy o případné nehospodárnosti bude dodavatel platit veškerou další spotřebovanou el. energii. V případě vyhodnocení negativního, zadavatel uhradí náklady na měřící zařízení a </w:t>
      </w:r>
      <w:r w:rsidR="00801BF6">
        <w:rPr>
          <w:rFonts w:ascii="Arial" w:hAnsi="Arial" w:cs="Arial"/>
          <w:sz w:val="22"/>
          <w:szCs w:val="22"/>
        </w:rPr>
        <w:lastRenderedPageBreak/>
        <w:t>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5043755A" w:rsidR="002144B9" w:rsidRDefault="006F1F3D" w:rsidP="00676C47">
      <w:pPr>
        <w:spacing w:line="276" w:lineRule="auto"/>
        <w:ind w:left="426"/>
        <w:jc w:val="left"/>
        <w:rPr>
          <w:rFonts w:ascii="Arial" w:hAnsi="Arial" w:cs="Arial"/>
          <w:sz w:val="22"/>
          <w:szCs w:val="22"/>
        </w:rPr>
      </w:pPr>
      <w:r w:rsidRPr="0039220B">
        <w:rPr>
          <w:rFonts w:ascii="Arial" w:hAnsi="Arial" w:cs="Arial"/>
          <w:sz w:val="22"/>
          <w:szCs w:val="22"/>
        </w:rPr>
        <w:t xml:space="preserve">e-mail: </w:t>
      </w:r>
      <w:r w:rsidR="00226175">
        <w:t xml:space="preserve"> </w:t>
      </w:r>
    </w:p>
    <w:p w14:paraId="706C7D27" w14:textId="78810371"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xml:space="preserve">: </w:t>
      </w:r>
      <w:r w:rsidR="00226175">
        <w:rPr>
          <w:rFonts w:ascii="Arial" w:hAnsi="Arial" w:cs="Arial"/>
          <w:sz w:val="22"/>
          <w:szCs w:val="22"/>
        </w:rPr>
        <w:t xml:space="preserve"> </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5307972A" w14:textId="77777777" w:rsidR="00414912" w:rsidRDefault="00414912" w:rsidP="00414912">
      <w:pPr>
        <w:widowControl/>
        <w:tabs>
          <w:tab w:val="left" w:pos="-180"/>
        </w:tabs>
        <w:spacing w:line="276" w:lineRule="auto"/>
        <w:ind w:left="432"/>
        <w:rPr>
          <w:rFonts w:ascii="Arial" w:hAnsi="Arial" w:cs="Arial"/>
          <w:sz w:val="22"/>
          <w:szCs w:val="22"/>
        </w:rPr>
      </w:pPr>
      <w:r>
        <w:rPr>
          <w:rFonts w:ascii="Arial" w:hAnsi="Arial" w:cs="Arial"/>
          <w:sz w:val="22"/>
          <w:szCs w:val="22"/>
        </w:rPr>
        <w:t>ve věcech smluvních a technických</w:t>
      </w:r>
    </w:p>
    <w:p w14:paraId="653F0EC8" w14:textId="7CC821D4" w:rsidR="00414912" w:rsidRDefault="00414912" w:rsidP="00414912">
      <w:pPr>
        <w:widowControl/>
        <w:tabs>
          <w:tab w:val="left" w:pos="-180"/>
        </w:tabs>
        <w:spacing w:line="276" w:lineRule="auto"/>
        <w:ind w:left="432"/>
        <w:jc w:val="left"/>
        <w:rPr>
          <w:rFonts w:ascii="Arial" w:eastAsia="Calibri" w:hAnsi="Arial" w:cs="Arial"/>
          <w:sz w:val="22"/>
          <w:szCs w:val="22"/>
          <w:lang w:eastAsia="en-US"/>
        </w:rPr>
      </w:pPr>
      <w:r>
        <w:rPr>
          <w:rFonts w:ascii="Arial" w:hAnsi="Arial" w:cs="Arial"/>
          <w:sz w:val="22"/>
          <w:szCs w:val="22"/>
        </w:rPr>
        <w:t>jméno: Dalibor Hájek</w:t>
      </w:r>
      <w:r>
        <w:rPr>
          <w:rFonts w:ascii="Arial" w:eastAsia="Calibri" w:hAnsi="Arial" w:cs="Arial"/>
          <w:sz w:val="22"/>
          <w:szCs w:val="22"/>
          <w:lang w:eastAsia="en-US"/>
        </w:rPr>
        <w:t xml:space="preserve">, </w:t>
      </w:r>
      <w:r>
        <w:rPr>
          <w:rFonts w:ascii="Arial" w:hAnsi="Arial" w:cs="Arial"/>
          <w:sz w:val="22"/>
          <w:szCs w:val="22"/>
        </w:rPr>
        <w:t xml:space="preserve">e-mail: </w:t>
      </w:r>
      <w:r w:rsidR="00226175">
        <w:t xml:space="preserve"> </w:t>
      </w: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w:t>
      </w:r>
      <w:r w:rsidR="00184B17" w:rsidRPr="00C15500">
        <w:rPr>
          <w:rFonts w:ascii="Arial" w:hAnsi="Arial" w:cs="Arial"/>
          <w:sz w:val="22"/>
          <w:szCs w:val="22"/>
        </w:rPr>
        <w:lastRenderedPageBreak/>
        <w:t xml:space="preserve">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6425F7E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lastRenderedPageBreak/>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w:t>
      </w:r>
      <w:r w:rsidRPr="00C15500">
        <w:rPr>
          <w:rFonts w:ascii="Arial" w:hAnsi="Arial" w:cs="Arial"/>
          <w:sz w:val="22"/>
          <w:szCs w:val="22"/>
        </w:rPr>
        <w:lastRenderedPageBreak/>
        <w:t xml:space="preserve">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 xml:space="preserve">em o více než 30 dnů </w:t>
      </w:r>
      <w:proofErr w:type="gramStart"/>
      <w:r w:rsidRPr="00C15500">
        <w:rPr>
          <w:rFonts w:ascii="Arial" w:hAnsi="Arial" w:cs="Arial"/>
          <w:sz w:val="22"/>
          <w:szCs w:val="22"/>
        </w:rPr>
        <w:t>dříve,</w:t>
      </w:r>
      <w:proofErr w:type="gramEnd"/>
      <w:r w:rsidRPr="00C15500">
        <w:rPr>
          <w:rFonts w:ascii="Arial" w:hAnsi="Arial" w:cs="Arial"/>
          <w:sz w:val="22"/>
          <w:szCs w:val="22"/>
        </w:rPr>
        <w:t xml:space="preser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594365E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3F5962">
        <w:rPr>
          <w:rFonts w:ascii="Arial" w:hAnsi="Arial" w:cs="Arial"/>
          <w:sz w:val="22"/>
          <w:szCs w:val="22"/>
        </w:rPr>
        <w:t>10</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3F5962">
        <w:rPr>
          <w:rFonts w:ascii="Arial" w:hAnsi="Arial" w:cs="Arial"/>
          <w:sz w:val="22"/>
          <w:szCs w:val="22"/>
        </w:rPr>
        <w:t>10</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w:t>
      </w:r>
      <w:r w:rsidRPr="00C15500">
        <w:rPr>
          <w:rFonts w:ascii="Arial" w:hAnsi="Arial" w:cs="Arial"/>
          <w:sz w:val="22"/>
          <w:szCs w:val="22"/>
        </w:rPr>
        <w:lastRenderedPageBreak/>
        <w:t xml:space="preserve">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02BC357E"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r w:rsidR="00414912">
        <w:rPr>
          <w:rFonts w:ascii="Arial" w:hAnsi="Arial" w:cs="Arial"/>
          <w:sz w:val="22"/>
          <w:szCs w:val="22"/>
        </w:rPr>
        <w:t xml:space="preserve"> </w:t>
      </w:r>
    </w:p>
    <w:p w14:paraId="3AB2F49F" w14:textId="77777777" w:rsidR="00DE7AA9" w:rsidRPr="00701F27" w:rsidRDefault="00DE7AA9" w:rsidP="00DE7AA9">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Příloha č. 2: Popis technické specifikace předmětu plnění</w:t>
      </w:r>
    </w:p>
    <w:p w14:paraId="7FF43222" w14:textId="49C224DB" w:rsidR="008B2127" w:rsidRPr="00C15500" w:rsidRDefault="008B2127"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 xml:space="preserve">č. </w:t>
      </w:r>
      <w:r w:rsidR="00DE7AA9">
        <w:rPr>
          <w:rFonts w:ascii="Arial" w:hAnsi="Arial" w:cs="Arial"/>
          <w:sz w:val="22"/>
          <w:szCs w:val="22"/>
        </w:rPr>
        <w:t>3</w:t>
      </w:r>
      <w:r w:rsidRPr="00C15500">
        <w:rPr>
          <w:rFonts w:ascii="Arial" w:hAnsi="Arial" w:cs="Arial"/>
          <w:sz w:val="22"/>
          <w:szCs w:val="22"/>
        </w:rPr>
        <w:t xml:space="preserve">: Formulář pro ohlášení změn </w:t>
      </w:r>
      <w:r w:rsidR="00C625D1">
        <w:rPr>
          <w:rFonts w:ascii="Arial" w:hAnsi="Arial" w:cs="Arial"/>
          <w:sz w:val="22"/>
          <w:szCs w:val="22"/>
        </w:rPr>
        <w:t>díla</w:t>
      </w:r>
      <w:r w:rsidRPr="00C15500">
        <w:rPr>
          <w:rFonts w:ascii="Arial" w:hAnsi="Arial" w:cs="Arial"/>
          <w:sz w:val="22"/>
          <w:szCs w:val="22"/>
        </w:rPr>
        <w:t xml:space="preserve"> </w:t>
      </w:r>
      <w:r w:rsidR="00414912">
        <w:rPr>
          <w:rFonts w:ascii="Arial" w:hAnsi="Arial" w:cs="Arial"/>
          <w:sz w:val="22"/>
          <w:szCs w:val="22"/>
        </w:rPr>
        <w:t xml:space="preserve"> </w:t>
      </w:r>
    </w:p>
    <w:p w14:paraId="78845AFA" w14:textId="6A2A653E" w:rsidR="008B2127" w:rsidRPr="00C15500" w:rsidRDefault="008B2127" w:rsidP="008B2127">
      <w:pPr>
        <w:widowControl/>
        <w:tabs>
          <w:tab w:val="left" w:pos="432"/>
        </w:tabs>
        <w:spacing w:line="276" w:lineRule="auto"/>
        <w:ind w:left="432"/>
        <w:jc w:val="left"/>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č.</w:t>
      </w:r>
      <w:r>
        <w:rPr>
          <w:rFonts w:ascii="Arial" w:hAnsi="Arial" w:cs="Arial"/>
          <w:sz w:val="22"/>
          <w:szCs w:val="22"/>
        </w:rPr>
        <w:t xml:space="preserve"> </w:t>
      </w:r>
      <w:r w:rsidR="00DE7AA9">
        <w:rPr>
          <w:rFonts w:ascii="Arial" w:hAnsi="Arial" w:cs="Arial"/>
          <w:sz w:val="22"/>
          <w:szCs w:val="22"/>
        </w:rPr>
        <w:t>4</w:t>
      </w:r>
      <w:r w:rsidRPr="00C15500">
        <w:rPr>
          <w:rFonts w:ascii="Arial" w:hAnsi="Arial" w:cs="Arial"/>
          <w:sz w:val="22"/>
          <w:szCs w:val="22"/>
        </w:rPr>
        <w:t xml:space="preserve">: </w:t>
      </w:r>
      <w:r w:rsidR="002A1868">
        <w:rPr>
          <w:rFonts w:ascii="Arial" w:hAnsi="Arial" w:cs="Arial"/>
          <w:sz w:val="22"/>
          <w:szCs w:val="22"/>
        </w:rPr>
        <w:t>Č</w:t>
      </w:r>
      <w:r w:rsidRPr="00C15500">
        <w:rPr>
          <w:rFonts w:ascii="Arial" w:hAnsi="Arial" w:cs="Arial"/>
          <w:sz w:val="22"/>
          <w:szCs w:val="22"/>
        </w:rPr>
        <w:t xml:space="preserve">asový harmonogram </w:t>
      </w:r>
      <w:r>
        <w:rPr>
          <w:rFonts w:ascii="Arial" w:hAnsi="Arial" w:cs="Arial"/>
          <w:sz w:val="22"/>
          <w:szCs w:val="22"/>
        </w:rPr>
        <w:t xml:space="preserve">dodávky a montáže </w:t>
      </w:r>
      <w:r w:rsidR="00414912">
        <w:rPr>
          <w:rFonts w:ascii="Arial" w:hAnsi="Arial" w:cs="Arial"/>
          <w:sz w:val="22"/>
          <w:szCs w:val="22"/>
        </w:rPr>
        <w:t xml:space="preserve"> </w:t>
      </w:r>
    </w:p>
    <w:p w14:paraId="4CD3762A" w14:textId="012E9A60" w:rsidR="002774DE" w:rsidRPr="006F41E7" w:rsidRDefault="00414912" w:rsidP="00414912">
      <w:pPr>
        <w:widowControl/>
        <w:tabs>
          <w:tab w:val="left" w:pos="432"/>
        </w:tabs>
        <w:spacing w:line="276" w:lineRule="auto"/>
        <w:ind w:left="432"/>
        <w:textAlignment w:val="auto"/>
        <w:rPr>
          <w:rFonts w:ascii="Arial" w:hAnsi="Arial" w:cs="Arial"/>
          <w:b/>
          <w:bCs/>
          <w:sz w:val="22"/>
          <w:szCs w:val="22"/>
        </w:rPr>
      </w:pPr>
      <w:r>
        <w:rPr>
          <w:rFonts w:ascii="Arial" w:hAnsi="Arial" w:cs="Arial"/>
          <w:sz w:val="22"/>
          <w:szCs w:val="22"/>
        </w:rPr>
        <w:t xml:space="preserve"> </w:t>
      </w:r>
      <w:r w:rsidR="000E102E" w:rsidRPr="00C15500">
        <w:rPr>
          <w:rFonts w:ascii="Arial" w:hAnsi="Arial" w:cs="Arial"/>
          <w:sz w:val="22"/>
          <w:szCs w:val="22"/>
        </w:rPr>
        <w:t xml:space="preserve">              </w:t>
      </w:r>
      <w:r w:rsidR="006F41E7">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sidR="006F41E7">
        <w:rPr>
          <w:rFonts w:ascii="Arial" w:hAnsi="Arial" w:cs="Arial"/>
          <w:b/>
          <w:bCs/>
          <w:sz w:val="22"/>
          <w:szCs w:val="22"/>
        </w:rPr>
        <w:t xml:space="preserve">       </w:t>
      </w:r>
      <w:r w:rsidR="00755C6B">
        <w:rPr>
          <w:rFonts w:ascii="Arial" w:hAnsi="Arial" w:cs="Arial"/>
          <w:b/>
          <w:bCs/>
          <w:sz w:val="22"/>
          <w:szCs w:val="22"/>
        </w:rPr>
        <w:t xml:space="preserve">                                   </w:t>
      </w:r>
      <w:r w:rsidR="006F41E7">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3B178991" w14:textId="77777777" w:rsidR="00414912" w:rsidRDefault="00414912" w:rsidP="00040850">
      <w:pPr>
        <w:autoSpaceDE w:val="0"/>
        <w:spacing w:line="276" w:lineRule="auto"/>
        <w:jc w:val="left"/>
        <w:rPr>
          <w:rFonts w:ascii="Arial" w:hAnsi="Arial" w:cs="Arial"/>
          <w:sz w:val="22"/>
          <w:szCs w:val="22"/>
        </w:rPr>
      </w:pPr>
    </w:p>
    <w:p w14:paraId="154DAE5F" w14:textId="77777777" w:rsidR="00414912" w:rsidRDefault="00414912" w:rsidP="00040850">
      <w:pPr>
        <w:autoSpaceDE w:val="0"/>
        <w:spacing w:line="276" w:lineRule="auto"/>
        <w:jc w:val="left"/>
        <w:rPr>
          <w:rFonts w:ascii="Arial" w:hAnsi="Arial" w:cs="Arial"/>
          <w:sz w:val="22"/>
          <w:szCs w:val="22"/>
        </w:rPr>
      </w:pPr>
    </w:p>
    <w:p w14:paraId="579BBB95" w14:textId="77777777" w:rsidR="00414912" w:rsidRDefault="00414912"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693E3F1D" w14:textId="5F3496DC" w:rsidR="00414912" w:rsidRPr="00414912" w:rsidRDefault="00414912" w:rsidP="00414912">
      <w:pPr>
        <w:rPr>
          <w:rFonts w:ascii="Arial" w:eastAsia="Calibri" w:hAnsi="Arial" w:cs="Arial"/>
          <w:sz w:val="22"/>
          <w:szCs w:val="22"/>
          <w:lang w:eastAsia="en-US"/>
        </w:rPr>
      </w:pPr>
      <w:r w:rsidRPr="00414912">
        <w:rPr>
          <w:rFonts w:ascii="Arial" w:eastAsia="Calibri" w:hAnsi="Arial" w:cs="Arial"/>
          <w:sz w:val="22"/>
          <w:szCs w:val="22"/>
          <w:lang w:eastAsia="en-US"/>
        </w:rPr>
        <w:t xml:space="preserve">Dalibor Hájek   </w:t>
      </w:r>
      <w:r>
        <w:rPr>
          <w:rFonts w:ascii="Arial" w:eastAsia="Calibri" w:hAnsi="Arial" w:cs="Arial"/>
          <w:sz w:val="22"/>
          <w:szCs w:val="22"/>
          <w:lang w:eastAsia="en-US"/>
        </w:rPr>
        <w:t xml:space="preserve">                                                                    </w:t>
      </w:r>
      <w:r w:rsidRPr="00E92CEB">
        <w:rPr>
          <w:rFonts w:ascii="Arial" w:eastAsia="MS Mincho" w:hAnsi="Arial" w:cs="Arial"/>
          <w:sz w:val="22"/>
          <w:szCs w:val="22"/>
        </w:rPr>
        <w:t>PhDr. Renáta Honsů, MBA</w:t>
      </w:r>
    </w:p>
    <w:p w14:paraId="2CFF94C7" w14:textId="652CE409" w:rsidR="00414912" w:rsidRPr="004569BB" w:rsidRDefault="00414912" w:rsidP="00414912">
      <w:pPr>
        <w:autoSpaceDE w:val="0"/>
        <w:autoSpaceDN w:val="0"/>
        <w:adjustRightInd w:val="0"/>
        <w:spacing w:line="276" w:lineRule="auto"/>
        <w:jc w:val="left"/>
        <w:rPr>
          <w:rFonts w:ascii="Arial" w:hAnsi="Arial" w:cs="Arial"/>
          <w:bCs/>
          <w:sz w:val="22"/>
          <w:szCs w:val="22"/>
        </w:rPr>
      </w:pPr>
      <w:r>
        <w:rPr>
          <w:rFonts w:ascii="Arial" w:eastAsia="Calibri" w:hAnsi="Arial" w:cs="Arial"/>
          <w:sz w:val="22"/>
          <w:szCs w:val="22"/>
          <w:lang w:eastAsia="en-US"/>
        </w:rPr>
        <w:t>j</w:t>
      </w:r>
      <w:r w:rsidRPr="00414912">
        <w:rPr>
          <w:rFonts w:ascii="Arial" w:eastAsia="Calibri" w:hAnsi="Arial" w:cs="Arial"/>
          <w:sz w:val="22"/>
          <w:szCs w:val="22"/>
          <w:lang w:eastAsia="en-US"/>
        </w:rPr>
        <w:t xml:space="preserve">ednatel společnosti </w:t>
      </w:r>
      <w:r>
        <w:rPr>
          <w:rFonts w:ascii="Arial" w:eastAsia="Calibri" w:hAnsi="Arial" w:cs="Arial"/>
          <w:sz w:val="22"/>
          <w:szCs w:val="22"/>
          <w:lang w:eastAsia="en-US"/>
        </w:rPr>
        <w:t xml:space="preserve">  </w:t>
      </w:r>
      <w:r w:rsidRPr="00414912">
        <w:rPr>
          <w:rFonts w:ascii="Arial" w:eastAsia="Calibri" w:hAnsi="Arial" w:cs="Arial"/>
          <w:sz w:val="22"/>
          <w:szCs w:val="22"/>
          <w:lang w:eastAsia="en-US"/>
        </w:rPr>
        <w:t xml:space="preserve">                                                   </w:t>
      </w:r>
      <w:r w:rsidR="00243EFA">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Pr="00E92CEB">
        <w:rPr>
          <w:rFonts w:ascii="Arial" w:eastAsia="MS Mincho" w:hAnsi="Arial" w:cs="Arial"/>
          <w:sz w:val="22"/>
          <w:szCs w:val="22"/>
        </w:rPr>
        <w:t>ředitelka příspěvkové organizace</w:t>
      </w:r>
      <w:r w:rsidRPr="00AE6137">
        <w:rPr>
          <w:rFonts w:ascii="Arial" w:hAnsi="Arial" w:cs="Arial"/>
          <w:bCs/>
          <w:sz w:val="22"/>
          <w:szCs w:val="22"/>
        </w:rPr>
        <w:t xml:space="preserve">                                                                                                  </w:t>
      </w:r>
    </w:p>
    <w:p w14:paraId="0F50E1CB" w14:textId="63FB55D5" w:rsidR="00D34ED7" w:rsidRPr="00E92CEB" w:rsidRDefault="00D34ED7" w:rsidP="00414912">
      <w:pPr>
        <w:rPr>
          <w:rFonts w:ascii="Arial" w:eastAsia="MS Mincho" w:hAnsi="Arial" w:cs="Arial"/>
          <w:sz w:val="22"/>
          <w:szCs w:val="22"/>
        </w:rPr>
      </w:pPr>
    </w:p>
    <w:p w14:paraId="1E108BDF" w14:textId="754766D9" w:rsidR="000E102E" w:rsidRPr="00C15500" w:rsidRDefault="004569BB" w:rsidP="00414912">
      <w:pPr>
        <w:autoSpaceDE w:val="0"/>
        <w:autoSpaceDN w:val="0"/>
        <w:adjustRightInd w:val="0"/>
        <w:spacing w:line="276" w:lineRule="auto"/>
        <w:jc w:val="left"/>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w:t>
      </w:r>
      <w:r w:rsidR="00DE7AA9">
        <w:rPr>
          <w:rFonts w:ascii="Arial" w:hAnsi="Arial" w:cs="Arial"/>
          <w:b/>
          <w:bCs/>
          <w:sz w:val="22"/>
          <w:szCs w:val="22"/>
        </w:rPr>
        <w:t>3</w:t>
      </w:r>
    </w:p>
    <w:p w14:paraId="7BD2A367" w14:textId="1C24C5A9"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C625D1">
        <w:rPr>
          <w:rFonts w:ascii="Arial" w:hAnsi="Arial" w:cs="Arial"/>
          <w:b/>
          <w:bCs/>
          <w:sz w:val="22"/>
          <w:szCs w:val="22"/>
        </w:rPr>
        <w:t>DÍLA</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414912">
      <w:headerReference w:type="default" r:id="rId8"/>
      <w:footerReference w:type="default" r:id="rId9"/>
      <w:headerReference w:type="first" r:id="rId10"/>
      <w:pgSz w:w="11906" w:h="16838"/>
      <w:pgMar w:top="1418" w:right="1276" w:bottom="993" w:left="1418"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3A97B" w14:textId="77777777" w:rsidR="007F707F" w:rsidRDefault="007F707F">
      <w:pPr>
        <w:spacing w:line="240" w:lineRule="auto"/>
      </w:pPr>
      <w:r>
        <w:separator/>
      </w:r>
    </w:p>
  </w:endnote>
  <w:endnote w:type="continuationSeparator" w:id="0">
    <w:p w14:paraId="0B94855C" w14:textId="77777777" w:rsidR="007F707F" w:rsidRDefault="007F7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3B8FE" w14:textId="77777777" w:rsidR="007F707F" w:rsidRDefault="007F707F">
      <w:pPr>
        <w:spacing w:line="240" w:lineRule="auto"/>
      </w:pPr>
      <w:r>
        <w:separator/>
      </w:r>
    </w:p>
  </w:footnote>
  <w:footnote w:type="continuationSeparator" w:id="0">
    <w:p w14:paraId="6C063318" w14:textId="77777777" w:rsidR="007F707F" w:rsidRDefault="007F707F">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49"/>
  </w:num>
  <w:num w:numId="6" w16cid:durableId="1542547220">
    <w:abstractNumId w:val="46"/>
  </w:num>
  <w:num w:numId="7" w16cid:durableId="1776511165">
    <w:abstractNumId w:val="47"/>
  </w:num>
  <w:num w:numId="8" w16cid:durableId="887297995">
    <w:abstractNumId w:val="50"/>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27B6A"/>
    <w:rsid w:val="00033E36"/>
    <w:rsid w:val="000341E2"/>
    <w:rsid w:val="00040850"/>
    <w:rsid w:val="000429FC"/>
    <w:rsid w:val="00042E74"/>
    <w:rsid w:val="00047FF8"/>
    <w:rsid w:val="00051821"/>
    <w:rsid w:val="000529B8"/>
    <w:rsid w:val="00054377"/>
    <w:rsid w:val="00062D19"/>
    <w:rsid w:val="000639E1"/>
    <w:rsid w:val="000658AA"/>
    <w:rsid w:val="000669C0"/>
    <w:rsid w:val="00072B19"/>
    <w:rsid w:val="00082BDC"/>
    <w:rsid w:val="000845A2"/>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A35"/>
    <w:rsid w:val="00120649"/>
    <w:rsid w:val="001278F4"/>
    <w:rsid w:val="00136671"/>
    <w:rsid w:val="0014544A"/>
    <w:rsid w:val="0014724E"/>
    <w:rsid w:val="001478A7"/>
    <w:rsid w:val="00147E4A"/>
    <w:rsid w:val="001515A4"/>
    <w:rsid w:val="00157F41"/>
    <w:rsid w:val="001605DC"/>
    <w:rsid w:val="00164D07"/>
    <w:rsid w:val="00167C6C"/>
    <w:rsid w:val="00170C84"/>
    <w:rsid w:val="00175D99"/>
    <w:rsid w:val="00184501"/>
    <w:rsid w:val="00184B17"/>
    <w:rsid w:val="001936CE"/>
    <w:rsid w:val="00195C16"/>
    <w:rsid w:val="001A1344"/>
    <w:rsid w:val="001A2490"/>
    <w:rsid w:val="001A4E54"/>
    <w:rsid w:val="001A5B77"/>
    <w:rsid w:val="001A6197"/>
    <w:rsid w:val="001A68C6"/>
    <w:rsid w:val="001A6FFB"/>
    <w:rsid w:val="001B4AE4"/>
    <w:rsid w:val="001B7180"/>
    <w:rsid w:val="001B79DE"/>
    <w:rsid w:val="001C462D"/>
    <w:rsid w:val="001C56AF"/>
    <w:rsid w:val="001D16BF"/>
    <w:rsid w:val="001D60A0"/>
    <w:rsid w:val="001E09AE"/>
    <w:rsid w:val="001E4986"/>
    <w:rsid w:val="001E70FB"/>
    <w:rsid w:val="001F2A9C"/>
    <w:rsid w:val="001F4FA4"/>
    <w:rsid w:val="0020081C"/>
    <w:rsid w:val="00205BCC"/>
    <w:rsid w:val="00211BC5"/>
    <w:rsid w:val="00211E68"/>
    <w:rsid w:val="002144B9"/>
    <w:rsid w:val="002145B9"/>
    <w:rsid w:val="002208DE"/>
    <w:rsid w:val="00222F01"/>
    <w:rsid w:val="00226175"/>
    <w:rsid w:val="00231B43"/>
    <w:rsid w:val="002401AD"/>
    <w:rsid w:val="00240302"/>
    <w:rsid w:val="00241D1E"/>
    <w:rsid w:val="00243EFA"/>
    <w:rsid w:val="002529DB"/>
    <w:rsid w:val="0025340D"/>
    <w:rsid w:val="002563B1"/>
    <w:rsid w:val="00267178"/>
    <w:rsid w:val="0026766F"/>
    <w:rsid w:val="00271D84"/>
    <w:rsid w:val="0027200B"/>
    <w:rsid w:val="002726D4"/>
    <w:rsid w:val="00272CB0"/>
    <w:rsid w:val="0027484A"/>
    <w:rsid w:val="002774DE"/>
    <w:rsid w:val="00281948"/>
    <w:rsid w:val="00281F84"/>
    <w:rsid w:val="002823F3"/>
    <w:rsid w:val="00287611"/>
    <w:rsid w:val="00290083"/>
    <w:rsid w:val="00293431"/>
    <w:rsid w:val="002A1597"/>
    <w:rsid w:val="002A1868"/>
    <w:rsid w:val="002B1D60"/>
    <w:rsid w:val="002B281B"/>
    <w:rsid w:val="002B6D29"/>
    <w:rsid w:val="002C0637"/>
    <w:rsid w:val="002C29FE"/>
    <w:rsid w:val="002C5395"/>
    <w:rsid w:val="002D19E9"/>
    <w:rsid w:val="002D40D8"/>
    <w:rsid w:val="002E0A5D"/>
    <w:rsid w:val="002E2468"/>
    <w:rsid w:val="002E2721"/>
    <w:rsid w:val="002E5F2D"/>
    <w:rsid w:val="002F1BEB"/>
    <w:rsid w:val="002F4507"/>
    <w:rsid w:val="00301154"/>
    <w:rsid w:val="0030199F"/>
    <w:rsid w:val="00301A43"/>
    <w:rsid w:val="003128C3"/>
    <w:rsid w:val="00321BC1"/>
    <w:rsid w:val="003263E0"/>
    <w:rsid w:val="00340C4B"/>
    <w:rsid w:val="00345DDB"/>
    <w:rsid w:val="00347620"/>
    <w:rsid w:val="0034775D"/>
    <w:rsid w:val="00360BC9"/>
    <w:rsid w:val="00361055"/>
    <w:rsid w:val="00364DF3"/>
    <w:rsid w:val="00373464"/>
    <w:rsid w:val="00374D50"/>
    <w:rsid w:val="00377093"/>
    <w:rsid w:val="00377343"/>
    <w:rsid w:val="00377548"/>
    <w:rsid w:val="00391193"/>
    <w:rsid w:val="003A2039"/>
    <w:rsid w:val="003A3180"/>
    <w:rsid w:val="003A7FFB"/>
    <w:rsid w:val="003B540E"/>
    <w:rsid w:val="003B5423"/>
    <w:rsid w:val="003B66C4"/>
    <w:rsid w:val="003C4260"/>
    <w:rsid w:val="003D15CD"/>
    <w:rsid w:val="003D204F"/>
    <w:rsid w:val="003E3D3F"/>
    <w:rsid w:val="003E4A48"/>
    <w:rsid w:val="003E75EB"/>
    <w:rsid w:val="003E7D57"/>
    <w:rsid w:val="003F5962"/>
    <w:rsid w:val="003F5B88"/>
    <w:rsid w:val="003F5DD3"/>
    <w:rsid w:val="003F66A2"/>
    <w:rsid w:val="003F6E9F"/>
    <w:rsid w:val="0040031D"/>
    <w:rsid w:val="004012EA"/>
    <w:rsid w:val="0040144B"/>
    <w:rsid w:val="00404475"/>
    <w:rsid w:val="004057D4"/>
    <w:rsid w:val="004102D1"/>
    <w:rsid w:val="00413865"/>
    <w:rsid w:val="00414912"/>
    <w:rsid w:val="0041514E"/>
    <w:rsid w:val="0041593C"/>
    <w:rsid w:val="00417FEB"/>
    <w:rsid w:val="00424211"/>
    <w:rsid w:val="004269DF"/>
    <w:rsid w:val="00430D12"/>
    <w:rsid w:val="00433628"/>
    <w:rsid w:val="00442179"/>
    <w:rsid w:val="0045015E"/>
    <w:rsid w:val="00451BCE"/>
    <w:rsid w:val="0045260F"/>
    <w:rsid w:val="004569BB"/>
    <w:rsid w:val="004640F2"/>
    <w:rsid w:val="004662FB"/>
    <w:rsid w:val="00466A35"/>
    <w:rsid w:val="00474E8E"/>
    <w:rsid w:val="004810F4"/>
    <w:rsid w:val="0049232C"/>
    <w:rsid w:val="00496F46"/>
    <w:rsid w:val="004976AF"/>
    <w:rsid w:val="004A0B13"/>
    <w:rsid w:val="004A2E6B"/>
    <w:rsid w:val="004A6CCC"/>
    <w:rsid w:val="004B12E9"/>
    <w:rsid w:val="004B4EAA"/>
    <w:rsid w:val="004B5A13"/>
    <w:rsid w:val="004B6537"/>
    <w:rsid w:val="004C0C38"/>
    <w:rsid w:val="004C245B"/>
    <w:rsid w:val="004C5BA8"/>
    <w:rsid w:val="004C6C3A"/>
    <w:rsid w:val="004D06DC"/>
    <w:rsid w:val="004D1B70"/>
    <w:rsid w:val="004D7A77"/>
    <w:rsid w:val="004D7BEA"/>
    <w:rsid w:val="004D7E66"/>
    <w:rsid w:val="004E0CC3"/>
    <w:rsid w:val="004E55A8"/>
    <w:rsid w:val="004E5D2B"/>
    <w:rsid w:val="004F1600"/>
    <w:rsid w:val="004F373F"/>
    <w:rsid w:val="004F629B"/>
    <w:rsid w:val="00502D6D"/>
    <w:rsid w:val="0052085E"/>
    <w:rsid w:val="00520E23"/>
    <w:rsid w:val="005225C0"/>
    <w:rsid w:val="00524273"/>
    <w:rsid w:val="00530251"/>
    <w:rsid w:val="0053383F"/>
    <w:rsid w:val="00535180"/>
    <w:rsid w:val="005412E1"/>
    <w:rsid w:val="00542888"/>
    <w:rsid w:val="00546FD3"/>
    <w:rsid w:val="00557152"/>
    <w:rsid w:val="005653C2"/>
    <w:rsid w:val="00565994"/>
    <w:rsid w:val="005661CE"/>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7788"/>
    <w:rsid w:val="005F1520"/>
    <w:rsid w:val="005F2C48"/>
    <w:rsid w:val="00605667"/>
    <w:rsid w:val="00610959"/>
    <w:rsid w:val="00611CB1"/>
    <w:rsid w:val="006151FB"/>
    <w:rsid w:val="00616C61"/>
    <w:rsid w:val="006179F1"/>
    <w:rsid w:val="00620DFB"/>
    <w:rsid w:val="00623D4F"/>
    <w:rsid w:val="00633592"/>
    <w:rsid w:val="00651BE1"/>
    <w:rsid w:val="00655625"/>
    <w:rsid w:val="0065727D"/>
    <w:rsid w:val="00657518"/>
    <w:rsid w:val="00662B18"/>
    <w:rsid w:val="00667A3A"/>
    <w:rsid w:val="00670414"/>
    <w:rsid w:val="006735EB"/>
    <w:rsid w:val="00674FB6"/>
    <w:rsid w:val="0067503D"/>
    <w:rsid w:val="00676C47"/>
    <w:rsid w:val="0068202D"/>
    <w:rsid w:val="00686EF8"/>
    <w:rsid w:val="006A25CB"/>
    <w:rsid w:val="006A66EC"/>
    <w:rsid w:val="006A7698"/>
    <w:rsid w:val="006B22DD"/>
    <w:rsid w:val="006B7B2C"/>
    <w:rsid w:val="006C1F80"/>
    <w:rsid w:val="006C29E9"/>
    <w:rsid w:val="006C2A23"/>
    <w:rsid w:val="006C4FA2"/>
    <w:rsid w:val="006E07A7"/>
    <w:rsid w:val="006E37EE"/>
    <w:rsid w:val="006F1F3D"/>
    <w:rsid w:val="006F41E7"/>
    <w:rsid w:val="006F46C3"/>
    <w:rsid w:val="006F5F4F"/>
    <w:rsid w:val="006F7BB0"/>
    <w:rsid w:val="006F7C4E"/>
    <w:rsid w:val="007019D5"/>
    <w:rsid w:val="007025A1"/>
    <w:rsid w:val="0070650A"/>
    <w:rsid w:val="0071289E"/>
    <w:rsid w:val="007155FB"/>
    <w:rsid w:val="00743446"/>
    <w:rsid w:val="007509FB"/>
    <w:rsid w:val="00751512"/>
    <w:rsid w:val="007534A4"/>
    <w:rsid w:val="00755C6B"/>
    <w:rsid w:val="007571C8"/>
    <w:rsid w:val="00762879"/>
    <w:rsid w:val="00770A3F"/>
    <w:rsid w:val="00771CE5"/>
    <w:rsid w:val="00772D69"/>
    <w:rsid w:val="00776A05"/>
    <w:rsid w:val="0078094F"/>
    <w:rsid w:val="00785A23"/>
    <w:rsid w:val="00785D86"/>
    <w:rsid w:val="00794319"/>
    <w:rsid w:val="007B0368"/>
    <w:rsid w:val="007B1605"/>
    <w:rsid w:val="007B4246"/>
    <w:rsid w:val="007B6207"/>
    <w:rsid w:val="007C1519"/>
    <w:rsid w:val="007C619F"/>
    <w:rsid w:val="007C66C4"/>
    <w:rsid w:val="007D43D4"/>
    <w:rsid w:val="007E28F7"/>
    <w:rsid w:val="007E66D4"/>
    <w:rsid w:val="007E6C85"/>
    <w:rsid w:val="007E7235"/>
    <w:rsid w:val="007F40F8"/>
    <w:rsid w:val="007F4561"/>
    <w:rsid w:val="007F707F"/>
    <w:rsid w:val="0080184D"/>
    <w:rsid w:val="00801BF6"/>
    <w:rsid w:val="00804034"/>
    <w:rsid w:val="00805DE3"/>
    <w:rsid w:val="00810BFF"/>
    <w:rsid w:val="00811E5F"/>
    <w:rsid w:val="00812C41"/>
    <w:rsid w:val="00814150"/>
    <w:rsid w:val="00815604"/>
    <w:rsid w:val="00821424"/>
    <w:rsid w:val="00822EBF"/>
    <w:rsid w:val="00824040"/>
    <w:rsid w:val="00826F80"/>
    <w:rsid w:val="00841FDA"/>
    <w:rsid w:val="00843EC9"/>
    <w:rsid w:val="0084466C"/>
    <w:rsid w:val="00853882"/>
    <w:rsid w:val="00853C6A"/>
    <w:rsid w:val="008547F9"/>
    <w:rsid w:val="00856297"/>
    <w:rsid w:val="0086590A"/>
    <w:rsid w:val="00870091"/>
    <w:rsid w:val="00875840"/>
    <w:rsid w:val="00877550"/>
    <w:rsid w:val="008869B0"/>
    <w:rsid w:val="0089354F"/>
    <w:rsid w:val="0089470E"/>
    <w:rsid w:val="008A0F39"/>
    <w:rsid w:val="008A59B7"/>
    <w:rsid w:val="008A71D0"/>
    <w:rsid w:val="008B2127"/>
    <w:rsid w:val="008B2341"/>
    <w:rsid w:val="008B62B4"/>
    <w:rsid w:val="008B6E5E"/>
    <w:rsid w:val="008C27B7"/>
    <w:rsid w:val="008C5272"/>
    <w:rsid w:val="008D2DFA"/>
    <w:rsid w:val="008D7760"/>
    <w:rsid w:val="008E0822"/>
    <w:rsid w:val="008E3B25"/>
    <w:rsid w:val="008E3FD3"/>
    <w:rsid w:val="008E7386"/>
    <w:rsid w:val="008E7D22"/>
    <w:rsid w:val="008F02AC"/>
    <w:rsid w:val="008F3B30"/>
    <w:rsid w:val="008F512A"/>
    <w:rsid w:val="00922B67"/>
    <w:rsid w:val="00933FA2"/>
    <w:rsid w:val="00934A5D"/>
    <w:rsid w:val="009367B4"/>
    <w:rsid w:val="00942521"/>
    <w:rsid w:val="009430DF"/>
    <w:rsid w:val="0094401F"/>
    <w:rsid w:val="00944FBF"/>
    <w:rsid w:val="00950D6F"/>
    <w:rsid w:val="00951B39"/>
    <w:rsid w:val="0095270E"/>
    <w:rsid w:val="00952F63"/>
    <w:rsid w:val="00953BEE"/>
    <w:rsid w:val="00960676"/>
    <w:rsid w:val="00964AAF"/>
    <w:rsid w:val="00964E99"/>
    <w:rsid w:val="00981BFC"/>
    <w:rsid w:val="00983B83"/>
    <w:rsid w:val="00990C00"/>
    <w:rsid w:val="00995530"/>
    <w:rsid w:val="00997485"/>
    <w:rsid w:val="009A09FB"/>
    <w:rsid w:val="009A102F"/>
    <w:rsid w:val="009B2E8E"/>
    <w:rsid w:val="009B2F68"/>
    <w:rsid w:val="009B36C6"/>
    <w:rsid w:val="009B3B93"/>
    <w:rsid w:val="009C0827"/>
    <w:rsid w:val="009C1684"/>
    <w:rsid w:val="009C52D0"/>
    <w:rsid w:val="009D1EED"/>
    <w:rsid w:val="009D7617"/>
    <w:rsid w:val="009E0043"/>
    <w:rsid w:val="009E34B2"/>
    <w:rsid w:val="009E3C0D"/>
    <w:rsid w:val="009E7CFE"/>
    <w:rsid w:val="009F1257"/>
    <w:rsid w:val="00A11B76"/>
    <w:rsid w:val="00A3003C"/>
    <w:rsid w:val="00A306AA"/>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6137"/>
    <w:rsid w:val="00AE6286"/>
    <w:rsid w:val="00AE6EA9"/>
    <w:rsid w:val="00AF26DB"/>
    <w:rsid w:val="00AF3775"/>
    <w:rsid w:val="00AF3C9C"/>
    <w:rsid w:val="00AF7343"/>
    <w:rsid w:val="00B03785"/>
    <w:rsid w:val="00B06836"/>
    <w:rsid w:val="00B14E0D"/>
    <w:rsid w:val="00B23A02"/>
    <w:rsid w:val="00B27E33"/>
    <w:rsid w:val="00B37327"/>
    <w:rsid w:val="00B56DE3"/>
    <w:rsid w:val="00B6319E"/>
    <w:rsid w:val="00B654A4"/>
    <w:rsid w:val="00B6637A"/>
    <w:rsid w:val="00B66EE8"/>
    <w:rsid w:val="00B675E4"/>
    <w:rsid w:val="00B7148F"/>
    <w:rsid w:val="00B83C12"/>
    <w:rsid w:val="00B86020"/>
    <w:rsid w:val="00B920BF"/>
    <w:rsid w:val="00B96C7C"/>
    <w:rsid w:val="00BC13C8"/>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25D1"/>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774C"/>
    <w:rsid w:val="00D762D2"/>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E7AA9"/>
    <w:rsid w:val="00DF4075"/>
    <w:rsid w:val="00DF4097"/>
    <w:rsid w:val="00E00731"/>
    <w:rsid w:val="00E04486"/>
    <w:rsid w:val="00E1055C"/>
    <w:rsid w:val="00E11766"/>
    <w:rsid w:val="00E12ABB"/>
    <w:rsid w:val="00E1692D"/>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A1EDE"/>
    <w:rsid w:val="00EA5F00"/>
    <w:rsid w:val="00EC1503"/>
    <w:rsid w:val="00EC2FEE"/>
    <w:rsid w:val="00EC46C2"/>
    <w:rsid w:val="00ED071B"/>
    <w:rsid w:val="00ED277C"/>
    <w:rsid w:val="00ED3588"/>
    <w:rsid w:val="00EE12E8"/>
    <w:rsid w:val="00EE3224"/>
    <w:rsid w:val="00EE46B9"/>
    <w:rsid w:val="00EE6DA3"/>
    <w:rsid w:val="00F005C8"/>
    <w:rsid w:val="00F017B5"/>
    <w:rsid w:val="00F067DB"/>
    <w:rsid w:val="00F11DF8"/>
    <w:rsid w:val="00F179FE"/>
    <w:rsid w:val="00F339CA"/>
    <w:rsid w:val="00F33D9E"/>
    <w:rsid w:val="00F43D76"/>
    <w:rsid w:val="00F476EA"/>
    <w:rsid w:val="00F505D6"/>
    <w:rsid w:val="00F51B69"/>
    <w:rsid w:val="00F53402"/>
    <w:rsid w:val="00F5405F"/>
    <w:rsid w:val="00F54C0C"/>
    <w:rsid w:val="00F61FFF"/>
    <w:rsid w:val="00F624F8"/>
    <w:rsid w:val="00F63C9C"/>
    <w:rsid w:val="00F70596"/>
    <w:rsid w:val="00F709D6"/>
    <w:rsid w:val="00F70BE3"/>
    <w:rsid w:val="00F72889"/>
    <w:rsid w:val="00F75144"/>
    <w:rsid w:val="00F7726E"/>
    <w:rsid w:val="00F83099"/>
    <w:rsid w:val="00F877C6"/>
    <w:rsid w:val="00F87884"/>
    <w:rsid w:val="00F90EC3"/>
    <w:rsid w:val="00F926C0"/>
    <w:rsid w:val="00F92BC3"/>
    <w:rsid w:val="00F93EF4"/>
    <w:rsid w:val="00F95EE4"/>
    <w:rsid w:val="00FA2B33"/>
    <w:rsid w:val="00FA79CD"/>
    <w:rsid w:val="00FB486F"/>
    <w:rsid w:val="00FB55D3"/>
    <w:rsid w:val="00FC0DEE"/>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355547621">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824392616">
      <w:bodyDiv w:val="1"/>
      <w:marLeft w:val="0"/>
      <w:marRight w:val="0"/>
      <w:marTop w:val="0"/>
      <w:marBottom w:val="0"/>
      <w:divBdr>
        <w:top w:val="none" w:sz="0" w:space="0" w:color="auto"/>
        <w:left w:val="none" w:sz="0" w:space="0" w:color="auto"/>
        <w:bottom w:val="none" w:sz="0" w:space="0" w:color="auto"/>
        <w:right w:val="none" w:sz="0" w:space="0" w:color="auto"/>
      </w:divBdr>
    </w:div>
    <w:div w:id="1236667612">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0251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7965</Words>
  <Characters>46995</Characters>
  <Application>Microsoft Office Word</Application>
  <DocSecurity>0</DocSecurity>
  <Lines>391</Lines>
  <Paragraphs>109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Renata Honsů</cp:lastModifiedBy>
  <cp:revision>13</cp:revision>
  <cp:lastPrinted>2025-08-13T08:21:00Z</cp:lastPrinted>
  <dcterms:created xsi:type="dcterms:W3CDTF">2024-06-24T14:21:00Z</dcterms:created>
  <dcterms:modified xsi:type="dcterms:W3CDTF">2025-08-14T06:55:00Z</dcterms:modified>
</cp:coreProperties>
</file>