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CB43" w14:textId="77777777" w:rsidR="00EE1E6B" w:rsidRDefault="00654002" w:rsidP="00EE1E6B">
      <w:pPr>
        <w:pStyle w:val="Normln1"/>
        <w:spacing w:line="240" w:lineRule="auto"/>
        <w:jc w:val="center"/>
      </w:pPr>
      <w:r w:rsidRPr="0048378A">
        <w:t xml:space="preserve">Příloha č. </w:t>
      </w:r>
      <w:r w:rsidR="009C7083">
        <w:t>5</w:t>
      </w:r>
      <w:r w:rsidRPr="0048378A">
        <w:t xml:space="preserve"> – </w:t>
      </w:r>
      <w:r>
        <w:t xml:space="preserve">Pravidla pro </w:t>
      </w:r>
      <w:proofErr w:type="spellStart"/>
      <w:r>
        <w:t>change</w:t>
      </w:r>
      <w:proofErr w:type="spellEnd"/>
      <w:r>
        <w:t xml:space="preserve"> </w:t>
      </w:r>
      <w:proofErr w:type="spellStart"/>
      <w:r>
        <w:t>reg</w:t>
      </w:r>
      <w:r w:rsidR="001A1F7D">
        <w:t>u</w:t>
      </w:r>
      <w:r>
        <w:t>esty</w:t>
      </w:r>
      <w:proofErr w:type="spellEnd"/>
    </w:p>
    <w:p w14:paraId="29CFAEB8" w14:textId="77777777" w:rsidR="001A6BE6" w:rsidRPr="001A6BE6" w:rsidRDefault="00EE1E6B" w:rsidP="001A6BE6">
      <w:pPr>
        <w:pStyle w:val="Normln1"/>
        <w:jc w:val="center"/>
        <w:rPr>
          <w:rFonts w:ascii="Times New Roman" w:eastAsia="Times New Roman" w:hAnsi="Times New Roman" w:cs="Times New Roman"/>
          <w:b/>
          <w:sz w:val="20"/>
        </w:rPr>
      </w:pPr>
      <w:r w:rsidRPr="00EE1E6B">
        <w:rPr>
          <w:rFonts w:ascii="Times New Roman" w:eastAsia="Times New Roman" w:hAnsi="Times New Roman" w:cs="Times New Roman"/>
          <w:b/>
          <w:sz w:val="20"/>
        </w:rPr>
        <w:t>Smlouv</w:t>
      </w:r>
      <w:r>
        <w:rPr>
          <w:rFonts w:ascii="Times New Roman" w:eastAsia="Times New Roman" w:hAnsi="Times New Roman" w:cs="Times New Roman"/>
          <w:b/>
          <w:sz w:val="20"/>
        </w:rPr>
        <w:t>y</w:t>
      </w:r>
      <w:r w:rsidRPr="00EE1E6B">
        <w:rPr>
          <w:rFonts w:ascii="Times New Roman" w:eastAsia="Times New Roman" w:hAnsi="Times New Roman" w:cs="Times New Roman"/>
          <w:b/>
          <w:sz w:val="20"/>
        </w:rPr>
        <w:t xml:space="preserve"> o poskytování služeb </w:t>
      </w:r>
    </w:p>
    <w:p w14:paraId="1F6E998B" w14:textId="77777777" w:rsidR="00976927" w:rsidRPr="00D22446" w:rsidRDefault="00976927">
      <w:pPr>
        <w:jc w:val="center"/>
        <w:rPr>
          <w:rFonts w:ascii="Arial" w:hAnsi="Arial"/>
          <w:b/>
          <w:color w:val="000000"/>
          <w:lang w:val="cs-CZ"/>
        </w:rPr>
      </w:pPr>
    </w:p>
    <w:p w14:paraId="71053505" w14:textId="77777777" w:rsidR="00976927" w:rsidRPr="00D22446" w:rsidRDefault="00976927">
      <w:pPr>
        <w:numPr>
          <w:ilvl w:val="0"/>
          <w:numId w:val="12"/>
        </w:numPr>
        <w:spacing w:before="240" w:after="120"/>
        <w:ind w:left="482" w:hanging="482"/>
        <w:rPr>
          <w:rFonts w:ascii="Arial" w:hAnsi="Arial"/>
          <w:b/>
          <w:color w:val="000000"/>
          <w:sz w:val="20"/>
          <w:lang w:val="cs-CZ"/>
        </w:rPr>
      </w:pPr>
      <w:r w:rsidRPr="00D22446">
        <w:rPr>
          <w:rFonts w:ascii="Arial" w:hAnsi="Arial"/>
          <w:b/>
          <w:sz w:val="20"/>
          <w:lang w:val="cs-CZ"/>
        </w:rPr>
        <w:t>Úvod</w:t>
      </w:r>
    </w:p>
    <w:p w14:paraId="6FD0049D" w14:textId="77777777" w:rsidR="00976927" w:rsidRPr="00D22446" w:rsidRDefault="00976927">
      <w:pPr>
        <w:numPr>
          <w:ilvl w:val="1"/>
          <w:numId w:val="6"/>
        </w:numPr>
        <w:spacing w:before="60" w:after="60"/>
        <w:ind w:left="482" w:hanging="482"/>
        <w:jc w:val="both"/>
        <w:rPr>
          <w:rFonts w:ascii="Arial" w:hAnsi="Arial"/>
          <w:color w:val="000000"/>
          <w:sz w:val="18"/>
          <w:lang w:val="cs-CZ"/>
        </w:rPr>
      </w:pPr>
      <w:r w:rsidRPr="00D22446">
        <w:rPr>
          <w:rFonts w:ascii="Arial" w:hAnsi="Arial"/>
          <w:sz w:val="18"/>
          <w:lang w:val="cs-CZ"/>
        </w:rPr>
        <w:t xml:space="preserve">Tato příloha popisuje proces řízení změn konfigurace systému Klienta v rámci zpracovatelského systému </w:t>
      </w:r>
      <w:r w:rsidR="00EC551F">
        <w:rPr>
          <w:rFonts w:ascii="Arial" w:hAnsi="Arial"/>
          <w:sz w:val="18"/>
          <w:lang w:val="cs-CZ"/>
        </w:rPr>
        <w:t>dodavatele</w:t>
      </w:r>
      <w:r w:rsidRPr="00D22446">
        <w:rPr>
          <w:rFonts w:ascii="Arial" w:hAnsi="Arial"/>
          <w:sz w:val="18"/>
          <w:lang w:val="cs-CZ"/>
        </w:rPr>
        <w:t>.</w:t>
      </w:r>
    </w:p>
    <w:p w14:paraId="1A4DE85C" w14:textId="77777777" w:rsidR="00976927" w:rsidRPr="00D22446" w:rsidRDefault="00976927">
      <w:pPr>
        <w:numPr>
          <w:ilvl w:val="1"/>
          <w:numId w:val="6"/>
        </w:numPr>
        <w:spacing w:before="60" w:after="60"/>
        <w:ind w:left="482" w:hanging="482"/>
        <w:jc w:val="both"/>
        <w:rPr>
          <w:rFonts w:ascii="Arial" w:hAnsi="Arial"/>
          <w:lang w:val="cs-CZ"/>
        </w:rPr>
      </w:pPr>
      <w:r w:rsidRPr="00D22446">
        <w:rPr>
          <w:rFonts w:ascii="Arial" w:hAnsi="Arial"/>
          <w:sz w:val="18"/>
          <w:lang w:val="cs-CZ"/>
        </w:rPr>
        <w:t>Níže popsaný proces řízení změn se vtahuje na změny probíhající nebo nově zaváděné na podnět Klienta na základě nových obchodních nebo technických požadavků jím vznesených.</w:t>
      </w:r>
      <w:r w:rsidRPr="00D22446">
        <w:rPr>
          <w:rFonts w:ascii="Arial" w:hAnsi="Arial"/>
          <w:color w:val="000000"/>
          <w:sz w:val="18"/>
          <w:lang w:val="cs-CZ"/>
        </w:rPr>
        <w:t xml:space="preserve"> </w:t>
      </w:r>
    </w:p>
    <w:p w14:paraId="39D7C57F" w14:textId="77777777" w:rsidR="00976927" w:rsidRPr="00D22446" w:rsidRDefault="00976927">
      <w:pPr>
        <w:numPr>
          <w:ilvl w:val="1"/>
          <w:numId w:val="6"/>
        </w:numPr>
        <w:spacing w:before="60" w:after="60"/>
        <w:ind w:left="482" w:hanging="482"/>
        <w:jc w:val="both"/>
        <w:rPr>
          <w:rFonts w:ascii="Arial" w:hAnsi="Arial"/>
          <w:color w:val="000000"/>
          <w:sz w:val="18"/>
          <w:lang w:val="cs-CZ"/>
        </w:rPr>
      </w:pPr>
      <w:r w:rsidRPr="00D22446">
        <w:rPr>
          <w:rFonts w:ascii="Arial" w:hAnsi="Arial"/>
          <w:sz w:val="18"/>
          <w:lang w:val="cs-CZ"/>
        </w:rPr>
        <w:t>Na žádosti o změnu stávající klientské konfigurace z důvodu selhání systému (systémové chyby) se nevztahuje níže popsaný proces řízení změn</w:t>
      </w:r>
    </w:p>
    <w:p w14:paraId="25C07C32" w14:textId="77777777" w:rsidR="00976927" w:rsidRPr="00D22446" w:rsidRDefault="00976927">
      <w:pPr>
        <w:spacing w:before="60" w:after="60"/>
        <w:jc w:val="both"/>
        <w:rPr>
          <w:rFonts w:ascii="Arial" w:hAnsi="Arial"/>
          <w:color w:val="000000"/>
          <w:sz w:val="18"/>
          <w:lang w:val="cs-CZ"/>
        </w:rPr>
      </w:pPr>
    </w:p>
    <w:p w14:paraId="64694295" w14:textId="77777777" w:rsidR="00976927" w:rsidRPr="00D22446" w:rsidRDefault="00976927">
      <w:pPr>
        <w:numPr>
          <w:ilvl w:val="0"/>
          <w:numId w:val="12"/>
        </w:numPr>
        <w:spacing w:before="240" w:after="120"/>
        <w:ind w:left="482" w:hanging="482"/>
        <w:rPr>
          <w:rFonts w:ascii="Arial" w:hAnsi="Arial"/>
          <w:color w:val="000000"/>
          <w:sz w:val="18"/>
          <w:lang w:val="cs-CZ"/>
        </w:rPr>
      </w:pPr>
      <w:r w:rsidRPr="00D22446">
        <w:rPr>
          <w:rFonts w:ascii="Arial" w:hAnsi="Arial"/>
          <w:b/>
          <w:sz w:val="20"/>
          <w:lang w:val="cs-CZ"/>
        </w:rPr>
        <w:t>Použité pojmy a zkratky</w:t>
      </w:r>
    </w:p>
    <w:p w14:paraId="352C45B7" w14:textId="77777777" w:rsidR="00976927" w:rsidRPr="00D22446" w:rsidRDefault="00976927">
      <w:pPr>
        <w:numPr>
          <w:ilvl w:val="1"/>
          <w:numId w:val="15"/>
        </w:numPr>
        <w:spacing w:before="60" w:after="60"/>
        <w:jc w:val="both"/>
        <w:rPr>
          <w:rFonts w:ascii="Arial" w:hAnsi="Arial"/>
          <w:color w:val="000000"/>
          <w:sz w:val="18"/>
          <w:lang w:val="cs-CZ"/>
        </w:rPr>
      </w:pPr>
      <w:r w:rsidRPr="00D22446">
        <w:rPr>
          <w:rFonts w:ascii="Arial" w:hAnsi="Arial"/>
          <w:sz w:val="18"/>
          <w:lang w:val="cs-CZ"/>
        </w:rPr>
        <w:t>V tomto dokumentu se používají tyto pojmy a zkratky</w:t>
      </w:r>
    </w:p>
    <w:p w14:paraId="7E7B536B" w14:textId="77777777" w:rsidR="00EE1E6B" w:rsidRDefault="00EE1E6B">
      <w:pPr>
        <w:numPr>
          <w:ilvl w:val="2"/>
          <w:numId w:val="21"/>
        </w:numPr>
        <w:tabs>
          <w:tab w:val="clear" w:pos="360"/>
          <w:tab w:val="left" w:pos="900"/>
        </w:tabs>
        <w:spacing w:before="60" w:after="60"/>
        <w:ind w:left="900"/>
        <w:jc w:val="both"/>
        <w:rPr>
          <w:rFonts w:ascii="Arial" w:hAnsi="Arial"/>
          <w:color w:val="000000"/>
          <w:sz w:val="18"/>
          <w:lang w:val="cs-CZ"/>
        </w:rPr>
      </w:pPr>
      <w:r>
        <w:rPr>
          <w:rFonts w:ascii="Arial" w:hAnsi="Arial"/>
          <w:i/>
          <w:color w:val="000000"/>
          <w:sz w:val="18"/>
          <w:lang w:val="cs-CZ"/>
        </w:rPr>
        <w:t xml:space="preserve">Klient – </w:t>
      </w:r>
      <w:r>
        <w:rPr>
          <w:rFonts w:ascii="Arial" w:hAnsi="Arial"/>
          <w:color w:val="000000"/>
          <w:sz w:val="18"/>
          <w:lang w:val="cs-CZ"/>
        </w:rPr>
        <w:t>Objednatel</w:t>
      </w:r>
    </w:p>
    <w:p w14:paraId="5C3C3D2F" w14:textId="77777777" w:rsidR="00EE1E6B" w:rsidRPr="009C7083" w:rsidRDefault="00EE1E6B">
      <w:pPr>
        <w:numPr>
          <w:ilvl w:val="2"/>
          <w:numId w:val="21"/>
        </w:numPr>
        <w:tabs>
          <w:tab w:val="clear" w:pos="360"/>
          <w:tab w:val="left" w:pos="900"/>
        </w:tabs>
        <w:spacing w:before="60" w:after="60"/>
        <w:ind w:left="900"/>
        <w:jc w:val="both"/>
        <w:rPr>
          <w:rFonts w:ascii="Arial" w:hAnsi="Arial"/>
          <w:color w:val="000000"/>
          <w:sz w:val="18"/>
          <w:lang w:val="cs-CZ"/>
        </w:rPr>
      </w:pPr>
      <w:r>
        <w:rPr>
          <w:rFonts w:ascii="Arial" w:hAnsi="Arial"/>
          <w:color w:val="000000"/>
          <w:sz w:val="18"/>
          <w:lang w:val="cs-CZ"/>
        </w:rPr>
        <w:t xml:space="preserve">Zhotovitel </w:t>
      </w:r>
    </w:p>
    <w:p w14:paraId="0E042418"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i/>
          <w:sz w:val="18"/>
          <w:lang w:val="cs-CZ"/>
        </w:rPr>
        <w:t>žádost o změnu</w:t>
      </w:r>
      <w:r w:rsidRPr="00D22446">
        <w:rPr>
          <w:rFonts w:ascii="Arial" w:hAnsi="Arial"/>
          <w:sz w:val="18"/>
          <w:lang w:val="cs-CZ"/>
        </w:rPr>
        <w:t xml:space="preserve"> – formální písemná žádost Klienta o modifikaci (rekonfiguraci) systému nebo jeho doplnění</w:t>
      </w:r>
    </w:p>
    <w:p w14:paraId="4FE97566"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i/>
          <w:sz w:val="18"/>
          <w:lang w:val="cs-CZ"/>
        </w:rPr>
        <w:t>žadatel o změnu</w:t>
      </w:r>
      <w:r w:rsidRPr="00D22446">
        <w:rPr>
          <w:rFonts w:ascii="Arial" w:hAnsi="Arial"/>
          <w:sz w:val="18"/>
          <w:lang w:val="cs-CZ"/>
        </w:rPr>
        <w:t xml:space="preserve"> – oprávněný zástupce Klienta, jenž podepisuje a formálně předkládá společnosti </w:t>
      </w:r>
      <w:r w:rsidR="00EC551F">
        <w:rPr>
          <w:rFonts w:ascii="Arial" w:hAnsi="Arial"/>
          <w:sz w:val="18"/>
          <w:lang w:val="cs-CZ"/>
        </w:rPr>
        <w:t>dodavatele</w:t>
      </w:r>
      <w:r w:rsidRPr="00D22446">
        <w:rPr>
          <w:rFonts w:ascii="Arial" w:hAnsi="Arial"/>
          <w:sz w:val="18"/>
          <w:lang w:val="cs-CZ"/>
        </w:rPr>
        <w:t xml:space="preserve"> písemnou žádost o změnu</w:t>
      </w:r>
      <w:r w:rsidR="00EE1E6B">
        <w:rPr>
          <w:rFonts w:ascii="Arial" w:hAnsi="Arial"/>
          <w:sz w:val="18"/>
          <w:lang w:val="cs-CZ"/>
        </w:rPr>
        <w:t>;  Oprávněným zástupcem Klienta je primární nebo záložní kontakt pro smluvní záležitosti Objednatele dle přílohy 3 Smlouvy</w:t>
      </w:r>
    </w:p>
    <w:p w14:paraId="4A49AB3D"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i/>
          <w:sz w:val="18"/>
          <w:lang w:val="cs-CZ"/>
        </w:rPr>
        <w:t>vyhodnocení změny</w:t>
      </w:r>
      <w:r w:rsidRPr="00D22446">
        <w:rPr>
          <w:rFonts w:ascii="Arial" w:hAnsi="Arial"/>
          <w:sz w:val="18"/>
          <w:lang w:val="cs-CZ"/>
        </w:rPr>
        <w:t xml:space="preserve"> – vnitřní proces ve společnosti </w:t>
      </w:r>
      <w:r w:rsidR="00EC551F">
        <w:rPr>
          <w:rFonts w:ascii="Arial" w:hAnsi="Arial"/>
          <w:sz w:val="18"/>
          <w:lang w:val="cs-CZ"/>
        </w:rPr>
        <w:t>dodavatele</w:t>
      </w:r>
      <w:r w:rsidRPr="00D22446">
        <w:rPr>
          <w:rFonts w:ascii="Arial" w:hAnsi="Arial"/>
          <w:sz w:val="18"/>
          <w:lang w:val="cs-CZ"/>
        </w:rPr>
        <w:t>, kdy se provádí vyhodnocení žádosti Klienta, což zahrnuje také plánování a tvorbu rozpočtu</w:t>
      </w:r>
    </w:p>
    <w:p w14:paraId="073B0D31"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i/>
          <w:sz w:val="18"/>
          <w:lang w:val="cs-CZ"/>
        </w:rPr>
        <w:t xml:space="preserve">formulář žádosti o změnu </w:t>
      </w:r>
      <w:r w:rsidRPr="00D22446">
        <w:rPr>
          <w:rFonts w:ascii="Arial" w:hAnsi="Arial"/>
          <w:sz w:val="18"/>
          <w:lang w:val="cs-CZ"/>
        </w:rPr>
        <w:t xml:space="preserve">– šablona, kterou by měli Klient a </w:t>
      </w:r>
      <w:r w:rsidR="00EC551F">
        <w:rPr>
          <w:rFonts w:ascii="Arial" w:hAnsi="Arial"/>
          <w:sz w:val="18"/>
          <w:lang w:val="cs-CZ"/>
        </w:rPr>
        <w:t>dodavatel</w:t>
      </w:r>
      <w:r w:rsidRPr="00D22446">
        <w:rPr>
          <w:rFonts w:ascii="Arial" w:hAnsi="Arial"/>
          <w:sz w:val="18"/>
          <w:lang w:val="cs-CZ"/>
        </w:rPr>
        <w:t xml:space="preserve"> používat pro oficiální písemnou komunikaci ve věci žádosti o změnu.</w:t>
      </w:r>
    </w:p>
    <w:p w14:paraId="7F75D5F5" w14:textId="77777777" w:rsidR="00976927" w:rsidRPr="00D22446" w:rsidRDefault="00976927">
      <w:pPr>
        <w:tabs>
          <w:tab w:val="left" w:pos="900"/>
        </w:tabs>
        <w:spacing w:before="60" w:after="60"/>
        <w:ind w:left="540"/>
        <w:jc w:val="both"/>
        <w:rPr>
          <w:rFonts w:ascii="Arial" w:hAnsi="Arial"/>
          <w:color w:val="000000"/>
          <w:sz w:val="18"/>
          <w:lang w:val="cs-CZ"/>
        </w:rPr>
      </w:pPr>
    </w:p>
    <w:p w14:paraId="669E0AF1" w14:textId="77777777" w:rsidR="00976927" w:rsidRPr="00D22446" w:rsidRDefault="00976927">
      <w:pPr>
        <w:numPr>
          <w:ilvl w:val="0"/>
          <w:numId w:val="12"/>
        </w:numPr>
        <w:spacing w:before="240" w:after="120"/>
        <w:ind w:left="482" w:hanging="482"/>
        <w:rPr>
          <w:rFonts w:ascii="Arial" w:hAnsi="Arial"/>
          <w:color w:val="000000"/>
          <w:sz w:val="18"/>
          <w:lang w:val="cs-CZ"/>
        </w:rPr>
      </w:pPr>
      <w:r w:rsidRPr="00D22446">
        <w:rPr>
          <w:rFonts w:ascii="Arial" w:hAnsi="Arial"/>
          <w:b/>
          <w:sz w:val="20"/>
          <w:lang w:val="cs-CZ"/>
        </w:rPr>
        <w:t>Popis procesu</w:t>
      </w:r>
    </w:p>
    <w:p w14:paraId="5816B1F7" w14:textId="77777777" w:rsidR="00976927" w:rsidRPr="00D22446" w:rsidRDefault="00976927">
      <w:pPr>
        <w:numPr>
          <w:ilvl w:val="1"/>
          <w:numId w:val="19"/>
        </w:numPr>
        <w:spacing w:before="60" w:after="60"/>
        <w:jc w:val="both"/>
        <w:rPr>
          <w:rFonts w:ascii="Arial" w:hAnsi="Arial"/>
          <w:color w:val="000000"/>
          <w:sz w:val="18"/>
          <w:lang w:val="cs-CZ"/>
        </w:rPr>
      </w:pPr>
      <w:r w:rsidRPr="00D22446">
        <w:rPr>
          <w:rFonts w:ascii="Arial" w:hAnsi="Arial"/>
          <w:sz w:val="18"/>
          <w:lang w:val="cs-CZ"/>
        </w:rPr>
        <w:t>Proces řízení změny má následující fáze:</w:t>
      </w:r>
    </w:p>
    <w:p w14:paraId="79B63894" w14:textId="77777777" w:rsidR="00976927" w:rsidRPr="00D22446" w:rsidRDefault="00976927">
      <w:pPr>
        <w:numPr>
          <w:ilvl w:val="2"/>
          <w:numId w:val="21"/>
        </w:numPr>
        <w:tabs>
          <w:tab w:val="clear" w:pos="360"/>
          <w:tab w:val="left" w:pos="900"/>
        </w:tabs>
        <w:spacing w:before="60" w:after="60"/>
        <w:ind w:left="900"/>
        <w:jc w:val="both"/>
        <w:rPr>
          <w:rFonts w:ascii="Arial" w:hAnsi="Arial"/>
          <w:lang w:val="cs-CZ"/>
        </w:rPr>
      </w:pPr>
      <w:r w:rsidRPr="00D22446">
        <w:rPr>
          <w:rFonts w:ascii="Arial" w:hAnsi="Arial"/>
          <w:sz w:val="18"/>
          <w:lang w:val="cs-CZ"/>
        </w:rPr>
        <w:t>podání žádosti o změnu</w:t>
      </w:r>
      <w:r w:rsidRPr="00D22446">
        <w:rPr>
          <w:rFonts w:ascii="Arial" w:hAnsi="Arial"/>
          <w:color w:val="000000"/>
          <w:sz w:val="18"/>
          <w:lang w:val="cs-CZ"/>
        </w:rPr>
        <w:t xml:space="preserve"> </w:t>
      </w:r>
    </w:p>
    <w:p w14:paraId="5EA57C87" w14:textId="77777777" w:rsidR="00976927" w:rsidRPr="00D22446" w:rsidRDefault="00976927">
      <w:pPr>
        <w:numPr>
          <w:ilvl w:val="2"/>
          <w:numId w:val="21"/>
        </w:numPr>
        <w:tabs>
          <w:tab w:val="clear" w:pos="360"/>
          <w:tab w:val="left" w:pos="900"/>
        </w:tabs>
        <w:spacing w:before="60" w:after="60"/>
        <w:ind w:left="900"/>
        <w:jc w:val="both"/>
        <w:rPr>
          <w:rFonts w:ascii="Arial" w:hAnsi="Arial"/>
          <w:lang w:val="cs-CZ"/>
        </w:rPr>
      </w:pPr>
      <w:r w:rsidRPr="00D22446">
        <w:rPr>
          <w:rFonts w:ascii="Arial" w:hAnsi="Arial"/>
          <w:sz w:val="18"/>
          <w:lang w:val="cs-CZ"/>
        </w:rPr>
        <w:t>přijetí žádosti</w:t>
      </w:r>
      <w:r w:rsidRPr="00D22446">
        <w:rPr>
          <w:rFonts w:ascii="Arial" w:hAnsi="Arial"/>
          <w:color w:val="000000"/>
          <w:sz w:val="18"/>
          <w:lang w:val="cs-CZ"/>
        </w:rPr>
        <w:t xml:space="preserve"> </w:t>
      </w:r>
    </w:p>
    <w:p w14:paraId="0DA71D24"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sz w:val="18"/>
          <w:lang w:val="cs-CZ"/>
        </w:rPr>
        <w:t>vyhodnocení žádosti</w:t>
      </w:r>
    </w:p>
    <w:p w14:paraId="5F15963D"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sz w:val="18"/>
          <w:lang w:val="cs-CZ"/>
        </w:rPr>
        <w:t>schválení změny</w:t>
      </w:r>
    </w:p>
    <w:p w14:paraId="5A3189C9" w14:textId="77777777" w:rsidR="00976927" w:rsidRPr="00D22446" w:rsidRDefault="00976927">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sz w:val="18"/>
          <w:lang w:val="cs-CZ"/>
        </w:rPr>
        <w:t>provedení změny</w:t>
      </w:r>
    </w:p>
    <w:p w14:paraId="397FC5E0" w14:textId="77777777" w:rsidR="00976927" w:rsidRPr="00D22446" w:rsidRDefault="00976927">
      <w:pPr>
        <w:numPr>
          <w:ilvl w:val="1"/>
          <w:numId w:val="19"/>
        </w:numPr>
        <w:spacing w:before="60" w:after="60"/>
        <w:ind w:left="482" w:hanging="482"/>
        <w:jc w:val="both"/>
        <w:rPr>
          <w:rFonts w:ascii="Arial" w:hAnsi="Arial"/>
          <w:b/>
          <w:i/>
          <w:color w:val="000000"/>
          <w:sz w:val="18"/>
          <w:lang w:val="cs-CZ"/>
        </w:rPr>
      </w:pPr>
      <w:r w:rsidRPr="00D22446">
        <w:rPr>
          <w:rFonts w:ascii="Arial" w:hAnsi="Arial"/>
          <w:b/>
          <w:i/>
          <w:sz w:val="18"/>
          <w:lang w:val="cs-CZ"/>
        </w:rPr>
        <w:t>Fáze I – podání žádosti o změnu</w:t>
      </w:r>
    </w:p>
    <w:p w14:paraId="75D704C1"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Žadatel o změnu vyplní příslušné položky v žádosti o změnu.</w:t>
      </w:r>
      <w:r w:rsidRPr="00D22446">
        <w:rPr>
          <w:rFonts w:ascii="Arial" w:hAnsi="Arial"/>
          <w:color w:val="000000"/>
          <w:sz w:val="18"/>
          <w:lang w:val="cs-CZ"/>
        </w:rPr>
        <w:t xml:space="preserve"> </w:t>
      </w:r>
    </w:p>
    <w:p w14:paraId="54DE4CE9" w14:textId="77777777" w:rsidR="00EE1E6B" w:rsidRPr="00D22446" w:rsidRDefault="00976927" w:rsidP="00EE1E6B">
      <w:pPr>
        <w:numPr>
          <w:ilvl w:val="2"/>
          <w:numId w:val="21"/>
        </w:numPr>
        <w:tabs>
          <w:tab w:val="clear" w:pos="360"/>
          <w:tab w:val="left" w:pos="900"/>
        </w:tabs>
        <w:spacing w:before="60" w:after="60"/>
        <w:ind w:left="900"/>
        <w:jc w:val="both"/>
        <w:rPr>
          <w:rFonts w:ascii="Arial" w:hAnsi="Arial"/>
          <w:color w:val="000000"/>
          <w:sz w:val="18"/>
          <w:lang w:val="cs-CZ"/>
        </w:rPr>
      </w:pPr>
      <w:r w:rsidRPr="00D22446">
        <w:rPr>
          <w:rFonts w:ascii="Arial" w:hAnsi="Arial"/>
          <w:sz w:val="18"/>
          <w:lang w:val="cs-CZ"/>
        </w:rPr>
        <w:t xml:space="preserve">První fáze začíná v okamžiku, kdy je žádost předložena společnosti </w:t>
      </w:r>
      <w:r w:rsidR="00EC551F">
        <w:rPr>
          <w:rFonts w:ascii="Arial" w:hAnsi="Arial"/>
          <w:sz w:val="18"/>
          <w:lang w:val="cs-CZ"/>
        </w:rPr>
        <w:t>dodavatele</w:t>
      </w:r>
      <w:r w:rsidRPr="00D22446">
        <w:rPr>
          <w:rFonts w:ascii="Arial" w:hAnsi="Arial"/>
          <w:sz w:val="18"/>
          <w:lang w:val="cs-CZ"/>
        </w:rPr>
        <w:t>.</w:t>
      </w:r>
      <w:r w:rsidRPr="00D22446">
        <w:rPr>
          <w:rFonts w:ascii="Arial" w:hAnsi="Arial"/>
          <w:color w:val="000000"/>
          <w:sz w:val="18"/>
          <w:lang w:val="cs-CZ"/>
        </w:rPr>
        <w:t xml:space="preserve"> </w:t>
      </w:r>
      <w:r w:rsidRPr="00D22446">
        <w:rPr>
          <w:rFonts w:ascii="Arial" w:hAnsi="Arial"/>
          <w:sz w:val="18"/>
          <w:lang w:val="cs-CZ"/>
        </w:rPr>
        <w:t xml:space="preserve">Žádost musí být podepsána žadatelem o změnu a odeslána e-mailem příslušnému pracovníkovi </w:t>
      </w:r>
      <w:r w:rsidR="00EC551F">
        <w:rPr>
          <w:rFonts w:ascii="Arial" w:hAnsi="Arial"/>
          <w:sz w:val="18"/>
          <w:lang w:val="cs-CZ"/>
        </w:rPr>
        <w:t>dodavatele</w:t>
      </w:r>
      <w:r w:rsidR="00EE1E6B">
        <w:rPr>
          <w:rFonts w:ascii="Arial" w:hAnsi="Arial"/>
          <w:sz w:val="18"/>
          <w:lang w:val="cs-CZ"/>
        </w:rPr>
        <w:t xml:space="preserve">, což je primární nebo záložní kontakt pro smluvní záležitosti </w:t>
      </w:r>
      <w:r w:rsidR="00EC551F">
        <w:rPr>
          <w:rFonts w:ascii="Arial" w:hAnsi="Arial"/>
          <w:sz w:val="18"/>
          <w:lang w:val="cs-CZ"/>
        </w:rPr>
        <w:t xml:space="preserve">dodavatele </w:t>
      </w:r>
      <w:r w:rsidR="00EE1E6B">
        <w:rPr>
          <w:rFonts w:ascii="Arial" w:hAnsi="Arial"/>
          <w:sz w:val="18"/>
          <w:lang w:val="cs-CZ"/>
        </w:rPr>
        <w:t>dle přílohy 3 Smlouvy</w:t>
      </w:r>
    </w:p>
    <w:p w14:paraId="6F395697"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První fáze končí odesláním vyplněné žádosti společnosti </w:t>
      </w:r>
      <w:r w:rsidR="00EC551F">
        <w:rPr>
          <w:rFonts w:ascii="Arial" w:hAnsi="Arial"/>
          <w:sz w:val="18"/>
          <w:lang w:val="cs-CZ"/>
        </w:rPr>
        <w:t>dodavatele</w:t>
      </w:r>
      <w:r w:rsidRPr="00D22446">
        <w:rPr>
          <w:rFonts w:ascii="Arial" w:hAnsi="Arial"/>
          <w:sz w:val="18"/>
          <w:lang w:val="cs-CZ"/>
        </w:rPr>
        <w:t>.</w:t>
      </w:r>
    </w:p>
    <w:p w14:paraId="05BBD7CB" w14:textId="77777777" w:rsidR="00976927" w:rsidRPr="00D22446" w:rsidRDefault="00976927">
      <w:pPr>
        <w:numPr>
          <w:ilvl w:val="1"/>
          <w:numId w:val="19"/>
        </w:numPr>
        <w:spacing w:before="60" w:after="60"/>
        <w:ind w:left="482" w:hanging="482"/>
        <w:jc w:val="both"/>
        <w:rPr>
          <w:rFonts w:ascii="Arial" w:hAnsi="Arial"/>
          <w:b/>
          <w:i/>
          <w:color w:val="000000"/>
          <w:sz w:val="18"/>
          <w:lang w:val="cs-CZ"/>
        </w:rPr>
      </w:pPr>
      <w:r w:rsidRPr="00D22446">
        <w:rPr>
          <w:rFonts w:ascii="Arial" w:hAnsi="Arial"/>
          <w:b/>
          <w:i/>
          <w:sz w:val="18"/>
          <w:lang w:val="cs-CZ"/>
        </w:rPr>
        <w:t>Fáze II – přijetí žádosti</w:t>
      </w:r>
    </w:p>
    <w:p w14:paraId="125240D2"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Druhá fáze začíná ve chvíli, když oprávněný pracovník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přijme elektronickou žádost o změnu.</w:t>
      </w:r>
      <w:r w:rsidRPr="00D22446">
        <w:rPr>
          <w:rFonts w:ascii="Arial" w:hAnsi="Arial"/>
          <w:color w:val="000000"/>
          <w:sz w:val="18"/>
          <w:lang w:val="cs-CZ"/>
        </w:rPr>
        <w:t xml:space="preserve"> </w:t>
      </w:r>
      <w:r w:rsidRPr="00D22446">
        <w:rPr>
          <w:rFonts w:ascii="Arial" w:hAnsi="Arial"/>
          <w:sz w:val="18"/>
          <w:lang w:val="cs-CZ"/>
        </w:rPr>
        <w:t>Žádost v písemné formě se vyžaduje za účelem archivace.</w:t>
      </w:r>
    </w:p>
    <w:p w14:paraId="788D62FF"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Pracovníci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zašlou žadateli o změnu náležité vyrozumění o přijetí žádosti do 10 (deseti) pracovních dní ode dne doručení žádosti Klienta e-mailem.</w:t>
      </w:r>
      <w:r w:rsidR="00EF7B35">
        <w:rPr>
          <w:rFonts w:ascii="Arial" w:hAnsi="Arial"/>
          <w:sz w:val="18"/>
          <w:lang w:val="cs-CZ"/>
        </w:rPr>
        <w:t xml:space="preserve"> Pokud takové vyrozumění nebude Klientovi zasláno, má se za to, že žádost byla bez dalšího </w:t>
      </w:r>
      <w:r w:rsidR="009C7083">
        <w:rPr>
          <w:rFonts w:ascii="Arial" w:hAnsi="Arial"/>
          <w:sz w:val="18"/>
          <w:lang w:val="cs-CZ"/>
        </w:rPr>
        <w:t>odmítnuta</w:t>
      </w:r>
      <w:r w:rsidR="00EF7B35">
        <w:rPr>
          <w:rFonts w:ascii="Arial" w:hAnsi="Arial"/>
          <w:sz w:val="18"/>
          <w:lang w:val="cs-CZ"/>
        </w:rPr>
        <w:t xml:space="preserve"> a proces vyhodnocení žádosti nebude </w:t>
      </w:r>
      <w:r w:rsidR="00EC551F">
        <w:rPr>
          <w:rFonts w:ascii="Arial" w:hAnsi="Arial"/>
          <w:sz w:val="18"/>
          <w:lang w:val="cs-CZ"/>
        </w:rPr>
        <w:t xml:space="preserve">dodavatelem </w:t>
      </w:r>
      <w:r w:rsidR="00EF7B35">
        <w:rPr>
          <w:rFonts w:ascii="Arial" w:hAnsi="Arial"/>
          <w:sz w:val="18"/>
          <w:lang w:val="cs-CZ"/>
        </w:rPr>
        <w:t xml:space="preserve">účtován. </w:t>
      </w:r>
    </w:p>
    <w:p w14:paraId="631BBF01"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V této fázi vyplní pracovník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v originálu žádosti příslušné položky, konkrétně:</w:t>
      </w:r>
    </w:p>
    <w:p w14:paraId="3A7B78A2" w14:textId="77777777" w:rsidR="00976927" w:rsidRPr="00D22446" w:rsidRDefault="00976927">
      <w:pPr>
        <w:numPr>
          <w:ilvl w:val="2"/>
          <w:numId w:val="21"/>
        </w:numPr>
        <w:tabs>
          <w:tab w:val="clear" w:pos="360"/>
          <w:tab w:val="left" w:pos="1080"/>
        </w:tabs>
        <w:spacing w:before="60" w:after="60"/>
        <w:ind w:left="1080"/>
        <w:jc w:val="both"/>
        <w:rPr>
          <w:rFonts w:ascii="Arial" w:hAnsi="Arial"/>
          <w:color w:val="000000"/>
          <w:sz w:val="18"/>
          <w:lang w:val="cs-CZ"/>
        </w:rPr>
      </w:pPr>
      <w:r w:rsidRPr="00D22446">
        <w:rPr>
          <w:rFonts w:ascii="Arial" w:hAnsi="Arial"/>
          <w:sz w:val="18"/>
          <w:lang w:val="cs-CZ"/>
        </w:rPr>
        <w:t>přijetí (příp. odmítnutí) žádosti</w:t>
      </w:r>
    </w:p>
    <w:p w14:paraId="2DCFAE94" w14:textId="77777777" w:rsidR="00976927" w:rsidRPr="00D22446" w:rsidRDefault="00976927">
      <w:pPr>
        <w:numPr>
          <w:ilvl w:val="2"/>
          <w:numId w:val="21"/>
        </w:numPr>
        <w:tabs>
          <w:tab w:val="clear" w:pos="360"/>
          <w:tab w:val="left" w:pos="1080"/>
        </w:tabs>
        <w:spacing w:before="60" w:after="60"/>
        <w:ind w:left="1080"/>
        <w:jc w:val="both"/>
        <w:rPr>
          <w:rFonts w:ascii="Arial" w:hAnsi="Arial"/>
          <w:color w:val="000000"/>
          <w:sz w:val="18"/>
          <w:lang w:val="cs-CZ"/>
        </w:rPr>
      </w:pPr>
      <w:r w:rsidRPr="00D22446">
        <w:rPr>
          <w:rFonts w:ascii="Arial" w:hAnsi="Arial"/>
          <w:sz w:val="18"/>
          <w:lang w:val="cs-CZ"/>
        </w:rPr>
        <w:t xml:space="preserve">předpokládaný termín konečného vyhodnocení žádosti ze strany </w:t>
      </w:r>
      <w:r w:rsidR="00EC551F">
        <w:rPr>
          <w:rFonts w:ascii="Arial" w:hAnsi="Arial"/>
          <w:sz w:val="18"/>
          <w:lang w:val="cs-CZ"/>
        </w:rPr>
        <w:t>dodavatele</w:t>
      </w:r>
    </w:p>
    <w:p w14:paraId="1369216F" w14:textId="77777777" w:rsidR="00976927" w:rsidRPr="00D22446" w:rsidRDefault="00976927">
      <w:pPr>
        <w:numPr>
          <w:ilvl w:val="2"/>
          <w:numId w:val="21"/>
        </w:numPr>
        <w:tabs>
          <w:tab w:val="clear" w:pos="360"/>
          <w:tab w:val="left" w:pos="1080"/>
        </w:tabs>
        <w:spacing w:before="60" w:after="60"/>
        <w:ind w:left="1080"/>
        <w:jc w:val="both"/>
        <w:rPr>
          <w:rFonts w:ascii="Arial" w:hAnsi="Arial"/>
          <w:lang w:val="cs-CZ"/>
        </w:rPr>
      </w:pPr>
      <w:r w:rsidRPr="00D22446">
        <w:rPr>
          <w:rFonts w:ascii="Arial" w:hAnsi="Arial"/>
          <w:sz w:val="18"/>
          <w:lang w:val="cs-CZ"/>
        </w:rPr>
        <w:t xml:space="preserve">kontaktní údaje pracovníka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přiděleného k řešení příslušné žádosti</w:t>
      </w:r>
      <w:r w:rsidRPr="00D22446">
        <w:rPr>
          <w:rFonts w:ascii="Arial" w:hAnsi="Arial"/>
          <w:color w:val="000000"/>
          <w:sz w:val="18"/>
          <w:lang w:val="cs-CZ"/>
        </w:rPr>
        <w:t xml:space="preserve"> </w:t>
      </w:r>
    </w:p>
    <w:p w14:paraId="4334659B" w14:textId="77777777" w:rsidR="00976927" w:rsidRPr="00D22446" w:rsidRDefault="00976927">
      <w:pPr>
        <w:numPr>
          <w:ilvl w:val="2"/>
          <w:numId w:val="21"/>
        </w:numPr>
        <w:tabs>
          <w:tab w:val="clear" w:pos="360"/>
          <w:tab w:val="left" w:pos="1080"/>
        </w:tabs>
        <w:spacing w:before="60" w:after="60"/>
        <w:ind w:left="1080"/>
        <w:jc w:val="both"/>
        <w:rPr>
          <w:rFonts w:ascii="Arial" w:hAnsi="Arial"/>
          <w:color w:val="000000"/>
          <w:sz w:val="18"/>
          <w:lang w:val="cs-CZ"/>
        </w:rPr>
      </w:pPr>
      <w:r w:rsidRPr="00D22446">
        <w:rPr>
          <w:rFonts w:ascii="Arial" w:hAnsi="Arial"/>
          <w:sz w:val="18"/>
          <w:lang w:val="cs-CZ"/>
        </w:rPr>
        <w:t xml:space="preserve">předpokládané náklady na případné služby ze strany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v rámci procesu vyhodnocení</w:t>
      </w:r>
    </w:p>
    <w:p w14:paraId="4C2AD3AF"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je oprávněna odmítnout žádost Klienta, která je neúplná nebo nesplňuje předepsané požadavky na formát.</w:t>
      </w:r>
    </w:p>
    <w:p w14:paraId="2207BB64" w14:textId="77777777" w:rsidR="00976927" w:rsidRPr="00D22446" w:rsidRDefault="00976927">
      <w:pPr>
        <w:numPr>
          <w:ilvl w:val="2"/>
          <w:numId w:val="19"/>
        </w:numPr>
        <w:spacing w:before="60" w:after="60"/>
        <w:jc w:val="both"/>
        <w:rPr>
          <w:rFonts w:ascii="Arial" w:hAnsi="Arial"/>
          <w:b/>
          <w:i/>
          <w:lang w:val="cs-CZ"/>
        </w:rPr>
      </w:pPr>
      <w:r w:rsidRPr="00D22446">
        <w:rPr>
          <w:rFonts w:ascii="Arial" w:hAnsi="Arial"/>
          <w:sz w:val="18"/>
          <w:lang w:val="cs-CZ"/>
        </w:rPr>
        <w:t xml:space="preserve">Bude-li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považovat proces vyhodnocení za účtovatelnou službu, Klient potvrdí souhlas s poskytnutím takové služby </w:t>
      </w:r>
      <w:r w:rsidR="00EF7B35">
        <w:rPr>
          <w:rFonts w:ascii="Arial" w:hAnsi="Arial"/>
          <w:sz w:val="18"/>
          <w:lang w:val="cs-CZ"/>
        </w:rPr>
        <w:t xml:space="preserve">a její cenou </w:t>
      </w:r>
      <w:r w:rsidRPr="00D22446">
        <w:rPr>
          <w:rFonts w:ascii="Arial" w:hAnsi="Arial"/>
          <w:sz w:val="18"/>
          <w:lang w:val="cs-CZ"/>
        </w:rPr>
        <w:t xml:space="preserve">do 10 (deseti) pracovních dní po obdržení vyrozumění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o přijetí žádosti</w:t>
      </w:r>
      <w:r w:rsidR="00EF7B35">
        <w:rPr>
          <w:rFonts w:ascii="Arial" w:hAnsi="Arial"/>
          <w:sz w:val="18"/>
          <w:lang w:val="cs-CZ"/>
        </w:rPr>
        <w:t xml:space="preserve">, které bude obsahovat upozornění na účtovatelnost procesu vyhodnocení a cenu za tento </w:t>
      </w:r>
      <w:r w:rsidR="00EF7B35">
        <w:rPr>
          <w:rFonts w:ascii="Arial" w:hAnsi="Arial"/>
          <w:sz w:val="18"/>
          <w:lang w:val="cs-CZ"/>
        </w:rPr>
        <w:lastRenderedPageBreak/>
        <w:t>proces</w:t>
      </w:r>
      <w:r w:rsidRPr="00D22446">
        <w:rPr>
          <w:rFonts w:ascii="Arial" w:hAnsi="Arial"/>
          <w:sz w:val="18"/>
          <w:lang w:val="cs-CZ"/>
        </w:rPr>
        <w:t>.</w:t>
      </w:r>
      <w:r w:rsidRPr="00D22446">
        <w:rPr>
          <w:rFonts w:ascii="Arial" w:hAnsi="Arial"/>
          <w:color w:val="000000"/>
          <w:sz w:val="18"/>
          <w:lang w:val="cs-CZ"/>
        </w:rPr>
        <w:t xml:space="preserve"> </w:t>
      </w:r>
      <w:r w:rsidRPr="00D22446">
        <w:rPr>
          <w:rFonts w:ascii="Arial" w:hAnsi="Arial"/>
          <w:sz w:val="18"/>
          <w:lang w:val="cs-CZ"/>
        </w:rPr>
        <w:t>Nevyjádří-li se Klient v uvedené lhůtě, má se za to, že žádost byla Klientem stažena.</w:t>
      </w:r>
      <w:r w:rsidRPr="00D22446">
        <w:rPr>
          <w:rFonts w:ascii="Arial" w:hAnsi="Arial"/>
          <w:color w:val="000000"/>
          <w:sz w:val="18"/>
          <w:lang w:val="cs-CZ"/>
        </w:rPr>
        <w:t xml:space="preserve"> </w:t>
      </w:r>
      <w:r w:rsidRPr="00D22446">
        <w:rPr>
          <w:rFonts w:ascii="Arial" w:hAnsi="Arial"/>
          <w:sz w:val="18"/>
          <w:lang w:val="cs-CZ"/>
        </w:rPr>
        <w:t xml:space="preserve">Přijetí případných nákladů spojených s vyhodnocením žádosti Klient potvrdí tím, že ve formuláři žádosti vyplní příslušné části a žádost odešle společnosti </w:t>
      </w:r>
      <w:r w:rsidR="00EC551F">
        <w:rPr>
          <w:rFonts w:ascii="Arial" w:hAnsi="Arial"/>
          <w:sz w:val="18"/>
          <w:lang w:val="cs-CZ"/>
        </w:rPr>
        <w:t>dodavatele</w:t>
      </w:r>
      <w:r w:rsidRPr="00D22446">
        <w:rPr>
          <w:rFonts w:ascii="Arial" w:hAnsi="Arial"/>
          <w:sz w:val="18"/>
          <w:lang w:val="cs-CZ"/>
        </w:rPr>
        <w:t>.</w:t>
      </w:r>
    </w:p>
    <w:p w14:paraId="1DACA480" w14:textId="77777777" w:rsidR="00976927" w:rsidRPr="00D22446" w:rsidRDefault="00976927">
      <w:pPr>
        <w:numPr>
          <w:ilvl w:val="2"/>
          <w:numId w:val="19"/>
        </w:numPr>
        <w:spacing w:before="60" w:after="60"/>
        <w:jc w:val="both"/>
        <w:rPr>
          <w:rFonts w:ascii="Arial" w:hAnsi="Arial"/>
          <w:color w:val="000000"/>
          <w:lang w:val="cs-CZ"/>
        </w:rPr>
      </w:pPr>
      <w:r w:rsidRPr="00D22446">
        <w:rPr>
          <w:rFonts w:ascii="Arial" w:hAnsi="Arial"/>
          <w:sz w:val="18"/>
          <w:lang w:val="cs-CZ"/>
        </w:rPr>
        <w:t xml:space="preserve">Smluvní strany se dohodly, že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bude náklady spojené s vyhodnocováním žádostí určovat podle času a materiálu, přičemž účtovací jednotkou bude člověkoden v sazbě podle ceníku, který tvoří Přílohu 2</w:t>
      </w:r>
      <w:r w:rsidR="00EF7B35">
        <w:rPr>
          <w:rFonts w:ascii="Arial" w:hAnsi="Arial"/>
          <w:sz w:val="18"/>
          <w:lang w:val="cs-CZ"/>
        </w:rPr>
        <w:t xml:space="preserve"> Smlouvy</w:t>
      </w:r>
      <w:r w:rsidRPr="00D22446">
        <w:rPr>
          <w:rFonts w:ascii="Arial" w:hAnsi="Arial"/>
          <w:sz w:val="18"/>
          <w:lang w:val="cs-CZ"/>
        </w:rPr>
        <w:t xml:space="preserve">. </w:t>
      </w:r>
    </w:p>
    <w:p w14:paraId="032F8CAF" w14:textId="77777777" w:rsidR="00976927" w:rsidRPr="00D22446" w:rsidRDefault="00976927">
      <w:pPr>
        <w:numPr>
          <w:ilvl w:val="1"/>
          <w:numId w:val="19"/>
        </w:numPr>
        <w:spacing w:before="60" w:after="60"/>
        <w:ind w:left="482" w:hanging="482"/>
        <w:jc w:val="both"/>
        <w:rPr>
          <w:rFonts w:ascii="Arial" w:hAnsi="Arial"/>
          <w:b/>
          <w:i/>
          <w:color w:val="000000"/>
          <w:sz w:val="18"/>
          <w:lang w:val="cs-CZ"/>
        </w:rPr>
      </w:pPr>
      <w:r w:rsidRPr="00D22446">
        <w:rPr>
          <w:rFonts w:ascii="Arial" w:hAnsi="Arial"/>
          <w:b/>
          <w:i/>
          <w:sz w:val="18"/>
          <w:lang w:val="cs-CZ"/>
        </w:rPr>
        <w:t>Fáze III – vyhodnocení žádosti</w:t>
      </w:r>
    </w:p>
    <w:p w14:paraId="5234C24E" w14:textId="77777777" w:rsidR="00976927" w:rsidRPr="00D22446" w:rsidRDefault="00976927">
      <w:pPr>
        <w:numPr>
          <w:ilvl w:val="2"/>
          <w:numId w:val="19"/>
        </w:numPr>
        <w:spacing w:before="60" w:after="60"/>
        <w:jc w:val="both"/>
        <w:rPr>
          <w:rFonts w:ascii="Arial" w:hAnsi="Arial"/>
          <w:color w:val="000000"/>
          <w:sz w:val="18"/>
          <w:lang w:val="cs-CZ"/>
        </w:rPr>
      </w:pPr>
      <w:bookmarkStart w:id="0" w:name="_Ref200967250"/>
      <w:r w:rsidRPr="00D22446">
        <w:rPr>
          <w:rFonts w:ascii="Arial" w:hAnsi="Arial"/>
          <w:sz w:val="18"/>
          <w:lang w:val="cs-CZ"/>
        </w:rPr>
        <w:t>Fáze vyhodnocování začíná v okamžiku, kdy</w:t>
      </w:r>
    </w:p>
    <w:bookmarkEnd w:id="0"/>
    <w:p w14:paraId="4D0F1509" w14:textId="77777777" w:rsidR="00976927" w:rsidRPr="00D22446" w:rsidRDefault="00976927">
      <w:pPr>
        <w:numPr>
          <w:ilvl w:val="2"/>
          <w:numId w:val="21"/>
        </w:numPr>
        <w:tabs>
          <w:tab w:val="clear" w:pos="360"/>
          <w:tab w:val="left" w:pos="1080"/>
        </w:tabs>
        <w:spacing w:before="60" w:after="60"/>
        <w:ind w:left="1080"/>
        <w:jc w:val="both"/>
        <w:rPr>
          <w:rFonts w:ascii="Arial" w:hAnsi="Arial"/>
          <w:color w:val="000000"/>
          <w:sz w:val="18"/>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vyrozumí Klienta o přijetí podané žádosti, pakliže nejsou ze strany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určeny žádné náklady spojené s vyhodnocením žádosti</w:t>
      </w:r>
    </w:p>
    <w:p w14:paraId="56A6DDEC" w14:textId="77777777" w:rsidR="00976927" w:rsidRPr="00D22446" w:rsidRDefault="00976927">
      <w:pPr>
        <w:numPr>
          <w:ilvl w:val="2"/>
          <w:numId w:val="21"/>
        </w:numPr>
        <w:tabs>
          <w:tab w:val="clear" w:pos="360"/>
          <w:tab w:val="left" w:pos="1080"/>
        </w:tabs>
        <w:spacing w:before="60" w:after="60"/>
        <w:ind w:left="1080"/>
        <w:jc w:val="both"/>
        <w:rPr>
          <w:rFonts w:ascii="Arial" w:hAnsi="Arial"/>
          <w:lang w:val="cs-CZ"/>
        </w:rPr>
      </w:pPr>
      <w:r w:rsidRPr="00D22446">
        <w:rPr>
          <w:rFonts w:ascii="Arial" w:hAnsi="Arial"/>
          <w:sz w:val="18"/>
          <w:lang w:val="cs-CZ"/>
        </w:rPr>
        <w:t xml:space="preserve">Klient schválí náklady spojené s vyhodnocením žádosti (jsou-li takové náklady společností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určeny)</w:t>
      </w:r>
      <w:r w:rsidRPr="00D22446">
        <w:rPr>
          <w:rFonts w:ascii="Arial" w:hAnsi="Arial"/>
          <w:color w:val="000000"/>
          <w:sz w:val="18"/>
          <w:lang w:val="cs-CZ"/>
        </w:rPr>
        <w:t xml:space="preserve"> </w:t>
      </w:r>
    </w:p>
    <w:p w14:paraId="5A9C96E7"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je povinna předložit Klientovi výsledky vyhodnocení ve stanované lhůtě oznámené Klientovi.</w:t>
      </w:r>
      <w:r w:rsidRPr="00D22446">
        <w:rPr>
          <w:rFonts w:ascii="Arial" w:hAnsi="Arial"/>
          <w:color w:val="000000"/>
          <w:sz w:val="18"/>
          <w:lang w:val="cs-CZ"/>
        </w:rPr>
        <w:t xml:space="preserve"> </w:t>
      </w:r>
      <w:r w:rsidRPr="00D22446">
        <w:rPr>
          <w:rFonts w:ascii="Arial" w:hAnsi="Arial"/>
          <w:sz w:val="18"/>
          <w:lang w:val="cs-CZ"/>
        </w:rPr>
        <w:t xml:space="preserve">Maximální lhůta pro vyhodnocení by neměla být delší než </w:t>
      </w:r>
      <w:r w:rsidR="000B32DA">
        <w:rPr>
          <w:rFonts w:ascii="Arial" w:hAnsi="Arial"/>
          <w:sz w:val="18"/>
          <w:lang w:val="cs-CZ"/>
        </w:rPr>
        <w:t>25</w:t>
      </w:r>
      <w:r w:rsidR="000B32DA" w:rsidRPr="00D22446">
        <w:rPr>
          <w:rFonts w:ascii="Arial" w:hAnsi="Arial"/>
          <w:sz w:val="18"/>
          <w:lang w:val="cs-CZ"/>
        </w:rPr>
        <w:t xml:space="preserve"> </w:t>
      </w:r>
      <w:r w:rsidRPr="00D22446">
        <w:rPr>
          <w:rFonts w:ascii="Arial" w:hAnsi="Arial"/>
          <w:sz w:val="18"/>
          <w:lang w:val="cs-CZ"/>
        </w:rPr>
        <w:t>(</w:t>
      </w:r>
      <w:r w:rsidR="000B32DA">
        <w:rPr>
          <w:rFonts w:ascii="Arial" w:hAnsi="Arial"/>
          <w:sz w:val="18"/>
          <w:lang w:val="cs-CZ"/>
        </w:rPr>
        <w:t>dvacet pět</w:t>
      </w:r>
      <w:r w:rsidRPr="00D22446">
        <w:rPr>
          <w:rFonts w:ascii="Arial" w:hAnsi="Arial"/>
          <w:sz w:val="18"/>
          <w:lang w:val="cs-CZ"/>
        </w:rPr>
        <w:t xml:space="preserve">) pracovních dní od okamžiku </w:t>
      </w:r>
      <w:r w:rsidRPr="000B32DA">
        <w:rPr>
          <w:rFonts w:ascii="Arial" w:hAnsi="Arial"/>
          <w:sz w:val="18"/>
          <w:lang w:val="cs-CZ"/>
        </w:rPr>
        <w:t xml:space="preserve">přijetí žádosti společností </w:t>
      </w:r>
      <w:r w:rsidR="00EC551F">
        <w:rPr>
          <w:rFonts w:ascii="Arial" w:hAnsi="Arial"/>
          <w:sz w:val="18"/>
          <w:lang w:val="cs-CZ"/>
        </w:rPr>
        <w:t>dodavatele</w:t>
      </w:r>
      <w:r w:rsidRPr="00D22446">
        <w:rPr>
          <w:rFonts w:ascii="Arial" w:hAnsi="Arial"/>
          <w:sz w:val="18"/>
          <w:lang w:val="cs-CZ"/>
        </w:rPr>
        <w:t>.</w:t>
      </w:r>
      <w:r w:rsidRPr="00D22446">
        <w:rPr>
          <w:rFonts w:ascii="Arial" w:hAnsi="Arial"/>
          <w:color w:val="000000"/>
          <w:sz w:val="18"/>
          <w:lang w:val="cs-CZ"/>
        </w:rPr>
        <w:t xml:space="preserve"> </w:t>
      </w:r>
      <w:r w:rsidRPr="00D22446">
        <w:rPr>
          <w:rFonts w:ascii="Arial" w:hAnsi="Arial"/>
          <w:sz w:val="18"/>
          <w:lang w:val="cs-CZ"/>
        </w:rPr>
        <w:t xml:space="preserve">Nicméně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se bude snažit, aby Klient byl o výsledku vyhodnocení informován v co nejkratším možném termínu, přičemž však musí najít rovnováhu mezi rychlostí vyhodnocení a jeho kvalitou.</w:t>
      </w:r>
    </w:p>
    <w:p w14:paraId="4455F289"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Bude-li se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domnívat, že ve stanovené lhůtě není možné vyhodnocení provést kvalitně, požádá Klienta o prodloužení lhůty pro vyhodnocení.</w:t>
      </w:r>
      <w:r w:rsidRPr="00D22446">
        <w:rPr>
          <w:rFonts w:ascii="Arial" w:hAnsi="Arial"/>
          <w:color w:val="000000"/>
          <w:sz w:val="18"/>
          <w:lang w:val="cs-CZ"/>
        </w:rPr>
        <w:t xml:space="preserve"> </w:t>
      </w:r>
      <w:r w:rsidRPr="00D22446">
        <w:rPr>
          <w:rFonts w:ascii="Arial" w:hAnsi="Arial"/>
          <w:sz w:val="18"/>
          <w:lang w:val="cs-CZ"/>
        </w:rPr>
        <w:t xml:space="preserve">Nebude-li dosaženo dohody o prodloužení lhůty pro vyhodnocení,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výsledky vyhodnocení předloží v původní lhůtě, přičemž kvalita vyhodnocení musí být přiměřená času, který má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k dispozici k jeho provedení.</w:t>
      </w:r>
    </w:p>
    <w:p w14:paraId="30464AB6"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Je možné, že během vyhodnocování bude muset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komunikovat a jednat s třetími osobami (např. subdodavateli, konzultanty atd.), proto si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rezervuje právo využívat pro předložení výsledků vyhodnocení maximální lhůty, jak se stanovena v odst. 3.4.2 výše.</w:t>
      </w:r>
      <w:r w:rsidRPr="00D22446">
        <w:rPr>
          <w:rFonts w:ascii="Arial" w:hAnsi="Arial"/>
          <w:color w:val="000000"/>
          <w:sz w:val="18"/>
          <w:lang w:val="cs-CZ"/>
        </w:rPr>
        <w:t xml:space="preserve"> </w:t>
      </w:r>
      <w:r w:rsidRPr="00D22446">
        <w:rPr>
          <w:rFonts w:ascii="Arial" w:hAnsi="Arial"/>
          <w:sz w:val="18"/>
          <w:lang w:val="cs-CZ"/>
        </w:rPr>
        <w:t xml:space="preserve">Proto také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doporučuje Klientovi, aby systémové změny a modifikace plánoval předem.</w:t>
      </w:r>
    </w:p>
    <w:p w14:paraId="13ACF2E6"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Jestliže Klient v průběhu vyhodnocování změní požadavky a podmínky uvedené v žádosti, je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oprávněna prodloužit lhůtu pro předložení výsledků hodnocení, a to o tolik pracovních dní, kolik již jich strávila vyhodnocováním původní žádosti.</w:t>
      </w:r>
      <w:r w:rsidRPr="00D22446">
        <w:rPr>
          <w:rFonts w:ascii="Arial" w:hAnsi="Arial"/>
          <w:color w:val="000000"/>
          <w:sz w:val="18"/>
          <w:lang w:val="cs-CZ"/>
        </w:rPr>
        <w:t xml:space="preserve"> </w:t>
      </w:r>
      <w:r w:rsidRPr="00D22446">
        <w:rPr>
          <w:rFonts w:ascii="Arial" w:hAnsi="Arial"/>
          <w:sz w:val="18"/>
          <w:lang w:val="cs-CZ"/>
        </w:rPr>
        <w:t xml:space="preserve">V takovém případě Klient žádost náležitě upraví a znovu ji předloží společnosti </w:t>
      </w:r>
      <w:r w:rsidR="00EC551F">
        <w:rPr>
          <w:rFonts w:ascii="Arial" w:hAnsi="Arial"/>
          <w:sz w:val="18"/>
          <w:lang w:val="cs-CZ"/>
        </w:rPr>
        <w:t>dodavatele</w:t>
      </w:r>
      <w:r w:rsidRPr="00D22446">
        <w:rPr>
          <w:rFonts w:ascii="Arial" w:hAnsi="Arial"/>
          <w:sz w:val="18"/>
          <w:lang w:val="cs-CZ"/>
        </w:rPr>
        <w:t>.</w:t>
      </w:r>
      <w:r w:rsidRPr="00D22446">
        <w:rPr>
          <w:rFonts w:ascii="Arial" w:hAnsi="Arial"/>
          <w:color w:val="000000"/>
          <w:sz w:val="18"/>
          <w:lang w:val="cs-CZ"/>
        </w:rPr>
        <w:t xml:space="preserve"> </w:t>
      </w:r>
    </w:p>
    <w:p w14:paraId="6CEF1FAB"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může v případě potřeby po Klientovi požadovat, aby dodatečně vysvětlil požadavky stanovené v přepracované žádosti. </w:t>
      </w:r>
      <w:r w:rsidRPr="00D22446">
        <w:rPr>
          <w:rFonts w:ascii="Arial" w:hAnsi="Arial"/>
          <w:color w:val="000000"/>
          <w:sz w:val="18"/>
          <w:lang w:val="cs-CZ"/>
        </w:rPr>
        <w:t xml:space="preserve"> </w:t>
      </w:r>
      <w:r w:rsidRPr="00D22446">
        <w:rPr>
          <w:rFonts w:ascii="Arial" w:hAnsi="Arial"/>
          <w:sz w:val="18"/>
          <w:lang w:val="cs-CZ"/>
        </w:rPr>
        <w:t>Klient poskytne kvalifikovanou odpověď a součinnost v přiměřené lhůtě, nejpozději však do 5 (pěti) pracovních dní.</w:t>
      </w:r>
      <w:r w:rsidRPr="00D22446">
        <w:rPr>
          <w:rFonts w:ascii="Arial" w:hAnsi="Arial"/>
          <w:color w:val="000000"/>
          <w:sz w:val="18"/>
          <w:lang w:val="cs-CZ"/>
        </w:rPr>
        <w:t xml:space="preserve"> </w:t>
      </w:r>
      <w:r w:rsidRPr="00D22446">
        <w:rPr>
          <w:rFonts w:ascii="Arial" w:hAnsi="Arial"/>
          <w:sz w:val="18"/>
          <w:lang w:val="cs-CZ"/>
        </w:rPr>
        <w:t xml:space="preserve">Ocitne-li se Klient v jakémkoli prodlení s poskytnutím odpovědi nebo dodáním chybějícího údaje, je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oprávněna prodloužit lhůtu pro vyhodnocení o tolik dní, kolik jich bude požadovat Klient na poskytnutí nezbytné informace.</w:t>
      </w:r>
      <w:r w:rsidRPr="00D22446">
        <w:rPr>
          <w:rFonts w:ascii="Arial" w:hAnsi="Arial"/>
          <w:color w:val="000000"/>
          <w:sz w:val="18"/>
          <w:lang w:val="cs-CZ"/>
        </w:rPr>
        <w:t xml:space="preserve"> </w:t>
      </w:r>
    </w:p>
    <w:p w14:paraId="2C9ED337"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vyplní v žádosti příslušné položky týkající se výsledku vyhodnocení.</w:t>
      </w:r>
      <w:r w:rsidRPr="00D22446">
        <w:rPr>
          <w:rFonts w:ascii="Arial" w:hAnsi="Arial"/>
          <w:color w:val="000000"/>
          <w:sz w:val="18"/>
          <w:lang w:val="cs-CZ"/>
        </w:rPr>
        <w:t xml:space="preserve"> </w:t>
      </w:r>
      <w:r w:rsidRPr="00D22446">
        <w:rPr>
          <w:rFonts w:ascii="Arial" w:hAnsi="Arial"/>
          <w:sz w:val="18"/>
          <w:lang w:val="cs-CZ"/>
        </w:rPr>
        <w:t xml:space="preserve">Fáze vyhodnocení končí v okamžiku, kdy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žádost odešle zpět žadateli v elektronické podobě prostřednictvím e-mailu.</w:t>
      </w:r>
    </w:p>
    <w:p w14:paraId="6419B4A1"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Rozpočet na požadované změny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určuje podle ceníku, který tvoří Přílohu 2 Smlouvy.</w:t>
      </w:r>
    </w:p>
    <w:p w14:paraId="4933618D"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má na základě výsledku vyhodnocení právo požadované změny odmítnout, je-li taková žádost v rozporu s architekturou systému společnosti </w:t>
      </w:r>
      <w:r w:rsidR="00EC551F">
        <w:rPr>
          <w:rFonts w:ascii="Arial" w:hAnsi="Arial"/>
          <w:sz w:val="18"/>
          <w:lang w:val="cs-CZ"/>
        </w:rPr>
        <w:t>dodavatele</w:t>
      </w:r>
      <w:r w:rsidRPr="00D22446">
        <w:rPr>
          <w:rFonts w:ascii="Arial" w:hAnsi="Arial"/>
          <w:sz w:val="18"/>
          <w:lang w:val="cs-CZ"/>
        </w:rPr>
        <w:t>, její činností v oblasti zpracování karetních transakcí a politikou.</w:t>
      </w:r>
      <w:r w:rsidRPr="00D22446">
        <w:rPr>
          <w:rFonts w:ascii="Arial" w:hAnsi="Arial"/>
          <w:color w:val="000000"/>
          <w:sz w:val="18"/>
          <w:lang w:val="cs-CZ"/>
        </w:rPr>
        <w:t xml:space="preserve"> </w:t>
      </w:r>
      <w:r w:rsidRPr="00D22446">
        <w:rPr>
          <w:rFonts w:ascii="Arial" w:hAnsi="Arial"/>
          <w:sz w:val="18"/>
          <w:lang w:val="cs-CZ"/>
        </w:rPr>
        <w:t xml:space="preserve">V takovém případě může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Klientovi navrhnout případné alternativní řešení.</w:t>
      </w:r>
    </w:p>
    <w:p w14:paraId="533228A0" w14:textId="77777777" w:rsidR="00976927" w:rsidRPr="00D22446" w:rsidRDefault="00976927">
      <w:pPr>
        <w:numPr>
          <w:ilvl w:val="1"/>
          <w:numId w:val="19"/>
        </w:numPr>
        <w:spacing w:before="60" w:after="60"/>
        <w:ind w:left="482" w:hanging="482"/>
        <w:jc w:val="both"/>
        <w:rPr>
          <w:rFonts w:ascii="Arial" w:hAnsi="Arial"/>
          <w:b/>
          <w:i/>
          <w:color w:val="000000"/>
          <w:sz w:val="18"/>
          <w:lang w:val="cs-CZ"/>
        </w:rPr>
      </w:pPr>
      <w:r w:rsidRPr="00D22446">
        <w:rPr>
          <w:rFonts w:ascii="Arial" w:hAnsi="Arial"/>
          <w:b/>
          <w:i/>
          <w:sz w:val="18"/>
          <w:lang w:val="cs-CZ"/>
        </w:rPr>
        <w:t>Fáze IV – akceptace</w:t>
      </w:r>
    </w:p>
    <w:p w14:paraId="464D6A20"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Tato fáze začíná ve chvíli, kdy je Klientovi doručeno vyrozumění o kladném výsledku vyhodnocení</w:t>
      </w:r>
      <w:r w:rsidR="002577BE">
        <w:rPr>
          <w:rFonts w:ascii="Arial" w:hAnsi="Arial"/>
          <w:sz w:val="18"/>
          <w:lang w:val="cs-CZ"/>
        </w:rPr>
        <w:t xml:space="preserve">, tj. výsledek bude obsahovat minimálně následující položky a) časovou náročnost, b) rozpočet na práci, c) náklady další s tím související, d) odhad, kdy mohou práce na straně </w:t>
      </w:r>
      <w:r w:rsidR="00EC551F">
        <w:rPr>
          <w:rFonts w:ascii="Arial" w:hAnsi="Arial"/>
          <w:sz w:val="18"/>
          <w:lang w:val="cs-CZ"/>
        </w:rPr>
        <w:t xml:space="preserve">dodavatele </w:t>
      </w:r>
      <w:r w:rsidR="002577BE">
        <w:rPr>
          <w:rFonts w:ascii="Arial" w:hAnsi="Arial"/>
          <w:sz w:val="18"/>
          <w:lang w:val="cs-CZ"/>
        </w:rPr>
        <w:t xml:space="preserve">začít, e) </w:t>
      </w:r>
      <w:r w:rsidR="000B32DA">
        <w:rPr>
          <w:rFonts w:ascii="Arial" w:hAnsi="Arial"/>
          <w:sz w:val="18"/>
          <w:lang w:val="cs-CZ"/>
        </w:rPr>
        <w:t>rizika související s </w:t>
      </w:r>
      <w:proofErr w:type="spellStart"/>
      <w:r w:rsidR="000B32DA">
        <w:rPr>
          <w:rFonts w:ascii="Arial" w:hAnsi="Arial"/>
          <w:sz w:val="18"/>
          <w:lang w:val="cs-CZ"/>
        </w:rPr>
        <w:t>Change</w:t>
      </w:r>
      <w:proofErr w:type="spellEnd"/>
      <w:r w:rsidR="000B32DA">
        <w:rPr>
          <w:rFonts w:ascii="Arial" w:hAnsi="Arial"/>
          <w:sz w:val="18"/>
          <w:lang w:val="cs-CZ"/>
        </w:rPr>
        <w:t xml:space="preserve"> </w:t>
      </w:r>
      <w:proofErr w:type="spellStart"/>
      <w:r w:rsidR="000B32DA">
        <w:rPr>
          <w:rFonts w:ascii="Arial" w:hAnsi="Arial"/>
          <w:sz w:val="18"/>
          <w:lang w:val="cs-CZ"/>
        </w:rPr>
        <w:t>requestem</w:t>
      </w:r>
      <w:proofErr w:type="spellEnd"/>
      <w:r w:rsidR="000B32DA">
        <w:rPr>
          <w:rFonts w:ascii="Arial" w:hAnsi="Arial"/>
          <w:sz w:val="18"/>
          <w:lang w:val="cs-CZ"/>
        </w:rPr>
        <w:t xml:space="preserve">, f) </w:t>
      </w:r>
      <w:r w:rsidR="002577BE">
        <w:rPr>
          <w:rFonts w:ascii="Arial" w:hAnsi="Arial"/>
          <w:sz w:val="18"/>
          <w:lang w:val="cs-CZ"/>
        </w:rPr>
        <w:t>předpokládané nutné další vstupy Klienta</w:t>
      </w:r>
      <w:r w:rsidR="000B32DA">
        <w:rPr>
          <w:rFonts w:ascii="Arial" w:hAnsi="Arial"/>
          <w:sz w:val="18"/>
          <w:lang w:val="cs-CZ"/>
        </w:rPr>
        <w:t xml:space="preserve">. </w:t>
      </w:r>
    </w:p>
    <w:p w14:paraId="22ED2BF6"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 xml:space="preserve">Klient se s výsledky vyhodnocení poskytnutými společností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podrobně seznámí a rozhodne o jejich akceptaci do 10 (deseti) dní od jejich doručení.</w:t>
      </w:r>
    </w:p>
    <w:p w14:paraId="7FBC4A24"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Podle výsledku akceptace Klient ve formuláři žádosti o změnu vyplní příslušné části.</w:t>
      </w:r>
      <w:r w:rsidRPr="00D22446">
        <w:rPr>
          <w:rFonts w:ascii="Arial" w:hAnsi="Arial"/>
          <w:color w:val="000000"/>
          <w:sz w:val="18"/>
          <w:lang w:val="cs-CZ"/>
        </w:rPr>
        <w:t xml:space="preserve"> </w:t>
      </w:r>
      <w:r w:rsidRPr="00D22446">
        <w:rPr>
          <w:rFonts w:ascii="Arial" w:hAnsi="Arial"/>
          <w:sz w:val="18"/>
          <w:lang w:val="cs-CZ"/>
        </w:rPr>
        <w:t xml:space="preserve">Žádost musí být podepsána žadatelem o změnu a odeslána e-mailem příslušnému pracovníkovi společnosti </w:t>
      </w:r>
      <w:r w:rsidR="00EC551F">
        <w:rPr>
          <w:rFonts w:ascii="Arial" w:hAnsi="Arial"/>
          <w:sz w:val="18"/>
          <w:lang w:val="cs-CZ"/>
        </w:rPr>
        <w:t>dodavatele</w:t>
      </w:r>
      <w:r w:rsidRPr="00D22446">
        <w:rPr>
          <w:rFonts w:ascii="Arial" w:hAnsi="Arial"/>
          <w:sz w:val="18"/>
          <w:lang w:val="cs-CZ"/>
        </w:rPr>
        <w:t>.</w:t>
      </w:r>
      <w:r w:rsidRPr="00D22446">
        <w:rPr>
          <w:rFonts w:ascii="Arial" w:hAnsi="Arial"/>
          <w:color w:val="000000"/>
          <w:sz w:val="18"/>
          <w:lang w:val="cs-CZ"/>
        </w:rPr>
        <w:t xml:space="preserve"> </w:t>
      </w:r>
    </w:p>
    <w:p w14:paraId="757535BF"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Jsou-li výsledky vyhodnocení Klientem akceptovány, tato fáze se považuje za skončenou a následuje fáze provedení změny.</w:t>
      </w:r>
    </w:p>
    <w:p w14:paraId="2C9BC52B"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Fáze akceptace se považuje za skončenou i v případě, že Klient výsledky vyhodnocení odmítne. </w:t>
      </w:r>
      <w:r w:rsidRPr="00D22446">
        <w:rPr>
          <w:rFonts w:ascii="Arial" w:hAnsi="Arial"/>
          <w:color w:val="000000"/>
          <w:sz w:val="18"/>
          <w:lang w:val="cs-CZ"/>
        </w:rPr>
        <w:t xml:space="preserve"> </w:t>
      </w:r>
      <w:r w:rsidRPr="00D22446">
        <w:rPr>
          <w:rFonts w:ascii="Arial" w:hAnsi="Arial"/>
          <w:sz w:val="18"/>
          <w:lang w:val="cs-CZ"/>
        </w:rPr>
        <w:t>V takovém případě nemají smluvní strany vůči sobě žádnou povinnost pokračovat v jakékoli činnosti související s již předloženou žádostí o změnu.</w:t>
      </w:r>
      <w:r w:rsidRPr="00D22446">
        <w:rPr>
          <w:rFonts w:ascii="Arial" w:hAnsi="Arial"/>
          <w:color w:val="000000"/>
          <w:sz w:val="18"/>
          <w:lang w:val="cs-CZ"/>
        </w:rPr>
        <w:t xml:space="preserve"> </w:t>
      </w:r>
      <w:r w:rsidRPr="00D22446">
        <w:rPr>
          <w:rFonts w:ascii="Arial" w:hAnsi="Arial"/>
          <w:sz w:val="18"/>
          <w:lang w:val="cs-CZ"/>
        </w:rPr>
        <w:t xml:space="preserve">Jestliže společnosti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 xml:space="preserve">v souvislosti s takovou žádostí vznikly jakékoli náklady na vyhodnocení, je Klient povinen takové náklady uhradit ve výši určené společností </w:t>
      </w:r>
      <w:r w:rsidR="00EC551F">
        <w:rPr>
          <w:rFonts w:ascii="Arial" w:hAnsi="Arial"/>
          <w:sz w:val="18"/>
          <w:lang w:val="cs-CZ"/>
        </w:rPr>
        <w:t xml:space="preserve">dodavatele </w:t>
      </w:r>
      <w:r w:rsidR="002577BE">
        <w:rPr>
          <w:rFonts w:ascii="Arial" w:hAnsi="Arial"/>
          <w:sz w:val="18"/>
          <w:lang w:val="cs-CZ"/>
        </w:rPr>
        <w:t>a odsouhlasené Klientem dle čl. 3.3.5 výše</w:t>
      </w:r>
      <w:r w:rsidRPr="00D22446">
        <w:rPr>
          <w:rFonts w:ascii="Arial" w:hAnsi="Arial"/>
          <w:sz w:val="18"/>
          <w:lang w:val="cs-CZ"/>
        </w:rPr>
        <w:t>.</w:t>
      </w:r>
      <w:r w:rsidRPr="00D22446">
        <w:rPr>
          <w:rFonts w:ascii="Arial" w:hAnsi="Arial"/>
          <w:color w:val="000000"/>
          <w:sz w:val="18"/>
          <w:lang w:val="cs-CZ"/>
        </w:rPr>
        <w:t xml:space="preserve"> </w:t>
      </w:r>
      <w:r w:rsidRPr="00D22446">
        <w:rPr>
          <w:rFonts w:ascii="Arial" w:hAnsi="Arial"/>
          <w:sz w:val="18"/>
          <w:lang w:val="cs-CZ"/>
        </w:rPr>
        <w:t xml:space="preserve">Na takovou platbu se vztahují platební podmínky stanovené v článku </w:t>
      </w:r>
      <w:r w:rsidR="00F04D2F">
        <w:rPr>
          <w:rFonts w:ascii="Arial" w:hAnsi="Arial"/>
          <w:sz w:val="18"/>
          <w:lang w:val="cs-CZ"/>
        </w:rPr>
        <w:t>V</w:t>
      </w:r>
      <w:r w:rsidRPr="00D22446">
        <w:rPr>
          <w:rFonts w:ascii="Arial" w:hAnsi="Arial"/>
          <w:sz w:val="18"/>
          <w:lang w:val="cs-CZ"/>
        </w:rPr>
        <w:t xml:space="preserve"> Smlouvy</w:t>
      </w:r>
      <w:r w:rsidR="008F42CB">
        <w:rPr>
          <w:rFonts w:ascii="Arial" w:hAnsi="Arial"/>
          <w:sz w:val="18"/>
          <w:lang w:val="cs-CZ"/>
        </w:rPr>
        <w:t xml:space="preserve"> přiměřeně</w:t>
      </w:r>
      <w:r w:rsidRPr="00D22446">
        <w:rPr>
          <w:rFonts w:ascii="Arial" w:hAnsi="Arial"/>
          <w:sz w:val="18"/>
          <w:lang w:val="cs-CZ"/>
        </w:rPr>
        <w:t>.</w:t>
      </w:r>
    </w:p>
    <w:p w14:paraId="6EE7C1EF" w14:textId="77777777" w:rsidR="00F04D2F" w:rsidRPr="000B32DA" w:rsidRDefault="00976927">
      <w:pPr>
        <w:numPr>
          <w:ilvl w:val="2"/>
          <w:numId w:val="19"/>
        </w:numPr>
        <w:spacing w:before="60" w:after="60"/>
        <w:jc w:val="both"/>
        <w:rPr>
          <w:rFonts w:ascii="Arial" w:hAnsi="Arial"/>
          <w:lang w:val="cs-CZ"/>
        </w:rPr>
      </w:pPr>
      <w:r w:rsidRPr="00D22446">
        <w:rPr>
          <w:rFonts w:ascii="Arial" w:hAnsi="Arial"/>
          <w:sz w:val="18"/>
          <w:lang w:val="cs-CZ"/>
        </w:rPr>
        <w:t>Nevyjádří-li se Klient ve lhůtě stanovené pro akceptaci, má se za to, že žádost byla Klientem stažena</w:t>
      </w:r>
      <w:r w:rsidR="000B32DA">
        <w:rPr>
          <w:rFonts w:ascii="Arial" w:hAnsi="Arial"/>
          <w:sz w:val="18"/>
          <w:lang w:val="cs-CZ"/>
        </w:rPr>
        <w:t>.</w:t>
      </w:r>
    </w:p>
    <w:p w14:paraId="4C07DA52" w14:textId="77777777" w:rsidR="00976927" w:rsidRPr="00D22446" w:rsidRDefault="00F04D2F">
      <w:pPr>
        <w:numPr>
          <w:ilvl w:val="2"/>
          <w:numId w:val="19"/>
        </w:numPr>
        <w:spacing w:before="60" w:after="60"/>
        <w:jc w:val="both"/>
        <w:rPr>
          <w:rFonts w:ascii="Arial" w:hAnsi="Arial"/>
          <w:lang w:val="cs-CZ"/>
        </w:rPr>
      </w:pPr>
      <w:r>
        <w:rPr>
          <w:rFonts w:ascii="Arial" w:hAnsi="Arial"/>
          <w:sz w:val="18"/>
          <w:lang w:val="cs-CZ"/>
        </w:rPr>
        <w:lastRenderedPageBreak/>
        <w:t>Pokud Klient s podmínkami výsledku hodnocení v zásadě souhlasí a vyžaduje jen dílčí změny nebo doplnění, které nemají vliv na cenu, pak se smluvní strany dohodnout na upřesnění jak je uvedeno v čl. 3.6.3. nebo 3.6.4. níže</w:t>
      </w:r>
      <w:r w:rsidR="00976927" w:rsidRPr="00D22446">
        <w:rPr>
          <w:rFonts w:ascii="Arial" w:hAnsi="Arial"/>
          <w:sz w:val="18"/>
          <w:lang w:val="cs-CZ"/>
        </w:rPr>
        <w:t>.</w:t>
      </w:r>
      <w:r w:rsidR="00976927" w:rsidRPr="00D22446">
        <w:rPr>
          <w:rFonts w:ascii="Arial" w:hAnsi="Arial"/>
          <w:color w:val="000000"/>
          <w:sz w:val="18"/>
          <w:lang w:val="cs-CZ"/>
        </w:rPr>
        <w:t xml:space="preserve"> </w:t>
      </w:r>
    </w:p>
    <w:p w14:paraId="644F563A" w14:textId="77777777" w:rsidR="00976927" w:rsidRPr="00D22446" w:rsidRDefault="00976927">
      <w:pPr>
        <w:numPr>
          <w:ilvl w:val="1"/>
          <w:numId w:val="19"/>
        </w:numPr>
        <w:spacing w:before="60" w:after="60"/>
        <w:ind w:left="482" w:hanging="482"/>
        <w:jc w:val="both"/>
        <w:rPr>
          <w:rFonts w:ascii="Arial" w:hAnsi="Arial"/>
          <w:b/>
          <w:i/>
          <w:color w:val="000000"/>
          <w:sz w:val="18"/>
          <w:lang w:val="cs-CZ"/>
        </w:rPr>
      </w:pPr>
      <w:r w:rsidRPr="00D22446">
        <w:rPr>
          <w:rFonts w:ascii="Arial" w:hAnsi="Arial"/>
          <w:b/>
          <w:i/>
          <w:sz w:val="18"/>
          <w:lang w:val="cs-CZ"/>
        </w:rPr>
        <w:t>Fáze V – provedení změny</w:t>
      </w:r>
    </w:p>
    <w:p w14:paraId="52ABD220" w14:textId="77777777" w:rsidR="00976927" w:rsidRPr="00D22446" w:rsidRDefault="00976927">
      <w:pPr>
        <w:numPr>
          <w:ilvl w:val="2"/>
          <w:numId w:val="19"/>
        </w:numPr>
        <w:spacing w:before="60" w:after="60"/>
        <w:jc w:val="both"/>
        <w:rPr>
          <w:rFonts w:ascii="Arial" w:hAnsi="Arial"/>
          <w:lang w:val="cs-CZ"/>
        </w:rPr>
      </w:pPr>
      <w:bookmarkStart w:id="1" w:name="_Ref201563899"/>
      <w:r w:rsidRPr="00D22446">
        <w:rPr>
          <w:rFonts w:ascii="Arial" w:hAnsi="Arial"/>
          <w:sz w:val="18"/>
          <w:lang w:val="cs-CZ"/>
        </w:rPr>
        <w:t>Prováděcí fáze začíná v okamžiku, kdy Klient akceptuje výsledek vyhodnocení a kdy obě strany podepíší formulář žádosti o změnu.</w:t>
      </w:r>
      <w:r w:rsidRPr="00D22446">
        <w:rPr>
          <w:rFonts w:ascii="Arial" w:hAnsi="Arial"/>
          <w:color w:val="000000"/>
          <w:sz w:val="18"/>
          <w:lang w:val="cs-CZ"/>
        </w:rPr>
        <w:t xml:space="preserve"> </w:t>
      </w:r>
    </w:p>
    <w:p w14:paraId="24A8F469" w14:textId="77777777" w:rsidR="00976927" w:rsidRPr="008F42CB" w:rsidRDefault="00976927">
      <w:pPr>
        <w:numPr>
          <w:ilvl w:val="2"/>
          <w:numId w:val="19"/>
        </w:numPr>
        <w:spacing w:before="60" w:after="60"/>
        <w:jc w:val="both"/>
        <w:rPr>
          <w:rFonts w:ascii="Arial" w:hAnsi="Arial"/>
          <w:color w:val="000000"/>
          <w:sz w:val="18"/>
          <w:lang w:val="cs-CZ"/>
        </w:rPr>
      </w:pPr>
      <w:bookmarkStart w:id="2" w:name="_Ref201563737"/>
      <w:bookmarkEnd w:id="1"/>
      <w:r w:rsidRPr="00D22446">
        <w:rPr>
          <w:rFonts w:ascii="Arial" w:hAnsi="Arial"/>
          <w:sz w:val="18"/>
          <w:lang w:val="cs-CZ"/>
        </w:rPr>
        <w:t>Práce na provádění změny</w:t>
      </w:r>
      <w:r w:rsidR="00F04D2F">
        <w:rPr>
          <w:rFonts w:ascii="Arial" w:hAnsi="Arial"/>
          <w:sz w:val="18"/>
          <w:lang w:val="cs-CZ"/>
        </w:rPr>
        <w:t xml:space="preserve"> dle 3.6.1.</w:t>
      </w:r>
      <w:r w:rsidRPr="00D22446">
        <w:rPr>
          <w:rFonts w:ascii="Arial" w:hAnsi="Arial"/>
          <w:sz w:val="18"/>
          <w:lang w:val="cs-CZ"/>
        </w:rPr>
        <w:t xml:space="preserve"> jsou zahájeny ve lhůtách uvedených ve vyhodnocení provedeném společností </w:t>
      </w:r>
      <w:r w:rsidR="00EC551F">
        <w:rPr>
          <w:rFonts w:ascii="Arial" w:hAnsi="Arial"/>
          <w:sz w:val="18"/>
          <w:lang w:val="cs-CZ"/>
        </w:rPr>
        <w:t>dodavatele</w:t>
      </w:r>
      <w:r w:rsidR="008F42CB">
        <w:rPr>
          <w:rFonts w:ascii="Arial" w:hAnsi="Arial"/>
          <w:sz w:val="18"/>
          <w:lang w:val="cs-CZ"/>
        </w:rPr>
        <w:t xml:space="preserve">, </w:t>
      </w:r>
      <w:r w:rsidR="008F42CB" w:rsidRPr="000B32DA">
        <w:rPr>
          <w:rFonts w:ascii="Arial" w:hAnsi="Arial"/>
          <w:sz w:val="18"/>
          <w:lang w:val="cs-CZ"/>
        </w:rPr>
        <w:t xml:space="preserve">nebo jak </w:t>
      </w:r>
      <w:r w:rsidR="008F42CB">
        <w:rPr>
          <w:rFonts w:ascii="Arial" w:hAnsi="Arial"/>
          <w:sz w:val="18"/>
          <w:lang w:val="cs-CZ"/>
        </w:rPr>
        <w:t>bude dohodnuto dle čl.</w:t>
      </w:r>
      <w:r w:rsidR="008F42CB" w:rsidRPr="000B32DA">
        <w:rPr>
          <w:rFonts w:ascii="Arial" w:hAnsi="Arial"/>
          <w:sz w:val="18"/>
          <w:lang w:val="cs-CZ"/>
        </w:rPr>
        <w:t> 3.6.3. nebo 3.6.4</w:t>
      </w:r>
    </w:p>
    <w:p w14:paraId="00B5315F" w14:textId="77777777" w:rsidR="00976927" w:rsidRPr="00D22446" w:rsidRDefault="00976927">
      <w:pPr>
        <w:numPr>
          <w:ilvl w:val="2"/>
          <w:numId w:val="19"/>
        </w:numPr>
        <w:spacing w:before="60" w:after="60"/>
        <w:jc w:val="both"/>
        <w:rPr>
          <w:rFonts w:ascii="Arial" w:hAnsi="Arial"/>
          <w:color w:val="000000"/>
          <w:sz w:val="18"/>
          <w:lang w:val="cs-CZ"/>
        </w:rPr>
      </w:pPr>
      <w:bookmarkStart w:id="3" w:name="_Ref201467170"/>
      <w:bookmarkStart w:id="4" w:name="_Ref202008058"/>
      <w:bookmarkEnd w:id="2"/>
      <w:r w:rsidRPr="00D22446">
        <w:rPr>
          <w:rFonts w:ascii="Arial" w:hAnsi="Arial"/>
          <w:sz w:val="18"/>
          <w:lang w:val="cs-CZ"/>
        </w:rPr>
        <w:t>Jestliže k uskutečnění požadované změny bude třeba méně než 25 (dvacet pět) člověkodní nebo pokud odhadované náklady nepřesahují částku 30,000 EUR (třicet tisíc eur), podepíšou oprávnění zástupci obou stran konečné znění žádosti o změnu, kde bude uveden rozsah prací, termíny dokončení požadované změny a s tím související náklady, přičemž žádost o změnu v tomto znění bude pro obě strany závazná.</w:t>
      </w:r>
    </w:p>
    <w:bookmarkEnd w:id="3"/>
    <w:bookmarkEnd w:id="4"/>
    <w:p w14:paraId="4233B917" w14:textId="77777777" w:rsidR="00976927" w:rsidRPr="00D22446" w:rsidRDefault="00976927">
      <w:pPr>
        <w:numPr>
          <w:ilvl w:val="2"/>
          <w:numId w:val="19"/>
        </w:numPr>
        <w:spacing w:before="60" w:after="60"/>
        <w:jc w:val="both"/>
        <w:rPr>
          <w:rFonts w:ascii="Arial" w:hAnsi="Arial"/>
          <w:color w:val="000000"/>
          <w:sz w:val="18"/>
          <w:lang w:val="cs-CZ"/>
        </w:rPr>
      </w:pPr>
      <w:r w:rsidRPr="00D22446">
        <w:rPr>
          <w:rFonts w:ascii="Arial" w:hAnsi="Arial"/>
          <w:sz w:val="18"/>
          <w:lang w:val="cs-CZ"/>
        </w:rPr>
        <w:t>Jestliže k uskutečnění požadované změny bude třeba více než 25 (dvacet pět) člověkodní nebo pokud odhadované náklady přesáhnou částku 30,000 EUR (třicet tisíc eur), vyhotoví strany zvláštní dodatek ke stávající Smlouvě, který bude mít formu prováděcí dohody.</w:t>
      </w:r>
    </w:p>
    <w:p w14:paraId="55508E4F" w14:textId="77777777" w:rsidR="00976927" w:rsidRPr="00D22446" w:rsidRDefault="00976927">
      <w:pPr>
        <w:numPr>
          <w:ilvl w:val="2"/>
          <w:numId w:val="19"/>
        </w:numPr>
        <w:spacing w:before="60" w:after="60"/>
        <w:jc w:val="both"/>
        <w:rPr>
          <w:rFonts w:ascii="Arial" w:hAnsi="Arial"/>
          <w:lang w:val="cs-CZ"/>
        </w:rPr>
      </w:pPr>
      <w:r w:rsidRPr="00D22446">
        <w:rPr>
          <w:rFonts w:ascii="Arial" w:hAnsi="Arial"/>
          <w:sz w:val="18"/>
          <w:lang w:val="cs-CZ"/>
        </w:rPr>
        <w:t xml:space="preserve">V případě změn, jejichž provedení odpovídá ustanovením odst. </w:t>
      </w:r>
      <w:r w:rsidRPr="00D22446">
        <w:rPr>
          <w:rFonts w:ascii="Arial" w:hAnsi="Arial"/>
          <w:sz w:val="18"/>
          <w:lang w:val="cs-CZ"/>
        </w:rPr>
        <w:fldChar w:fldCharType="begin"/>
      </w:r>
      <w:r w:rsidRPr="00D22446">
        <w:rPr>
          <w:rFonts w:ascii="Arial" w:hAnsi="Arial"/>
          <w:sz w:val="18"/>
          <w:lang w:val="cs-CZ"/>
        </w:rPr>
        <w:instrText xml:space="preserve"> REF _Ref201563899 \r \h  \* MERGEFORMAT </w:instrText>
      </w:r>
      <w:r w:rsidRPr="00D22446">
        <w:rPr>
          <w:rFonts w:ascii="Arial" w:hAnsi="Arial"/>
          <w:sz w:val="18"/>
          <w:lang w:val="cs-CZ"/>
        </w:rPr>
      </w:r>
      <w:r w:rsidRPr="00D22446">
        <w:rPr>
          <w:rFonts w:ascii="Arial" w:hAnsi="Arial"/>
          <w:sz w:val="18"/>
          <w:lang w:val="cs-CZ"/>
        </w:rPr>
        <w:fldChar w:fldCharType="separate"/>
      </w:r>
      <w:r w:rsidR="0036337D">
        <w:rPr>
          <w:rFonts w:ascii="Arial" w:hAnsi="Arial"/>
          <w:sz w:val="18"/>
          <w:lang w:val="cs-CZ"/>
        </w:rPr>
        <w:t>3.6.1</w:t>
      </w:r>
      <w:r w:rsidRPr="00D22446">
        <w:rPr>
          <w:rFonts w:ascii="Arial" w:hAnsi="Arial"/>
          <w:sz w:val="18"/>
          <w:lang w:val="cs-CZ"/>
        </w:rPr>
        <w:fldChar w:fldCharType="end"/>
      </w:r>
      <w:r w:rsidRPr="00D22446">
        <w:rPr>
          <w:rFonts w:ascii="Arial" w:hAnsi="Arial"/>
          <w:sz w:val="18"/>
          <w:lang w:val="cs-CZ"/>
        </w:rPr>
        <w:t>, použijí se následující platební podmínky:</w:t>
      </w:r>
      <w:r w:rsidRPr="00D22446">
        <w:rPr>
          <w:rFonts w:ascii="Arial" w:hAnsi="Arial"/>
          <w:color w:val="000000"/>
          <w:sz w:val="18"/>
          <w:lang w:val="cs-CZ"/>
        </w:rPr>
        <w:t xml:space="preserve"> </w:t>
      </w:r>
    </w:p>
    <w:p w14:paraId="0E7041AC" w14:textId="77777777" w:rsidR="00976927" w:rsidRPr="003B3383" w:rsidRDefault="00976927">
      <w:pPr>
        <w:numPr>
          <w:ilvl w:val="2"/>
          <w:numId w:val="21"/>
        </w:numPr>
        <w:tabs>
          <w:tab w:val="clear" w:pos="360"/>
          <w:tab w:val="left" w:pos="1080"/>
        </w:tabs>
        <w:spacing w:before="60" w:after="60"/>
        <w:ind w:left="1080"/>
        <w:rPr>
          <w:rFonts w:ascii="Arial" w:hAnsi="Arial"/>
          <w:color w:val="000000"/>
          <w:sz w:val="18"/>
          <w:lang w:val="cs-CZ"/>
        </w:rPr>
      </w:pPr>
      <w:r w:rsidRPr="003B3383">
        <w:rPr>
          <w:rFonts w:ascii="Arial" w:hAnsi="Arial"/>
          <w:sz w:val="18"/>
          <w:lang w:val="cs-CZ"/>
        </w:rPr>
        <w:t xml:space="preserve">záloha ve výši 40 % (čtyřicet procent) na fakturu vystavenou ze strany </w:t>
      </w:r>
      <w:r w:rsidR="00EC551F">
        <w:rPr>
          <w:rFonts w:ascii="Arial" w:hAnsi="Arial"/>
          <w:sz w:val="18"/>
          <w:lang w:val="cs-CZ"/>
        </w:rPr>
        <w:t>dodavatele</w:t>
      </w:r>
    </w:p>
    <w:p w14:paraId="03941637" w14:textId="77777777" w:rsidR="00976927" w:rsidRPr="003B3383" w:rsidRDefault="00976927">
      <w:pPr>
        <w:numPr>
          <w:ilvl w:val="2"/>
          <w:numId w:val="21"/>
        </w:numPr>
        <w:tabs>
          <w:tab w:val="clear" w:pos="360"/>
          <w:tab w:val="left" w:pos="1080"/>
        </w:tabs>
        <w:spacing w:before="60" w:after="60"/>
        <w:ind w:left="1080"/>
        <w:jc w:val="both"/>
        <w:rPr>
          <w:rFonts w:ascii="Arial" w:hAnsi="Arial"/>
          <w:lang w:val="cs-CZ"/>
        </w:rPr>
      </w:pPr>
      <w:r w:rsidRPr="003B3383">
        <w:rPr>
          <w:rFonts w:ascii="Arial" w:hAnsi="Arial"/>
          <w:sz w:val="18"/>
          <w:lang w:val="cs-CZ"/>
        </w:rPr>
        <w:t xml:space="preserve">30 % (třicet procent) po podpisu protokolu o akceptaci výsledků uživatelského akceptačního testu před aktivací nových služeb pro Klienta v produkčním prostředí hostitele </w:t>
      </w:r>
      <w:r w:rsidR="00EC551F">
        <w:rPr>
          <w:rFonts w:ascii="Arial" w:hAnsi="Arial"/>
          <w:sz w:val="18"/>
          <w:lang w:val="cs-CZ"/>
        </w:rPr>
        <w:t>dodavatele</w:t>
      </w:r>
    </w:p>
    <w:p w14:paraId="6324EE55" w14:textId="77777777" w:rsidR="00976927" w:rsidRPr="003B3383" w:rsidRDefault="00976927">
      <w:pPr>
        <w:numPr>
          <w:ilvl w:val="2"/>
          <w:numId w:val="21"/>
        </w:numPr>
        <w:tabs>
          <w:tab w:val="clear" w:pos="360"/>
          <w:tab w:val="left" w:pos="1080"/>
        </w:tabs>
        <w:spacing w:before="60" w:after="60"/>
        <w:ind w:left="1080"/>
        <w:jc w:val="both"/>
        <w:rPr>
          <w:rFonts w:ascii="Arial" w:hAnsi="Arial"/>
          <w:color w:val="000000"/>
          <w:sz w:val="18"/>
          <w:lang w:val="cs-CZ"/>
        </w:rPr>
      </w:pPr>
      <w:r w:rsidRPr="003B3383">
        <w:rPr>
          <w:rFonts w:ascii="Arial" w:hAnsi="Arial"/>
          <w:sz w:val="18"/>
          <w:lang w:val="cs-CZ"/>
        </w:rPr>
        <w:t xml:space="preserve">30 % (třicet procent) po podpisu protokolu o konečné akceptaci do 20 (dvaceti) pracovních dní po aktivaci nových služeb v produkčním prostředí hostitele </w:t>
      </w:r>
      <w:r w:rsidR="00EC551F">
        <w:rPr>
          <w:rFonts w:ascii="Arial" w:hAnsi="Arial"/>
          <w:sz w:val="18"/>
          <w:lang w:val="cs-CZ"/>
        </w:rPr>
        <w:t>dodavatele</w:t>
      </w:r>
    </w:p>
    <w:p w14:paraId="1AD80F1E" w14:textId="77777777" w:rsidR="00976927" w:rsidRPr="003B3383" w:rsidRDefault="00976927">
      <w:pPr>
        <w:tabs>
          <w:tab w:val="left" w:pos="1080"/>
        </w:tabs>
        <w:spacing w:before="60" w:after="60"/>
        <w:ind w:left="720"/>
        <w:jc w:val="both"/>
        <w:rPr>
          <w:rFonts w:ascii="Arial" w:hAnsi="Arial"/>
          <w:lang w:val="cs-CZ"/>
        </w:rPr>
      </w:pPr>
      <w:r w:rsidRPr="003B3383">
        <w:rPr>
          <w:rFonts w:ascii="Arial" w:hAnsi="Arial"/>
          <w:sz w:val="18"/>
          <w:lang w:val="cs-CZ"/>
        </w:rPr>
        <w:t>Smluvní strany se případně mohou dohodnout na jiných platebních podmínkách.</w:t>
      </w:r>
      <w:r w:rsidRPr="003B3383">
        <w:rPr>
          <w:rFonts w:ascii="Arial" w:hAnsi="Arial"/>
          <w:color w:val="000000"/>
          <w:sz w:val="18"/>
          <w:lang w:val="cs-CZ"/>
        </w:rPr>
        <w:t xml:space="preserve"> </w:t>
      </w:r>
      <w:r w:rsidRPr="003B3383">
        <w:rPr>
          <w:rFonts w:ascii="Arial" w:hAnsi="Arial"/>
          <w:sz w:val="18"/>
          <w:lang w:val="cs-CZ"/>
        </w:rPr>
        <w:t xml:space="preserve">Nedohodnou-li se strany na jiných platebních podmínkách do 10 (deseti) pracovních dní od okamžiku, kdy společnost </w:t>
      </w:r>
      <w:r w:rsidR="00EC551F">
        <w:rPr>
          <w:rFonts w:ascii="Arial" w:hAnsi="Arial"/>
          <w:sz w:val="18"/>
          <w:lang w:val="cs-CZ"/>
        </w:rPr>
        <w:t>dodavatele</w:t>
      </w:r>
      <w:r w:rsidR="00EC551F" w:rsidRPr="003B3383">
        <w:rPr>
          <w:rFonts w:ascii="Arial" w:hAnsi="Arial"/>
          <w:sz w:val="18"/>
          <w:lang w:val="cs-CZ"/>
        </w:rPr>
        <w:t xml:space="preserve"> </w:t>
      </w:r>
      <w:r w:rsidRPr="003B3383">
        <w:rPr>
          <w:rFonts w:ascii="Arial" w:hAnsi="Arial"/>
          <w:sz w:val="18"/>
          <w:lang w:val="cs-CZ"/>
        </w:rPr>
        <w:t>vystaví fakturu, použijí se výše uvedené standardní platební podmínky.</w:t>
      </w:r>
      <w:r w:rsidRPr="003B3383">
        <w:rPr>
          <w:rFonts w:ascii="Arial" w:hAnsi="Arial"/>
          <w:color w:val="000000"/>
          <w:sz w:val="18"/>
          <w:lang w:val="cs-CZ"/>
        </w:rPr>
        <w:t xml:space="preserve"> </w:t>
      </w:r>
    </w:p>
    <w:p w14:paraId="6DC8BC60" w14:textId="77777777" w:rsidR="003B3383" w:rsidRPr="00D22446" w:rsidRDefault="003B3383">
      <w:pPr>
        <w:spacing w:before="60" w:after="60"/>
        <w:jc w:val="both"/>
        <w:rPr>
          <w:rFonts w:ascii="Arial" w:hAnsi="Arial"/>
          <w:color w:val="000000"/>
          <w:sz w:val="18"/>
          <w:lang w:val="cs-CZ"/>
        </w:rPr>
      </w:pPr>
    </w:p>
    <w:p w14:paraId="48EF9DD8" w14:textId="77777777" w:rsidR="00976927" w:rsidRPr="00D22446" w:rsidRDefault="00976927">
      <w:pPr>
        <w:numPr>
          <w:ilvl w:val="0"/>
          <w:numId w:val="12"/>
        </w:numPr>
        <w:spacing w:before="240" w:after="120"/>
        <w:ind w:left="482" w:hanging="482"/>
        <w:rPr>
          <w:rFonts w:ascii="Arial" w:hAnsi="Arial"/>
          <w:b/>
          <w:sz w:val="18"/>
          <w:lang w:val="cs-CZ"/>
        </w:rPr>
      </w:pPr>
      <w:r w:rsidRPr="00D22446">
        <w:rPr>
          <w:rFonts w:ascii="Arial" w:hAnsi="Arial"/>
          <w:b/>
          <w:sz w:val="20"/>
          <w:lang w:val="cs-CZ"/>
        </w:rPr>
        <w:t>Různá ustanovení</w:t>
      </w:r>
    </w:p>
    <w:p w14:paraId="2B8741C2" w14:textId="77777777" w:rsidR="00976927" w:rsidRPr="00D22446" w:rsidRDefault="00976927">
      <w:pPr>
        <w:numPr>
          <w:ilvl w:val="1"/>
          <w:numId w:val="25"/>
        </w:numPr>
        <w:spacing w:before="60" w:after="60"/>
        <w:jc w:val="both"/>
        <w:rPr>
          <w:rFonts w:ascii="Arial" w:hAnsi="Arial"/>
          <w:lang w:val="cs-CZ"/>
        </w:rPr>
      </w:pPr>
      <w:r w:rsidRPr="00D22446">
        <w:rPr>
          <w:rFonts w:ascii="Arial" w:hAnsi="Arial"/>
          <w:sz w:val="18"/>
          <w:lang w:val="cs-CZ"/>
        </w:rPr>
        <w:t xml:space="preserve">Klient může podat nejvýše </w:t>
      </w:r>
      <w:r w:rsidR="006201D0">
        <w:rPr>
          <w:rFonts w:ascii="Arial" w:hAnsi="Arial"/>
          <w:sz w:val="18"/>
          <w:lang w:val="cs-CZ"/>
        </w:rPr>
        <w:t>5</w:t>
      </w:r>
      <w:r w:rsidR="006201D0" w:rsidRPr="00D22446">
        <w:rPr>
          <w:rFonts w:ascii="Arial" w:hAnsi="Arial"/>
          <w:sz w:val="18"/>
          <w:lang w:val="cs-CZ"/>
        </w:rPr>
        <w:t xml:space="preserve"> </w:t>
      </w:r>
      <w:r w:rsidRPr="00D22446">
        <w:rPr>
          <w:rFonts w:ascii="Arial" w:hAnsi="Arial"/>
          <w:sz w:val="18"/>
          <w:lang w:val="cs-CZ"/>
        </w:rPr>
        <w:t>(</w:t>
      </w:r>
      <w:r w:rsidR="006201D0">
        <w:rPr>
          <w:rFonts w:ascii="Arial" w:hAnsi="Arial"/>
          <w:sz w:val="18"/>
          <w:lang w:val="cs-CZ"/>
        </w:rPr>
        <w:t>pět</w:t>
      </w:r>
      <w:r w:rsidRPr="00D22446">
        <w:rPr>
          <w:rFonts w:ascii="Arial" w:hAnsi="Arial"/>
          <w:sz w:val="18"/>
          <w:lang w:val="cs-CZ"/>
        </w:rPr>
        <w:t>) žádosti o změnu v jednom kalendářním měsíci.</w:t>
      </w:r>
    </w:p>
    <w:p w14:paraId="7EF28497" w14:textId="77777777" w:rsidR="00976927" w:rsidRPr="00D22446" w:rsidRDefault="00976927">
      <w:pPr>
        <w:numPr>
          <w:ilvl w:val="1"/>
          <w:numId w:val="25"/>
        </w:numPr>
        <w:spacing w:before="60" w:after="60"/>
        <w:jc w:val="both"/>
        <w:rPr>
          <w:rFonts w:ascii="Arial" w:hAnsi="Arial"/>
          <w:color w:val="000000"/>
          <w:sz w:val="18"/>
          <w:lang w:val="cs-CZ"/>
        </w:rPr>
      </w:pPr>
      <w:r w:rsidRPr="00D22446">
        <w:rPr>
          <w:rFonts w:ascii="Arial" w:hAnsi="Arial"/>
          <w:sz w:val="18"/>
          <w:lang w:val="cs-CZ"/>
        </w:rPr>
        <w:t xml:space="preserve">Potřebuje-li Klient z obchodních důvodů podat větší počet žádostí o změnu nad rámec stanoveného limitu, Klient a společnost </w:t>
      </w:r>
      <w:r w:rsidR="00EC551F">
        <w:rPr>
          <w:rFonts w:ascii="Arial" w:hAnsi="Arial"/>
          <w:sz w:val="18"/>
          <w:lang w:val="cs-CZ"/>
        </w:rPr>
        <w:t>dodavatele</w:t>
      </w:r>
      <w:r w:rsidR="00EC551F" w:rsidRPr="00D22446">
        <w:rPr>
          <w:rFonts w:ascii="Arial" w:hAnsi="Arial"/>
          <w:sz w:val="18"/>
          <w:lang w:val="cs-CZ"/>
        </w:rPr>
        <w:t xml:space="preserve"> </w:t>
      </w:r>
      <w:r w:rsidRPr="00D22446">
        <w:rPr>
          <w:rFonts w:ascii="Arial" w:hAnsi="Arial"/>
          <w:sz w:val="18"/>
          <w:lang w:val="cs-CZ"/>
        </w:rPr>
        <w:t>se před podáním žádosti o změnu dohodnou o povolení takové výjimky.</w:t>
      </w:r>
    </w:p>
    <w:p w14:paraId="38D5A23F" w14:textId="77777777" w:rsidR="00976927" w:rsidRPr="00D22446" w:rsidRDefault="00976927">
      <w:pPr>
        <w:numPr>
          <w:ilvl w:val="1"/>
          <w:numId w:val="25"/>
        </w:numPr>
        <w:spacing w:before="60" w:after="60"/>
        <w:jc w:val="both"/>
        <w:rPr>
          <w:rFonts w:ascii="Arial" w:hAnsi="Arial"/>
          <w:color w:val="000000"/>
          <w:sz w:val="18"/>
          <w:lang w:val="cs-CZ"/>
        </w:rPr>
      </w:pPr>
      <w:r w:rsidRPr="00D22446">
        <w:rPr>
          <w:rFonts w:ascii="Arial" w:hAnsi="Arial"/>
          <w:sz w:val="18"/>
          <w:lang w:val="cs-CZ"/>
        </w:rPr>
        <w:t>V případě, že některé aspekty procesu řízení změn nejsou v tomto dokumentu jasně popsány, smluvní strany se budou snažit takovou situaci a případné neshody vyřešit v dobré vůli.</w:t>
      </w:r>
    </w:p>
    <w:p w14:paraId="76BE1B6E" w14:textId="77777777" w:rsidR="00976927" w:rsidRPr="00D22446" w:rsidRDefault="00976927" w:rsidP="006201D0">
      <w:pPr>
        <w:rPr>
          <w:lang w:val="cs-CZ"/>
        </w:rPr>
      </w:pPr>
    </w:p>
    <w:sectPr w:rsidR="00976927" w:rsidRPr="00D22446">
      <w:footerReference w:type="default" r:id="rId7"/>
      <w:pgSz w:w="11906" w:h="16838"/>
      <w:pgMar w:top="1242" w:right="850"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A5BC" w14:textId="77777777" w:rsidR="00A70132" w:rsidRDefault="00A70132">
      <w:r>
        <w:separator/>
      </w:r>
    </w:p>
  </w:endnote>
  <w:endnote w:type="continuationSeparator" w:id="0">
    <w:p w14:paraId="6167D4A4" w14:textId="77777777" w:rsidR="00A70132" w:rsidRDefault="00A7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Look w:val="01E0" w:firstRow="1" w:lastRow="1" w:firstColumn="1" w:lastColumn="1" w:noHBand="0" w:noVBand="0"/>
    </w:tblPr>
    <w:tblGrid>
      <w:gridCol w:w="3190"/>
      <w:gridCol w:w="4478"/>
      <w:gridCol w:w="1903"/>
    </w:tblGrid>
    <w:tr w:rsidR="00976927" w:rsidRPr="00D10256" w14:paraId="5E1A7246" w14:textId="77777777">
      <w:tc>
        <w:tcPr>
          <w:tcW w:w="3190" w:type="dxa"/>
          <w:tcBorders>
            <w:top w:val="single" w:sz="4" w:space="0" w:color="auto"/>
          </w:tcBorders>
        </w:tcPr>
        <w:p w14:paraId="06AA149E" w14:textId="77777777" w:rsidR="00EC551F" w:rsidRDefault="00EC551F" w:rsidP="00D10256">
          <w:pPr>
            <w:pStyle w:val="Zpat"/>
            <w:rPr>
              <w:rFonts w:ascii="Tahoma" w:hAnsi="Tahoma"/>
              <w:sz w:val="18"/>
              <w:lang w:val="cs-CZ"/>
            </w:rPr>
          </w:pPr>
        </w:p>
      </w:tc>
      <w:tc>
        <w:tcPr>
          <w:tcW w:w="4478" w:type="dxa"/>
          <w:tcBorders>
            <w:top w:val="single" w:sz="4" w:space="0" w:color="auto"/>
          </w:tcBorders>
        </w:tcPr>
        <w:p w14:paraId="45E592BE" w14:textId="77777777" w:rsidR="00976927" w:rsidRDefault="00976927">
          <w:pPr>
            <w:pStyle w:val="Zpat"/>
            <w:rPr>
              <w:rFonts w:ascii="Tahoma" w:hAnsi="Tahoma"/>
              <w:sz w:val="18"/>
              <w:lang w:val="cs-CZ"/>
            </w:rPr>
          </w:pPr>
          <w:r>
            <w:rPr>
              <w:rFonts w:ascii="Tahoma" w:hAnsi="Tahoma"/>
              <w:sz w:val="18"/>
              <w:lang w:val="cs-CZ"/>
            </w:rPr>
            <w:t xml:space="preserve"> </w:t>
          </w:r>
        </w:p>
        <w:p w14:paraId="133B5659" w14:textId="77777777" w:rsidR="00976927" w:rsidRDefault="00976927">
          <w:pPr>
            <w:pStyle w:val="Zpat"/>
            <w:jc w:val="center"/>
            <w:rPr>
              <w:rFonts w:ascii="Tahoma" w:hAnsi="Tahoma"/>
              <w:sz w:val="18"/>
              <w:lang w:val="cs-CZ"/>
            </w:rPr>
          </w:pPr>
          <w:r>
            <w:rPr>
              <w:rFonts w:ascii="Tahoma" w:hAnsi="Tahoma"/>
              <w:sz w:val="18"/>
              <w:lang w:val="cs-CZ"/>
            </w:rPr>
            <w:t>DŮVĚRNÉ</w:t>
          </w:r>
        </w:p>
      </w:tc>
      <w:tc>
        <w:tcPr>
          <w:tcW w:w="1903" w:type="dxa"/>
          <w:tcBorders>
            <w:top w:val="single" w:sz="4" w:space="0" w:color="auto"/>
          </w:tcBorders>
        </w:tcPr>
        <w:p w14:paraId="666C4735" w14:textId="77777777" w:rsidR="00976927" w:rsidRDefault="00976927">
          <w:pPr>
            <w:pStyle w:val="Zpat"/>
            <w:rPr>
              <w:rFonts w:ascii="Tahoma" w:hAnsi="Tahoma"/>
              <w:sz w:val="18"/>
              <w:lang w:val="cs-CZ"/>
            </w:rPr>
          </w:pPr>
          <w:r>
            <w:rPr>
              <w:rFonts w:ascii="Tahoma" w:hAnsi="Tahoma"/>
              <w:sz w:val="18"/>
              <w:lang w:val="cs-CZ"/>
            </w:rPr>
            <w:t xml:space="preserve"> </w:t>
          </w:r>
        </w:p>
        <w:p w14:paraId="62F4A2E7" w14:textId="77777777" w:rsidR="00976927" w:rsidRDefault="00976927">
          <w:pPr>
            <w:pStyle w:val="Zpat"/>
            <w:jc w:val="right"/>
            <w:rPr>
              <w:rFonts w:ascii="Tahoma" w:hAnsi="Tahoma"/>
              <w:sz w:val="18"/>
              <w:lang w:val="cs-CZ"/>
            </w:rPr>
          </w:pPr>
          <w:r>
            <w:rPr>
              <w:rFonts w:ascii="Tahoma" w:hAnsi="Tahoma"/>
              <w:sz w:val="18"/>
              <w:lang w:val="cs-CZ"/>
            </w:rPr>
            <w:t xml:space="preserve">Strana </w:t>
          </w:r>
          <w:r>
            <w:rPr>
              <w:rStyle w:val="slostrnky"/>
              <w:rFonts w:ascii="Tahoma" w:hAnsi="Tahoma"/>
              <w:sz w:val="18"/>
              <w:lang w:val="cs-CZ"/>
            </w:rPr>
            <w:fldChar w:fldCharType="begin"/>
          </w:r>
          <w:r>
            <w:rPr>
              <w:rStyle w:val="slostrnky"/>
              <w:rFonts w:ascii="Tahoma" w:hAnsi="Tahoma"/>
              <w:sz w:val="18"/>
              <w:lang w:val="cs-CZ"/>
            </w:rPr>
            <w:instrText xml:space="preserve"> PAGE </w:instrText>
          </w:r>
          <w:r>
            <w:rPr>
              <w:rStyle w:val="slostrnky"/>
              <w:rFonts w:ascii="Tahoma" w:hAnsi="Tahoma"/>
              <w:sz w:val="18"/>
              <w:lang w:val="cs-CZ"/>
            </w:rPr>
            <w:fldChar w:fldCharType="separate"/>
          </w:r>
          <w:r w:rsidR="00EC551F">
            <w:rPr>
              <w:rStyle w:val="slostrnky"/>
              <w:rFonts w:ascii="Tahoma" w:hAnsi="Tahoma"/>
              <w:noProof/>
              <w:sz w:val="18"/>
              <w:lang w:val="cs-CZ"/>
            </w:rPr>
            <w:t>2</w:t>
          </w:r>
          <w:r>
            <w:rPr>
              <w:rStyle w:val="slostrnky"/>
              <w:rFonts w:ascii="Tahoma" w:hAnsi="Tahoma"/>
              <w:sz w:val="18"/>
              <w:lang w:val="cs-CZ"/>
            </w:rPr>
            <w:fldChar w:fldCharType="end"/>
          </w:r>
          <w:r>
            <w:rPr>
              <w:rStyle w:val="slostrnky"/>
              <w:rFonts w:ascii="Tahoma" w:hAnsi="Tahoma"/>
              <w:sz w:val="18"/>
              <w:lang w:val="cs-CZ"/>
            </w:rPr>
            <w:t xml:space="preserve"> / </w:t>
          </w:r>
          <w:r>
            <w:rPr>
              <w:rStyle w:val="slostrnky"/>
              <w:rFonts w:ascii="Tahoma" w:hAnsi="Tahoma"/>
              <w:sz w:val="18"/>
              <w:lang w:val="cs-CZ"/>
            </w:rPr>
            <w:fldChar w:fldCharType="begin"/>
          </w:r>
          <w:r>
            <w:rPr>
              <w:rStyle w:val="slostrnky"/>
              <w:rFonts w:ascii="Tahoma" w:hAnsi="Tahoma"/>
              <w:sz w:val="18"/>
              <w:lang w:val="cs-CZ"/>
            </w:rPr>
            <w:instrText xml:space="preserve"> NUMPAGES </w:instrText>
          </w:r>
          <w:r>
            <w:rPr>
              <w:rStyle w:val="slostrnky"/>
              <w:rFonts w:ascii="Tahoma" w:hAnsi="Tahoma"/>
              <w:sz w:val="18"/>
              <w:lang w:val="cs-CZ"/>
            </w:rPr>
            <w:fldChar w:fldCharType="separate"/>
          </w:r>
          <w:r w:rsidR="00EC551F">
            <w:rPr>
              <w:rStyle w:val="slostrnky"/>
              <w:rFonts w:ascii="Tahoma" w:hAnsi="Tahoma"/>
              <w:noProof/>
              <w:sz w:val="18"/>
              <w:lang w:val="cs-CZ"/>
            </w:rPr>
            <w:t>3</w:t>
          </w:r>
          <w:r>
            <w:rPr>
              <w:rStyle w:val="slostrnky"/>
              <w:rFonts w:ascii="Tahoma" w:hAnsi="Tahoma"/>
              <w:sz w:val="18"/>
              <w:lang w:val="cs-CZ"/>
            </w:rPr>
            <w:fldChar w:fldCharType="end"/>
          </w:r>
        </w:p>
      </w:tc>
    </w:tr>
  </w:tbl>
  <w:p w14:paraId="379ED906" w14:textId="77777777" w:rsidR="00976927" w:rsidRDefault="00976927">
    <w:pPr>
      <w:pStyle w:val="Zpat"/>
      <w:rPr>
        <w:sz w:val="16"/>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C491" w14:textId="77777777" w:rsidR="00A70132" w:rsidRDefault="00A70132">
      <w:r>
        <w:separator/>
      </w:r>
    </w:p>
  </w:footnote>
  <w:footnote w:type="continuationSeparator" w:id="0">
    <w:p w14:paraId="7066FF4D" w14:textId="77777777" w:rsidR="00A70132" w:rsidRDefault="00A7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077"/>
    <w:multiLevelType w:val="multilevel"/>
    <w:tmpl w:val="091E1378"/>
    <w:lvl w:ilvl="0">
      <w:start w:val="4"/>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sz w:val="18"/>
        <w:szCs w:val="1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3197F4B"/>
    <w:multiLevelType w:val="multilevel"/>
    <w:tmpl w:val="37226AB2"/>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ascii="Arial" w:hAnsi="Arial" w:cs="Arial" w:hint="default"/>
        <w:b w:val="0"/>
        <w:i w:val="0"/>
        <w:sz w:val="18"/>
        <w:szCs w:val="18"/>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6AB780E"/>
    <w:multiLevelType w:val="multilevel"/>
    <w:tmpl w:val="B1B88D4C"/>
    <w:lvl w:ilvl="0">
      <w:start w:val="5"/>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084439EB"/>
    <w:multiLevelType w:val="multilevel"/>
    <w:tmpl w:val="206AEB08"/>
    <w:lvl w:ilvl="0">
      <w:start w:val="3"/>
      <w:numFmt w:val="decimal"/>
      <w:lvlText w:val="%1"/>
      <w:lvlJc w:val="left"/>
      <w:pPr>
        <w:tabs>
          <w:tab w:val="num" w:pos="480"/>
        </w:tabs>
        <w:ind w:left="480" w:hanging="480"/>
      </w:pPr>
      <w:rPr>
        <w:rFonts w:ascii="Tahoma" w:hAnsi="Tahoma" w:cs="Tahoma" w:hint="default"/>
        <w:b/>
        <w:sz w:val="28"/>
        <w:szCs w:val="28"/>
      </w:rPr>
    </w:lvl>
    <w:lvl w:ilvl="1">
      <w:start w:val="2"/>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C3D3984"/>
    <w:multiLevelType w:val="multilevel"/>
    <w:tmpl w:val="9F02AC04"/>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574FC4"/>
    <w:multiLevelType w:val="multilevel"/>
    <w:tmpl w:val="CB483016"/>
    <w:lvl w:ilvl="0">
      <w:start w:val="2"/>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sz w:val="18"/>
        <w:szCs w:val="1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0E7854BC"/>
    <w:multiLevelType w:val="multilevel"/>
    <w:tmpl w:val="206AEB08"/>
    <w:lvl w:ilvl="0">
      <w:start w:val="3"/>
      <w:numFmt w:val="decimal"/>
      <w:lvlText w:val="%1"/>
      <w:lvlJc w:val="left"/>
      <w:pPr>
        <w:tabs>
          <w:tab w:val="num" w:pos="480"/>
        </w:tabs>
        <w:ind w:left="480" w:hanging="480"/>
      </w:pPr>
      <w:rPr>
        <w:rFonts w:ascii="Tahoma" w:hAnsi="Tahoma" w:cs="Tahoma" w:hint="default"/>
        <w:b/>
        <w:sz w:val="28"/>
        <w:szCs w:val="28"/>
      </w:rPr>
    </w:lvl>
    <w:lvl w:ilvl="1">
      <w:start w:val="2"/>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17A96AF8"/>
    <w:multiLevelType w:val="multilevel"/>
    <w:tmpl w:val="5838BA12"/>
    <w:lvl w:ilvl="0">
      <w:start w:val="4"/>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183A2F03"/>
    <w:multiLevelType w:val="hybridMultilevel"/>
    <w:tmpl w:val="8BB4074C"/>
    <w:lvl w:ilvl="0" w:tplc="0CF6BE5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624A2"/>
    <w:multiLevelType w:val="multilevel"/>
    <w:tmpl w:val="18EEDD86"/>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bullet"/>
      <w:lvlText w:val=""/>
      <w:lvlJc w:val="left"/>
      <w:pPr>
        <w:tabs>
          <w:tab w:val="num" w:pos="360"/>
        </w:tabs>
        <w:ind w:left="360" w:hanging="360"/>
      </w:pPr>
      <w:rPr>
        <w:rFonts w:ascii="Symbol" w:hAnsi="Symbol" w:hint="default"/>
        <w:b/>
        <w:sz w:val="1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E7A7379"/>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F8E3A08"/>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FEF582D"/>
    <w:multiLevelType w:val="multilevel"/>
    <w:tmpl w:val="5838BA12"/>
    <w:lvl w:ilvl="0">
      <w:start w:val="4"/>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15:restartNumberingAfterBreak="0">
    <w:nsid w:val="24656BFF"/>
    <w:multiLevelType w:val="multilevel"/>
    <w:tmpl w:val="4058DA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5B00BF9"/>
    <w:multiLevelType w:val="multilevel"/>
    <w:tmpl w:val="FE56F3EA"/>
    <w:lvl w:ilvl="0">
      <w:start w:val="2"/>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36495A6A"/>
    <w:multiLevelType w:val="multilevel"/>
    <w:tmpl w:val="EA1CD5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A84697"/>
    <w:multiLevelType w:val="multilevel"/>
    <w:tmpl w:val="C8EC8750"/>
    <w:lvl w:ilvl="0">
      <w:start w:val="4"/>
      <w:numFmt w:val="decimal"/>
      <w:lvlText w:val="%1"/>
      <w:lvlJc w:val="left"/>
      <w:pPr>
        <w:tabs>
          <w:tab w:val="num" w:pos="480"/>
        </w:tabs>
        <w:ind w:left="480" w:hanging="480"/>
      </w:pPr>
      <w:rPr>
        <w:rFonts w:ascii="Tahoma" w:hAnsi="Tahoma" w:cs="Tahoma" w:hint="default"/>
        <w:b/>
        <w:sz w:val="28"/>
        <w:szCs w:val="28"/>
      </w:rPr>
    </w:lvl>
    <w:lvl w:ilvl="1">
      <w:start w:val="1"/>
      <w:numFmt w:val="bullet"/>
      <w:lvlText w:val=""/>
      <w:lvlJc w:val="left"/>
      <w:pPr>
        <w:tabs>
          <w:tab w:val="num" w:pos="360"/>
        </w:tabs>
        <w:ind w:left="360" w:hanging="360"/>
      </w:pPr>
      <w:rPr>
        <w:rFonts w:ascii="Symbol" w:hAnsi="Symbol" w:hint="default"/>
        <w:b/>
        <w:sz w:val="2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00C542C"/>
    <w:multiLevelType w:val="hybridMultilevel"/>
    <w:tmpl w:val="C4E2C34C"/>
    <w:lvl w:ilvl="0" w:tplc="FFFFFFFF">
      <w:start w:val="1"/>
      <w:numFmt w:val="lowerLett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64C9D"/>
    <w:multiLevelType w:val="hybridMultilevel"/>
    <w:tmpl w:val="9B3CCCA0"/>
    <w:lvl w:ilvl="0" w:tplc="0CF6BE5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478A400B"/>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420DBD"/>
    <w:multiLevelType w:val="multilevel"/>
    <w:tmpl w:val="C56AF504"/>
    <w:lvl w:ilvl="0">
      <w:start w:val="1"/>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A915DD3"/>
    <w:multiLevelType w:val="multilevel"/>
    <w:tmpl w:val="9FEA5422"/>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526F2CD1"/>
    <w:multiLevelType w:val="multilevel"/>
    <w:tmpl w:val="070E1CF2"/>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bullet"/>
      <w:lvlText w:val=""/>
      <w:lvlJc w:val="left"/>
      <w:pPr>
        <w:tabs>
          <w:tab w:val="num" w:pos="360"/>
        </w:tabs>
        <w:ind w:left="360" w:hanging="360"/>
      </w:pPr>
      <w:rPr>
        <w:rFonts w:ascii="Symbol" w:hAnsi="Symbol" w:hint="default"/>
        <w:b/>
        <w:sz w:val="18"/>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5E856379"/>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5B64E42"/>
    <w:multiLevelType w:val="multilevel"/>
    <w:tmpl w:val="67746B5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7090B91"/>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08C03F2"/>
    <w:multiLevelType w:val="multilevel"/>
    <w:tmpl w:val="EC2CFEF0"/>
    <w:lvl w:ilvl="0">
      <w:start w:val="1"/>
      <w:numFmt w:val="decimal"/>
      <w:lvlText w:val="%1"/>
      <w:lvlJc w:val="left"/>
      <w:pPr>
        <w:tabs>
          <w:tab w:val="num" w:pos="480"/>
        </w:tabs>
        <w:ind w:left="480" w:hanging="480"/>
      </w:pPr>
      <w:rPr>
        <w:rFonts w:cs="Times New Roman" w:hint="default"/>
        <w:sz w:val="28"/>
        <w:szCs w:val="2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9A08CF"/>
    <w:multiLevelType w:val="multilevel"/>
    <w:tmpl w:val="9FF898C4"/>
    <w:lvl w:ilvl="0">
      <w:start w:val="1"/>
      <w:numFmt w:val="decimal"/>
      <w:lvlText w:val="%1"/>
      <w:lvlJc w:val="left"/>
      <w:pPr>
        <w:tabs>
          <w:tab w:val="num" w:pos="480"/>
        </w:tabs>
        <w:ind w:left="480" w:hanging="480"/>
      </w:pPr>
      <w:rPr>
        <w:rFonts w:cs="Times New Roman" w:hint="default"/>
        <w:b/>
        <w:sz w:val="18"/>
        <w:szCs w:val="1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70977ED"/>
    <w:multiLevelType w:val="multilevel"/>
    <w:tmpl w:val="9FEA5422"/>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7A085464"/>
    <w:multiLevelType w:val="multilevel"/>
    <w:tmpl w:val="9F284C56"/>
    <w:lvl w:ilvl="0">
      <w:start w:val="3"/>
      <w:numFmt w:val="decimal"/>
      <w:lvlText w:val="%1"/>
      <w:lvlJc w:val="left"/>
      <w:pPr>
        <w:tabs>
          <w:tab w:val="num" w:pos="480"/>
        </w:tabs>
        <w:ind w:left="480" w:hanging="480"/>
      </w:pPr>
      <w:rPr>
        <w:rFonts w:ascii="Tahoma" w:hAnsi="Tahoma" w:cs="Tahoma" w:hint="default"/>
        <w:b/>
        <w:sz w:val="28"/>
        <w:szCs w:val="28"/>
      </w:rPr>
    </w:lvl>
    <w:lvl w:ilvl="1">
      <w:start w:val="1"/>
      <w:numFmt w:val="bullet"/>
      <w:lvlText w:val=""/>
      <w:lvlJc w:val="left"/>
      <w:pPr>
        <w:tabs>
          <w:tab w:val="num" w:pos="360"/>
        </w:tabs>
        <w:ind w:left="360" w:hanging="360"/>
      </w:pPr>
      <w:rPr>
        <w:rFonts w:ascii="Symbol" w:hAnsi="Symbol" w:hint="default"/>
        <w:b/>
        <w:sz w:val="2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15:restartNumberingAfterBreak="0">
    <w:nsid w:val="7D894311"/>
    <w:multiLevelType w:val="multilevel"/>
    <w:tmpl w:val="B934952E"/>
    <w:lvl w:ilvl="0">
      <w:start w:val="1"/>
      <w:numFmt w:val="decimal"/>
      <w:lvlText w:val="%1"/>
      <w:lvlJc w:val="left"/>
      <w:pPr>
        <w:tabs>
          <w:tab w:val="num" w:pos="480"/>
        </w:tabs>
        <w:ind w:left="480" w:hanging="480"/>
      </w:pPr>
      <w:rPr>
        <w:rFonts w:cs="Times New Roman" w:hint="default"/>
        <w:sz w:val="18"/>
        <w:szCs w:val="18"/>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453F89"/>
    <w:multiLevelType w:val="multilevel"/>
    <w:tmpl w:val="8FD43C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34"/>
        </w:tabs>
        <w:ind w:left="1871" w:hanging="1511"/>
      </w:pPr>
      <w:rPr>
        <w:rFonts w:cs="Times New Roman" w:hint="default"/>
      </w:rPr>
    </w:lvl>
    <w:lvl w:ilvl="2">
      <w:start w:val="1"/>
      <w:numFmt w:val="decimal"/>
      <w:pStyle w:val="3TimesNewRoman12"/>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035351605">
    <w:abstractNumId w:val="13"/>
  </w:num>
  <w:num w:numId="2" w16cid:durableId="747002433">
    <w:abstractNumId w:val="13"/>
  </w:num>
  <w:num w:numId="3" w16cid:durableId="1728915699">
    <w:abstractNumId w:val="31"/>
  </w:num>
  <w:num w:numId="4" w16cid:durableId="453985192">
    <w:abstractNumId w:val="19"/>
  </w:num>
  <w:num w:numId="5" w16cid:durableId="1946225929">
    <w:abstractNumId w:val="24"/>
  </w:num>
  <w:num w:numId="6" w16cid:durableId="1136415776">
    <w:abstractNumId w:val="4"/>
  </w:num>
  <w:num w:numId="7" w16cid:durableId="629481388">
    <w:abstractNumId w:val="15"/>
  </w:num>
  <w:num w:numId="8" w16cid:durableId="388769847">
    <w:abstractNumId w:val="30"/>
  </w:num>
  <w:num w:numId="9" w16cid:durableId="1629430832">
    <w:abstractNumId w:val="20"/>
  </w:num>
  <w:num w:numId="10" w16cid:durableId="224804814">
    <w:abstractNumId w:val="11"/>
  </w:num>
  <w:num w:numId="11" w16cid:durableId="1272980455">
    <w:abstractNumId w:val="23"/>
  </w:num>
  <w:num w:numId="12" w16cid:durableId="1195577847">
    <w:abstractNumId w:val="27"/>
  </w:num>
  <w:num w:numId="13" w16cid:durableId="294482658">
    <w:abstractNumId w:val="10"/>
  </w:num>
  <w:num w:numId="14" w16cid:durableId="1364788607">
    <w:abstractNumId w:val="26"/>
  </w:num>
  <w:num w:numId="15" w16cid:durableId="1927417959">
    <w:abstractNumId w:val="5"/>
  </w:num>
  <w:num w:numId="16" w16cid:durableId="1424762405">
    <w:abstractNumId w:val="25"/>
  </w:num>
  <w:num w:numId="17" w16cid:durableId="480931765">
    <w:abstractNumId w:val="14"/>
  </w:num>
  <w:num w:numId="18" w16cid:durableId="1832283894">
    <w:abstractNumId w:val="6"/>
  </w:num>
  <w:num w:numId="19" w16cid:durableId="1022825746">
    <w:abstractNumId w:val="1"/>
  </w:num>
  <w:num w:numId="20" w16cid:durableId="589043373">
    <w:abstractNumId w:val="3"/>
  </w:num>
  <w:num w:numId="21" w16cid:durableId="651786946">
    <w:abstractNumId w:val="22"/>
  </w:num>
  <w:num w:numId="22" w16cid:durableId="2103529969">
    <w:abstractNumId w:val="29"/>
  </w:num>
  <w:num w:numId="23" w16cid:durableId="1281572115">
    <w:abstractNumId w:val="21"/>
  </w:num>
  <w:num w:numId="24" w16cid:durableId="768820114">
    <w:abstractNumId w:val="28"/>
  </w:num>
  <w:num w:numId="25" w16cid:durableId="818226793">
    <w:abstractNumId w:val="0"/>
  </w:num>
  <w:num w:numId="26" w16cid:durableId="1309553119">
    <w:abstractNumId w:val="16"/>
  </w:num>
  <w:num w:numId="27" w16cid:durableId="2135587857">
    <w:abstractNumId w:val="9"/>
  </w:num>
  <w:num w:numId="28" w16cid:durableId="950748634">
    <w:abstractNumId w:val="8"/>
  </w:num>
  <w:num w:numId="29" w16cid:durableId="1265304423">
    <w:abstractNumId w:val="12"/>
  </w:num>
  <w:num w:numId="30" w16cid:durableId="186259574">
    <w:abstractNumId w:val="7"/>
  </w:num>
  <w:num w:numId="31" w16cid:durableId="1486311206">
    <w:abstractNumId w:val="2"/>
  </w:num>
  <w:num w:numId="32" w16cid:durableId="2076778441">
    <w:abstractNumId w:val="17"/>
  </w:num>
  <w:num w:numId="33" w16cid:durableId="276106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98"/>
    <w:rsid w:val="00024241"/>
    <w:rsid w:val="0005496E"/>
    <w:rsid w:val="00062B00"/>
    <w:rsid w:val="00080437"/>
    <w:rsid w:val="00084F69"/>
    <w:rsid w:val="000A40AD"/>
    <w:rsid w:val="000A78F6"/>
    <w:rsid w:val="000B32DA"/>
    <w:rsid w:val="000C06AF"/>
    <w:rsid w:val="000E12AB"/>
    <w:rsid w:val="00101013"/>
    <w:rsid w:val="00102C2C"/>
    <w:rsid w:val="001109D5"/>
    <w:rsid w:val="001235EF"/>
    <w:rsid w:val="00132DCF"/>
    <w:rsid w:val="00135431"/>
    <w:rsid w:val="001364ED"/>
    <w:rsid w:val="00136AA5"/>
    <w:rsid w:val="001518E2"/>
    <w:rsid w:val="00152A5E"/>
    <w:rsid w:val="00154532"/>
    <w:rsid w:val="00156376"/>
    <w:rsid w:val="001571A8"/>
    <w:rsid w:val="001612A4"/>
    <w:rsid w:val="00166F54"/>
    <w:rsid w:val="00176B27"/>
    <w:rsid w:val="0018640B"/>
    <w:rsid w:val="001A1F7D"/>
    <w:rsid w:val="001A6BE6"/>
    <w:rsid w:val="001C16BA"/>
    <w:rsid w:val="001C4FF3"/>
    <w:rsid w:val="001E09CC"/>
    <w:rsid w:val="001E3358"/>
    <w:rsid w:val="001E6874"/>
    <w:rsid w:val="001F54A2"/>
    <w:rsid w:val="0020625C"/>
    <w:rsid w:val="00230ACE"/>
    <w:rsid w:val="00240B28"/>
    <w:rsid w:val="00250C01"/>
    <w:rsid w:val="0025109C"/>
    <w:rsid w:val="002577BE"/>
    <w:rsid w:val="00273E13"/>
    <w:rsid w:val="002767FD"/>
    <w:rsid w:val="002806F1"/>
    <w:rsid w:val="00286825"/>
    <w:rsid w:val="002C2459"/>
    <w:rsid w:val="002C2BD4"/>
    <w:rsid w:val="002C55A9"/>
    <w:rsid w:val="00300F83"/>
    <w:rsid w:val="00303D77"/>
    <w:rsid w:val="00323D20"/>
    <w:rsid w:val="00327267"/>
    <w:rsid w:val="00327962"/>
    <w:rsid w:val="0033493C"/>
    <w:rsid w:val="00335AB6"/>
    <w:rsid w:val="00350218"/>
    <w:rsid w:val="0036337D"/>
    <w:rsid w:val="003649C7"/>
    <w:rsid w:val="0038242C"/>
    <w:rsid w:val="00383F57"/>
    <w:rsid w:val="003903AE"/>
    <w:rsid w:val="00396806"/>
    <w:rsid w:val="003A43F6"/>
    <w:rsid w:val="003B01AF"/>
    <w:rsid w:val="003B04B3"/>
    <w:rsid w:val="003B3383"/>
    <w:rsid w:val="003B7454"/>
    <w:rsid w:val="003C1035"/>
    <w:rsid w:val="003C12BB"/>
    <w:rsid w:val="003C5F1B"/>
    <w:rsid w:val="003E44B8"/>
    <w:rsid w:val="003E739A"/>
    <w:rsid w:val="003F6384"/>
    <w:rsid w:val="003F65DC"/>
    <w:rsid w:val="004127A1"/>
    <w:rsid w:val="00415B32"/>
    <w:rsid w:val="004307A7"/>
    <w:rsid w:val="00435CF3"/>
    <w:rsid w:val="004368EA"/>
    <w:rsid w:val="004447F1"/>
    <w:rsid w:val="00452A40"/>
    <w:rsid w:val="004667EB"/>
    <w:rsid w:val="00473737"/>
    <w:rsid w:val="0049768A"/>
    <w:rsid w:val="004A1AD2"/>
    <w:rsid w:val="004B279E"/>
    <w:rsid w:val="004B52CF"/>
    <w:rsid w:val="004C1D99"/>
    <w:rsid w:val="004C2EA7"/>
    <w:rsid w:val="004C3933"/>
    <w:rsid w:val="004D51DB"/>
    <w:rsid w:val="004F66BE"/>
    <w:rsid w:val="00511B24"/>
    <w:rsid w:val="00526BDD"/>
    <w:rsid w:val="00537269"/>
    <w:rsid w:val="00555190"/>
    <w:rsid w:val="00555554"/>
    <w:rsid w:val="005811B0"/>
    <w:rsid w:val="00583A5C"/>
    <w:rsid w:val="005B62A1"/>
    <w:rsid w:val="005C3440"/>
    <w:rsid w:val="005C5BFC"/>
    <w:rsid w:val="005D5689"/>
    <w:rsid w:val="005D7DC2"/>
    <w:rsid w:val="005D7F00"/>
    <w:rsid w:val="005E4EE2"/>
    <w:rsid w:val="006201D0"/>
    <w:rsid w:val="00643B5E"/>
    <w:rsid w:val="00644B02"/>
    <w:rsid w:val="00646904"/>
    <w:rsid w:val="00654002"/>
    <w:rsid w:val="0066341D"/>
    <w:rsid w:val="00672B86"/>
    <w:rsid w:val="00674B8F"/>
    <w:rsid w:val="006932A8"/>
    <w:rsid w:val="00697194"/>
    <w:rsid w:val="006A0F63"/>
    <w:rsid w:val="006A5B5B"/>
    <w:rsid w:val="006B4EEB"/>
    <w:rsid w:val="006D3491"/>
    <w:rsid w:val="006F6F2A"/>
    <w:rsid w:val="00705145"/>
    <w:rsid w:val="00705DB1"/>
    <w:rsid w:val="00712CF7"/>
    <w:rsid w:val="0071748E"/>
    <w:rsid w:val="00723762"/>
    <w:rsid w:val="007256C8"/>
    <w:rsid w:val="007264EE"/>
    <w:rsid w:val="007324B0"/>
    <w:rsid w:val="007521BE"/>
    <w:rsid w:val="007673EC"/>
    <w:rsid w:val="00776076"/>
    <w:rsid w:val="00782198"/>
    <w:rsid w:val="00797512"/>
    <w:rsid w:val="007C0A7B"/>
    <w:rsid w:val="007D5444"/>
    <w:rsid w:val="007D5A5B"/>
    <w:rsid w:val="007E5397"/>
    <w:rsid w:val="007F476C"/>
    <w:rsid w:val="00810DF7"/>
    <w:rsid w:val="00811715"/>
    <w:rsid w:val="00812D3D"/>
    <w:rsid w:val="00844F87"/>
    <w:rsid w:val="00850DE6"/>
    <w:rsid w:val="00861483"/>
    <w:rsid w:val="00870E17"/>
    <w:rsid w:val="008744F6"/>
    <w:rsid w:val="008757EB"/>
    <w:rsid w:val="008827E6"/>
    <w:rsid w:val="008837F1"/>
    <w:rsid w:val="00884382"/>
    <w:rsid w:val="00884A9E"/>
    <w:rsid w:val="00890396"/>
    <w:rsid w:val="008C75FD"/>
    <w:rsid w:val="008E1DEC"/>
    <w:rsid w:val="008E4211"/>
    <w:rsid w:val="008F42CB"/>
    <w:rsid w:val="008F528E"/>
    <w:rsid w:val="00901F4B"/>
    <w:rsid w:val="00925373"/>
    <w:rsid w:val="00942E76"/>
    <w:rsid w:val="009507F7"/>
    <w:rsid w:val="00951A6D"/>
    <w:rsid w:val="009549C1"/>
    <w:rsid w:val="0096619C"/>
    <w:rsid w:val="00975913"/>
    <w:rsid w:val="00975A2B"/>
    <w:rsid w:val="00976510"/>
    <w:rsid w:val="00976927"/>
    <w:rsid w:val="00976CE6"/>
    <w:rsid w:val="00983E70"/>
    <w:rsid w:val="0098438F"/>
    <w:rsid w:val="00985D35"/>
    <w:rsid w:val="009946C3"/>
    <w:rsid w:val="009A3515"/>
    <w:rsid w:val="009C7083"/>
    <w:rsid w:val="009E4B34"/>
    <w:rsid w:val="00A24057"/>
    <w:rsid w:val="00A245F5"/>
    <w:rsid w:val="00A3220E"/>
    <w:rsid w:val="00A32991"/>
    <w:rsid w:val="00A32B6F"/>
    <w:rsid w:val="00A40F05"/>
    <w:rsid w:val="00A42ECD"/>
    <w:rsid w:val="00A61F7D"/>
    <w:rsid w:val="00A65D9E"/>
    <w:rsid w:val="00A70132"/>
    <w:rsid w:val="00A80F0E"/>
    <w:rsid w:val="00A95EE5"/>
    <w:rsid w:val="00AA5E89"/>
    <w:rsid w:val="00AF0244"/>
    <w:rsid w:val="00AF64D1"/>
    <w:rsid w:val="00AF7704"/>
    <w:rsid w:val="00B10618"/>
    <w:rsid w:val="00B13EEB"/>
    <w:rsid w:val="00B229A1"/>
    <w:rsid w:val="00B231E2"/>
    <w:rsid w:val="00B24F29"/>
    <w:rsid w:val="00B342F2"/>
    <w:rsid w:val="00B5164E"/>
    <w:rsid w:val="00B57311"/>
    <w:rsid w:val="00B6475C"/>
    <w:rsid w:val="00B65CDB"/>
    <w:rsid w:val="00B77673"/>
    <w:rsid w:val="00B7798A"/>
    <w:rsid w:val="00B86496"/>
    <w:rsid w:val="00B909D5"/>
    <w:rsid w:val="00BA03F8"/>
    <w:rsid w:val="00C0129B"/>
    <w:rsid w:val="00C043AA"/>
    <w:rsid w:val="00C11FD3"/>
    <w:rsid w:val="00C3196F"/>
    <w:rsid w:val="00C516AD"/>
    <w:rsid w:val="00C8183A"/>
    <w:rsid w:val="00C852E0"/>
    <w:rsid w:val="00CA5188"/>
    <w:rsid w:val="00CC2E83"/>
    <w:rsid w:val="00CC32CE"/>
    <w:rsid w:val="00CC79F7"/>
    <w:rsid w:val="00CD3250"/>
    <w:rsid w:val="00CF760C"/>
    <w:rsid w:val="00D05886"/>
    <w:rsid w:val="00D10256"/>
    <w:rsid w:val="00D22446"/>
    <w:rsid w:val="00D301B3"/>
    <w:rsid w:val="00D31FFF"/>
    <w:rsid w:val="00D33798"/>
    <w:rsid w:val="00D55B17"/>
    <w:rsid w:val="00D606CC"/>
    <w:rsid w:val="00D63B9E"/>
    <w:rsid w:val="00D67427"/>
    <w:rsid w:val="00D75934"/>
    <w:rsid w:val="00D80229"/>
    <w:rsid w:val="00D92619"/>
    <w:rsid w:val="00D9453B"/>
    <w:rsid w:val="00D949E4"/>
    <w:rsid w:val="00DA1178"/>
    <w:rsid w:val="00DC5D05"/>
    <w:rsid w:val="00DD1ADB"/>
    <w:rsid w:val="00DD3071"/>
    <w:rsid w:val="00DE171B"/>
    <w:rsid w:val="00E0128B"/>
    <w:rsid w:val="00E03EDF"/>
    <w:rsid w:val="00E054CB"/>
    <w:rsid w:val="00E32856"/>
    <w:rsid w:val="00E46452"/>
    <w:rsid w:val="00E51746"/>
    <w:rsid w:val="00E779E0"/>
    <w:rsid w:val="00E806FB"/>
    <w:rsid w:val="00E84EAE"/>
    <w:rsid w:val="00E86724"/>
    <w:rsid w:val="00E92574"/>
    <w:rsid w:val="00EA1D75"/>
    <w:rsid w:val="00EC551F"/>
    <w:rsid w:val="00EE05CC"/>
    <w:rsid w:val="00EE1E6B"/>
    <w:rsid w:val="00EE6EF5"/>
    <w:rsid w:val="00EF7933"/>
    <w:rsid w:val="00EF7B35"/>
    <w:rsid w:val="00F04D2F"/>
    <w:rsid w:val="00F33F02"/>
    <w:rsid w:val="00F3528D"/>
    <w:rsid w:val="00F560FA"/>
    <w:rsid w:val="00F636CA"/>
    <w:rsid w:val="00F732BD"/>
    <w:rsid w:val="00F76177"/>
    <w:rsid w:val="00F77015"/>
    <w:rsid w:val="00F941C6"/>
    <w:rsid w:val="00FA62BE"/>
    <w:rsid w:val="00FC3636"/>
    <w:rsid w:val="00FE67E1"/>
    <w:rsid w:val="00FE7F9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D8B00"/>
  <w15:docId w15:val="{0965F7AE-DD3C-4162-9746-2CA32D5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sz w:val="24"/>
      <w:szCs w:val="24"/>
      <w:lang w:val="en-US"/>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 1?"/>
    <w:basedOn w:val="Nadpis1"/>
    <w:pPr>
      <w:tabs>
        <w:tab w:val="num" w:pos="720"/>
      </w:tabs>
      <w:ind w:left="360" w:hanging="360"/>
    </w:pPr>
    <w:rPr>
      <w:rFonts w:ascii="Times New Roman" w:hAnsi="Times New Roman" w:cs="Times New Roman"/>
      <w:sz w:val="28"/>
      <w:szCs w:val="28"/>
    </w:rPr>
  </w:style>
  <w:style w:type="paragraph" w:customStyle="1" w:styleId="2">
    <w:name w:val="????????? 2?"/>
    <w:basedOn w:val="1"/>
    <w:pPr>
      <w:tabs>
        <w:tab w:val="clear" w:pos="720"/>
        <w:tab w:val="num" w:pos="576"/>
      </w:tabs>
      <w:ind w:left="576" w:hanging="576"/>
    </w:pPr>
    <w:rPr>
      <w:sz w:val="24"/>
      <w:szCs w:val="24"/>
    </w:rPr>
  </w:style>
  <w:style w:type="paragraph" w:customStyle="1" w:styleId="3TimesNewRoman120">
    <w:name w:val="????? ????????? 3 + Times New Roman 12 ??"/>
    <w:basedOn w:val="Nadpis3"/>
    <w:rPr>
      <w:rFonts w:ascii="Times New Roman" w:hAnsi="Times New Roman"/>
      <w:sz w:val="24"/>
    </w:rPr>
  </w:style>
  <w:style w:type="paragraph" w:customStyle="1" w:styleId="3TimesNewRoman12">
    <w:name w:val="????????? 3 + Times New Roman 12 ??"/>
    <w:basedOn w:val="Nadpis3"/>
    <w:pPr>
      <w:numPr>
        <w:ilvl w:val="2"/>
        <w:numId w:val="3"/>
      </w:numPr>
    </w:pPr>
    <w:rPr>
      <w:rFonts w:ascii="Times New Roman" w:hAnsi="Times New Roman"/>
      <w:sz w:val="24"/>
    </w:rPr>
  </w:style>
  <w:style w:type="table" w:styleId="Mkatabulky">
    <w:name w:val="Table Grid"/>
    <w:basedOn w:val="Normlntabulka"/>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pPr>
      <w:tabs>
        <w:tab w:val="center" w:pos="4677"/>
        <w:tab w:val="right" w:pos="9355"/>
      </w:tabs>
    </w:pPr>
    <w:rPr>
      <w:snapToGrid/>
      <w:szCs w:val="20"/>
      <w:lang w:eastAsia="x-none"/>
    </w:rPr>
  </w:style>
  <w:style w:type="paragraph" w:styleId="Zpat">
    <w:name w:val="footer"/>
    <w:basedOn w:val="Normln"/>
    <w:pPr>
      <w:tabs>
        <w:tab w:val="center" w:pos="4677"/>
        <w:tab w:val="right" w:pos="9355"/>
      </w:tabs>
    </w:pPr>
  </w:style>
  <w:style w:type="character" w:styleId="slostrnky">
    <w:name w:val="page number"/>
    <w:rPr>
      <w:rFonts w:cs="Times New Roman"/>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Zkladntext">
    <w:name w:val="Body Text"/>
    <w:basedOn w:val="Normln"/>
    <w:pPr>
      <w:spacing w:before="260"/>
      <w:ind w:left="1304"/>
    </w:pPr>
  </w:style>
  <w:style w:type="character" w:customStyle="1" w:styleId="ZhlavChar">
    <w:name w:val="Záhlaví Char"/>
    <w:link w:val="Zhlav"/>
    <w:locked/>
    <w:rPr>
      <w:sz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Normln1">
    <w:name w:val="Normální1"/>
    <w:rsid w:val="00EE1E6B"/>
    <w:pPr>
      <w:spacing w:line="276" w:lineRule="auto"/>
    </w:pPr>
    <w:rPr>
      <w:rFonts w:ascii="Arial" w:eastAsia="Arial" w:hAnsi="Arial" w:cs="Arial"/>
      <w:color w:val="000000"/>
      <w:sz w:val="22"/>
    </w:rPr>
  </w:style>
  <w:style w:type="paragraph" w:styleId="Revize">
    <w:name w:val="Revision"/>
    <w:hidden/>
    <w:uiPriority w:val="99"/>
    <w:semiHidden/>
    <w:rsid w:val="006201D0"/>
    <w:rPr>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1539</Words>
  <Characters>9264</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CHANGE MANAGEMENT PROCEDURE</vt:lpstr>
    </vt:vector>
  </TitlesOfParts>
  <Company>Global Payments Europe, s.r.o.</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 PROCEDURE</dc:title>
  <dc:creator>Nikolay Kolotilshchikov</dc:creator>
  <dc:description>(c) GPE NK 2008</dc:description>
  <cp:lastModifiedBy>DpmP a.s. DpmP a.s.</cp:lastModifiedBy>
  <cp:revision>2</cp:revision>
  <cp:lastPrinted>2016-03-31T14:00:00Z</cp:lastPrinted>
  <dcterms:created xsi:type="dcterms:W3CDTF">2025-08-14T08:52:00Z</dcterms:created>
  <dcterms:modified xsi:type="dcterms:W3CDTF">2025-08-14T08:52:00Z</dcterms:modified>
</cp:coreProperties>
</file>