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uzavřená dle ustanovení § 2079 a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77777777" w:rsidR="006135FA" w:rsidRDefault="006135FA" w:rsidP="00330437">
      <w:pPr>
        <w:pStyle w:val="Styl2popisknzvusmlouvy"/>
        <w:spacing w:after="480"/>
      </w:pPr>
      <w:r>
        <w:t xml:space="preserve">č.j. </w:t>
      </w:r>
      <w:r w:rsidR="0066131C" w:rsidRPr="0066131C">
        <w:rPr>
          <w:highlight w:val="yellow"/>
        </w:rPr>
        <w:t>XXXXX</w:t>
      </w:r>
    </w:p>
    <w:p w14:paraId="3292D889" w14:textId="1190DFD2" w:rsidR="00ED33DA" w:rsidRPr="00513225" w:rsidRDefault="00451FF7" w:rsidP="00ED33DA">
      <w:pPr>
        <w:pStyle w:val="Styl3-Smluvnstranytun"/>
      </w:pPr>
      <w:r w:rsidRPr="00513225">
        <w:t xml:space="preserve">Integrovaná střední škola technická, Benešov, </w:t>
      </w:r>
      <w:proofErr w:type="spellStart"/>
      <w:r w:rsidRPr="00513225">
        <w:t>Černoleská</w:t>
      </w:r>
      <w:proofErr w:type="spellEnd"/>
      <w:r w:rsidRPr="00513225">
        <w:t xml:space="preserve"> 1997</w:t>
      </w:r>
    </w:p>
    <w:p w14:paraId="4689C467" w14:textId="605A0D83" w:rsidR="00ED33DA" w:rsidRPr="00513225" w:rsidRDefault="00ED33DA" w:rsidP="00ED33DA">
      <w:pPr>
        <w:pStyle w:val="Styl3-Smluvnstranytun"/>
        <w:rPr>
          <w:b w:val="0"/>
        </w:rPr>
      </w:pPr>
      <w:r w:rsidRPr="00513225">
        <w:rPr>
          <w:b w:val="0"/>
        </w:rPr>
        <w:t>IČO:</w:t>
      </w:r>
      <w:r w:rsidR="00451FF7" w:rsidRPr="00513225">
        <w:rPr>
          <w:b w:val="0"/>
        </w:rPr>
        <w:t xml:space="preserve"> 18620442</w:t>
      </w:r>
    </w:p>
    <w:p w14:paraId="2E408BF2" w14:textId="0363953A" w:rsidR="00ED33DA" w:rsidRPr="00513225" w:rsidRDefault="00ED33DA" w:rsidP="00ED33DA">
      <w:pPr>
        <w:pStyle w:val="Styl3-Smluvnstranytun"/>
        <w:rPr>
          <w:b w:val="0"/>
        </w:rPr>
      </w:pPr>
      <w:r w:rsidRPr="00513225">
        <w:rPr>
          <w:b w:val="0"/>
        </w:rPr>
        <w:t xml:space="preserve">DIČ: </w:t>
      </w:r>
      <w:r w:rsidR="00451FF7" w:rsidRPr="00513225">
        <w:rPr>
          <w:b w:val="0"/>
        </w:rPr>
        <w:t>---</w:t>
      </w:r>
    </w:p>
    <w:p w14:paraId="7D45854C" w14:textId="6944D81B" w:rsidR="00E85DFB" w:rsidRPr="00513225" w:rsidRDefault="00E85DFB" w:rsidP="00E85DFB">
      <w:pPr>
        <w:pStyle w:val="Styl3-Smluvnstrany"/>
      </w:pPr>
      <w:r w:rsidRPr="00513225">
        <w:t>zastoupený:</w:t>
      </w:r>
      <w:r w:rsidR="00451FF7" w:rsidRPr="00513225">
        <w:t xml:space="preserve"> Mgr. Janou Fialovou, ředitelkou</w:t>
      </w:r>
    </w:p>
    <w:p w14:paraId="6F17B243" w14:textId="7AEA88A4" w:rsidR="00E85DFB" w:rsidRPr="00513225" w:rsidRDefault="00ED33DA" w:rsidP="00E85DFB">
      <w:pPr>
        <w:pStyle w:val="Styl3-Smluvnstrany"/>
      </w:pPr>
      <w:r w:rsidRPr="00513225">
        <w:t xml:space="preserve">bankovní spojení: </w:t>
      </w:r>
      <w:r w:rsidR="00451FF7" w:rsidRPr="00513225">
        <w:t>Komerční banka, a.s., 13939121/0100</w:t>
      </w:r>
    </w:p>
    <w:p w14:paraId="7B1EA5B4" w14:textId="69CC51BC" w:rsidR="00ED33DA" w:rsidRPr="00513225" w:rsidRDefault="00ED33DA" w:rsidP="00E85DFB">
      <w:pPr>
        <w:pStyle w:val="Styl3-Smluvnstrany"/>
      </w:pPr>
      <w:r w:rsidRPr="00513225">
        <w:t xml:space="preserve">ID datové schránky: </w:t>
      </w:r>
      <w:r w:rsidR="00513225" w:rsidRPr="00513225">
        <w:t>rzpw2gi</w:t>
      </w:r>
    </w:p>
    <w:p w14:paraId="61C7E3D9" w14:textId="77777777" w:rsidR="00ED33DA" w:rsidRDefault="00ED33DA" w:rsidP="00ED33DA">
      <w:pPr>
        <w:pStyle w:val="Styl3-Smluvnstrany"/>
      </w:pPr>
      <w:r w:rsidRPr="00513225">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2B17CF38" w:rsidR="007C5ED4" w:rsidRDefault="002A6F32" w:rsidP="007C5ED4">
      <w:pPr>
        <w:pStyle w:val="Nadpis3"/>
        <w:ind w:left="1077" w:hanging="357"/>
        <w:rPr>
          <w:lang w:eastAsia="en-US"/>
        </w:rPr>
      </w:pPr>
      <w:r>
        <w:rPr>
          <w:b/>
          <w:lang w:eastAsia="en-US"/>
        </w:rPr>
        <w:t>Počítač I</w:t>
      </w:r>
      <w:r w:rsidR="00C93AF3">
        <w:rPr>
          <w:b/>
          <w:lang w:eastAsia="en-US"/>
        </w:rPr>
        <w:t xml:space="preserve"> </w:t>
      </w:r>
      <w:proofErr w:type="spellStart"/>
      <w:r w:rsidR="001D67D0" w:rsidRPr="00DA6575">
        <w:rPr>
          <w:iCs/>
          <w:lang w:eastAsia="en-US"/>
        </w:rPr>
        <w:t>Lenovo</w:t>
      </w:r>
      <w:proofErr w:type="spellEnd"/>
      <w:r w:rsidR="001D67D0" w:rsidRPr="00DA6575">
        <w:rPr>
          <w:iCs/>
          <w:lang w:eastAsia="en-US"/>
        </w:rPr>
        <w:t xml:space="preserve">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3F1C3B">
        <w:rPr>
          <w:lang w:eastAsia="en-US"/>
        </w:rPr>
        <w:t>60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32EE41E9"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3F1C3B">
        <w:rPr>
          <w:lang w:eastAsia="en-US"/>
        </w:rPr>
        <w:t>10</w:t>
      </w:r>
      <w:r w:rsidR="0006399F" w:rsidRPr="007C5ED4">
        <w:rPr>
          <w:lang w:eastAsia="en-US"/>
        </w:rPr>
        <w:t xml:space="preserve"> ks podle technické specifikace uvedené v Příloze č. 1 této Smlouvy</w:t>
      </w:r>
      <w:r w:rsidR="0006399F">
        <w:rPr>
          <w:lang w:eastAsia="en-US"/>
        </w:rPr>
        <w:t>,</w:t>
      </w:r>
    </w:p>
    <w:p w14:paraId="73F95B6C" w14:textId="70F68DE0" w:rsidR="00C93AF3" w:rsidRDefault="00DD0D04" w:rsidP="00C93AF3">
      <w:pPr>
        <w:pStyle w:val="Nadpis3"/>
        <w:rPr>
          <w:lang w:eastAsia="en-US"/>
        </w:rPr>
      </w:pPr>
      <w:r>
        <w:rPr>
          <w:b/>
          <w:lang w:eastAsia="en-US"/>
        </w:rPr>
        <w:lastRenderedPageBreak/>
        <w:t>M</w:t>
      </w:r>
      <w:r w:rsidR="0006399F">
        <w:rPr>
          <w:b/>
          <w:lang w:eastAsia="en-US"/>
        </w:rPr>
        <w:t>onitor</w:t>
      </w:r>
      <w:r w:rsidR="007C5ED4" w:rsidRPr="007C5ED4">
        <w:rPr>
          <w:b/>
          <w:lang w:eastAsia="en-US"/>
        </w:rPr>
        <w:t xml:space="preserve"> </w:t>
      </w:r>
      <w:r w:rsidR="00C93AF3" w:rsidRPr="003D7298">
        <w:rPr>
          <w:b/>
          <w:lang w:eastAsia="en-US"/>
        </w:rPr>
        <w:t>I</w:t>
      </w:r>
      <w:r w:rsidR="0006399F">
        <w:rPr>
          <w:b/>
          <w:lang w:eastAsia="en-US"/>
        </w:rPr>
        <w:t>I</w:t>
      </w:r>
      <w:r w:rsidR="007C5ED4" w:rsidRPr="00C93AF3">
        <w:rPr>
          <w:lang w:eastAsia="en-US"/>
        </w:rPr>
        <w:t xml:space="preserve"> </w:t>
      </w:r>
      <w:proofErr w:type="spellStart"/>
      <w:r w:rsidR="001D67D0" w:rsidRPr="001D67D0">
        <w:rPr>
          <w:lang w:eastAsia="en-US"/>
        </w:rPr>
        <w:t>Lenovo</w:t>
      </w:r>
      <w:proofErr w:type="spellEnd"/>
      <w:r w:rsidR="001D67D0" w:rsidRPr="001D67D0">
        <w:rPr>
          <w:lang w:eastAsia="en-US"/>
        </w:rPr>
        <w:t xml:space="preserve"> </w:t>
      </w:r>
      <w:proofErr w:type="spellStart"/>
      <w:r w:rsidR="001D67D0" w:rsidRPr="001D67D0">
        <w:rPr>
          <w:lang w:eastAsia="en-US"/>
        </w:rPr>
        <w:t>ThinkVision</w:t>
      </w:r>
      <w:proofErr w:type="spellEnd"/>
      <w:r w:rsidR="001D67D0" w:rsidRPr="001D67D0">
        <w:rPr>
          <w:lang w:eastAsia="en-US"/>
        </w:rPr>
        <w:t xml:space="preserve"> E27Q-40 Monitor</w:t>
      </w:r>
      <w:r w:rsidR="001D67D0">
        <w:rPr>
          <w:lang w:eastAsia="en-US"/>
        </w:rPr>
        <w:t xml:space="preserve"> </w:t>
      </w:r>
      <w:r w:rsidR="007C5ED4" w:rsidRPr="007C5ED4">
        <w:rPr>
          <w:lang w:eastAsia="en-US"/>
        </w:rPr>
        <w:t xml:space="preserve">v množství </w:t>
      </w:r>
      <w:r w:rsidR="003F1C3B">
        <w:rPr>
          <w:lang w:eastAsia="en-US"/>
        </w:rPr>
        <w:t>0</w:t>
      </w:r>
      <w:r w:rsidR="007C5ED4" w:rsidRPr="007C5ED4">
        <w:rPr>
          <w:lang w:eastAsia="en-US"/>
        </w:rPr>
        <w:t xml:space="preserve"> ks podle technické specifikace uvedené v Příloze č. 1 této Smlouvy</w:t>
      </w:r>
      <w:r w:rsidR="00C93AF3">
        <w:rPr>
          <w:lang w:eastAsia="en-US"/>
        </w:rPr>
        <w:t>,</w:t>
      </w:r>
    </w:p>
    <w:p w14:paraId="40352B68" w14:textId="6A645EDF" w:rsidR="005D0E98" w:rsidRDefault="00DD0D04" w:rsidP="00C402DF">
      <w:pPr>
        <w:pStyle w:val="Nadpis3"/>
        <w:rPr>
          <w:lang w:eastAsia="en-US"/>
        </w:rPr>
      </w:pPr>
      <w:r>
        <w:rPr>
          <w:b/>
          <w:lang w:eastAsia="en-US"/>
        </w:rPr>
        <w:t>P</w:t>
      </w:r>
      <w:r w:rsidR="00C93AF3" w:rsidRPr="00246783">
        <w:rPr>
          <w:b/>
          <w:lang w:eastAsia="en-US"/>
        </w:rPr>
        <w:t>říslušenství I</w:t>
      </w:r>
      <w:r w:rsidR="00CF7A34">
        <w:rPr>
          <w:b/>
          <w:lang w:eastAsia="en-US"/>
        </w:rPr>
        <w:t xml:space="preserve"> </w:t>
      </w:r>
      <w:r w:rsidR="008C3C00">
        <w:rPr>
          <w:lang w:eastAsia="en-US"/>
        </w:rPr>
        <w:t xml:space="preserve">v množství </w:t>
      </w:r>
      <w:r w:rsidR="00AC72F5">
        <w:rPr>
          <w:lang w:eastAsia="en-US"/>
        </w:rPr>
        <w:t>0</w:t>
      </w:r>
      <w:r w:rsidR="008C3C00">
        <w:rPr>
          <w:lang w:eastAsia="en-US"/>
        </w:rPr>
        <w:t xml:space="preserve"> ks </w:t>
      </w:r>
      <w:r w:rsidR="00CF7A34" w:rsidRPr="00C93AF3">
        <w:rPr>
          <w:lang w:eastAsia="en-US"/>
        </w:rPr>
        <w:t>podle technické specifikace uvedené v Příloze č. 1 této Smlouvy</w:t>
      </w:r>
      <w:r w:rsidR="00C402DF" w:rsidRPr="00104769">
        <w:rPr>
          <w:bCs w:val="0"/>
          <w:lang w:eastAsia="en-US"/>
        </w:rPr>
        <w:t xml:space="preserve"> </w:t>
      </w:r>
      <w:r w:rsidR="002A6F32" w:rsidRPr="000C15B8">
        <w:rPr>
          <w:bCs w:val="0"/>
          <w:lang w:eastAsia="en-US"/>
        </w:rPr>
        <w:t>a</w:t>
      </w:r>
    </w:p>
    <w:p w14:paraId="52CF0148" w14:textId="225C5A9F" w:rsidR="00C93AF3" w:rsidRPr="00C93AF3" w:rsidRDefault="00DD0D04" w:rsidP="002A6F32">
      <w:pPr>
        <w:pStyle w:val="Nadpis3"/>
        <w:rPr>
          <w:lang w:eastAsia="en-US"/>
        </w:rPr>
      </w:pPr>
      <w:r>
        <w:rPr>
          <w:b/>
          <w:lang w:eastAsia="en-US"/>
        </w:rPr>
        <w:t>P</w:t>
      </w:r>
      <w:r w:rsidR="005D0E98">
        <w:rPr>
          <w:b/>
          <w:lang w:eastAsia="en-US"/>
        </w:rPr>
        <w:t xml:space="preserve">říslušenství II </w:t>
      </w:r>
      <w:r w:rsidR="005D0E98" w:rsidRPr="005D0E98">
        <w:rPr>
          <w:lang w:eastAsia="en-US"/>
        </w:rPr>
        <w:t xml:space="preserve">v množství </w:t>
      </w:r>
      <w:r w:rsidR="00AC72F5">
        <w:rPr>
          <w:lang w:eastAsia="en-US"/>
        </w:rPr>
        <w:t>20</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04C15C82"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513225">
        <w:t xml:space="preserve">481.080,-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55729B">
        <w:trPr>
          <w:trHeight w:val="511"/>
          <w:jc w:val="center"/>
        </w:trPr>
        <w:tc>
          <w:tcPr>
            <w:tcW w:w="2035" w:type="pct"/>
            <w:vAlign w:val="center"/>
          </w:tcPr>
          <w:p w14:paraId="7EFF1EC3" w14:textId="77777777" w:rsidR="00DA6575" w:rsidRPr="00040CA1" w:rsidRDefault="00DA6575" w:rsidP="00DA6575">
            <w:pPr>
              <w:jc w:val="center"/>
              <w:rPr>
                <w:bCs/>
              </w:rPr>
            </w:pPr>
            <w:r>
              <w:rPr>
                <w:b/>
                <w:bCs/>
              </w:rPr>
              <w:t>Počítač I</w:t>
            </w:r>
          </w:p>
        </w:tc>
        <w:tc>
          <w:tcPr>
            <w:tcW w:w="1265" w:type="pct"/>
            <w:vAlign w:val="center"/>
          </w:tcPr>
          <w:p w14:paraId="1C4C1D8C" w14:textId="714C9F28" w:rsidR="00DA6575" w:rsidRPr="00BE7107" w:rsidRDefault="00626C3D" w:rsidP="00DA6575">
            <w:pPr>
              <w:jc w:val="center"/>
              <w:rPr>
                <w:sz w:val="16"/>
                <w:szCs w:val="16"/>
              </w:rPr>
            </w:pPr>
            <w:r>
              <w:rPr>
                <w:rFonts w:cs="Calibri"/>
              </w:rPr>
              <w:t>7 665</w:t>
            </w:r>
            <w:r w:rsidR="00DA6575" w:rsidRPr="00292A75">
              <w:rPr>
                <w:rFonts w:cs="Calibri"/>
              </w:rPr>
              <w:t>,00</w:t>
            </w:r>
          </w:p>
        </w:tc>
        <w:tc>
          <w:tcPr>
            <w:tcW w:w="914" w:type="pct"/>
            <w:vAlign w:val="center"/>
          </w:tcPr>
          <w:p w14:paraId="2F163D55" w14:textId="42A91A89" w:rsidR="00DA6575" w:rsidRPr="00040CA1" w:rsidRDefault="00AC72F5" w:rsidP="00DA6575">
            <w:pPr>
              <w:jc w:val="center"/>
            </w:pPr>
            <w:r>
              <w:t>60</w:t>
            </w:r>
            <w:r w:rsidR="00DA6575">
              <w:t xml:space="preserve"> ks</w:t>
            </w:r>
          </w:p>
        </w:tc>
        <w:tc>
          <w:tcPr>
            <w:tcW w:w="786" w:type="pct"/>
            <w:vAlign w:val="center"/>
          </w:tcPr>
          <w:p w14:paraId="033BA592" w14:textId="3CCC8C8F" w:rsidR="00DA6575" w:rsidRPr="00040CA1" w:rsidRDefault="00AC72F5" w:rsidP="00DA6575">
            <w:pPr>
              <w:jc w:val="center"/>
            </w:pPr>
            <w:r>
              <w:rPr>
                <w:i/>
                <w:sz w:val="16"/>
                <w:szCs w:val="16"/>
                <w:lang w:eastAsia="en-US"/>
              </w:rPr>
              <w:t>459 900,-</w:t>
            </w:r>
          </w:p>
        </w:tc>
      </w:tr>
      <w:tr w:rsidR="00DA6575" w:rsidRPr="007D4A7D" w14:paraId="6C40798E" w14:textId="77777777" w:rsidTr="0055729B">
        <w:trPr>
          <w:trHeight w:val="511"/>
          <w:jc w:val="center"/>
        </w:trPr>
        <w:tc>
          <w:tcPr>
            <w:tcW w:w="2035" w:type="pct"/>
            <w:vAlign w:val="center"/>
          </w:tcPr>
          <w:p w14:paraId="48929081" w14:textId="77777777" w:rsidR="00DA6575" w:rsidRDefault="00DA6575" w:rsidP="00DA6575">
            <w:pPr>
              <w:jc w:val="center"/>
              <w:rPr>
                <w:b/>
                <w:bCs/>
              </w:rPr>
            </w:pPr>
            <w:r>
              <w:rPr>
                <w:b/>
                <w:bCs/>
              </w:rPr>
              <w:t>Monitor I</w:t>
            </w:r>
          </w:p>
        </w:tc>
        <w:tc>
          <w:tcPr>
            <w:tcW w:w="1265"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914" w:type="pct"/>
            <w:vAlign w:val="center"/>
          </w:tcPr>
          <w:p w14:paraId="5B6BB86F" w14:textId="7EDDA424" w:rsidR="00DA6575" w:rsidRDefault="00AC72F5" w:rsidP="00DA6575">
            <w:pPr>
              <w:jc w:val="center"/>
            </w:pPr>
            <w:r>
              <w:t>10</w:t>
            </w:r>
            <w:r w:rsidR="00DA6575">
              <w:t xml:space="preserve"> ks</w:t>
            </w:r>
          </w:p>
        </w:tc>
        <w:tc>
          <w:tcPr>
            <w:tcW w:w="786" w:type="pct"/>
            <w:vAlign w:val="center"/>
          </w:tcPr>
          <w:p w14:paraId="4E8F586F" w14:textId="281F8E0D" w:rsidR="00DA6575" w:rsidRDefault="00AC72F5" w:rsidP="00DA6575">
            <w:pPr>
              <w:jc w:val="center"/>
              <w:rPr>
                <w:i/>
                <w:sz w:val="16"/>
                <w:szCs w:val="16"/>
                <w:highlight w:val="yellow"/>
                <w:lang w:eastAsia="en-US"/>
              </w:rPr>
            </w:pPr>
            <w:r w:rsidRPr="00AC72F5">
              <w:rPr>
                <w:i/>
                <w:sz w:val="16"/>
                <w:szCs w:val="16"/>
                <w:lang w:eastAsia="en-US"/>
              </w:rPr>
              <w:t>17 100,-</w:t>
            </w:r>
          </w:p>
        </w:tc>
      </w:tr>
      <w:tr w:rsidR="00DA6575" w:rsidRPr="007D4A7D" w14:paraId="6DF875B7" w14:textId="77777777" w:rsidTr="0055729B">
        <w:trPr>
          <w:trHeight w:val="511"/>
          <w:jc w:val="center"/>
        </w:trPr>
        <w:tc>
          <w:tcPr>
            <w:tcW w:w="2035" w:type="pct"/>
            <w:vAlign w:val="center"/>
          </w:tcPr>
          <w:p w14:paraId="0084379F" w14:textId="77777777" w:rsidR="00DA6575" w:rsidRDefault="00DA6575" w:rsidP="00DA6575">
            <w:pPr>
              <w:jc w:val="center"/>
              <w:rPr>
                <w:b/>
                <w:bCs/>
              </w:rPr>
            </w:pPr>
            <w:r>
              <w:rPr>
                <w:b/>
                <w:bCs/>
              </w:rPr>
              <w:t>Monitor II</w:t>
            </w:r>
          </w:p>
        </w:tc>
        <w:tc>
          <w:tcPr>
            <w:tcW w:w="1265" w:type="pct"/>
            <w:vAlign w:val="center"/>
          </w:tcPr>
          <w:p w14:paraId="6B568C20" w14:textId="68EFD55C" w:rsidR="00DA6575" w:rsidRPr="00BE7107" w:rsidRDefault="00DA6575" w:rsidP="00DA6575">
            <w:pPr>
              <w:jc w:val="center"/>
              <w:rPr>
                <w:i/>
                <w:sz w:val="16"/>
                <w:szCs w:val="16"/>
                <w:highlight w:val="yellow"/>
                <w:lang w:eastAsia="en-US"/>
              </w:rPr>
            </w:pPr>
            <w:r w:rsidRPr="00292A75">
              <w:rPr>
                <w:rFonts w:cs="Calibri"/>
              </w:rPr>
              <w:t>2 766,00</w:t>
            </w:r>
          </w:p>
        </w:tc>
        <w:tc>
          <w:tcPr>
            <w:tcW w:w="914" w:type="pct"/>
            <w:vAlign w:val="center"/>
          </w:tcPr>
          <w:p w14:paraId="724A9EC2" w14:textId="45AD3E91" w:rsidR="00DA6575" w:rsidRDefault="00AC72F5" w:rsidP="00DA6575">
            <w:pPr>
              <w:jc w:val="center"/>
            </w:pPr>
            <w:r>
              <w:t>0</w:t>
            </w:r>
            <w:r w:rsidR="00DA6575">
              <w:t xml:space="preserve"> ks</w:t>
            </w:r>
          </w:p>
        </w:tc>
        <w:tc>
          <w:tcPr>
            <w:tcW w:w="786" w:type="pct"/>
            <w:vAlign w:val="center"/>
          </w:tcPr>
          <w:p w14:paraId="33B97CE0" w14:textId="131E1280" w:rsidR="00DA6575" w:rsidRDefault="00AC72F5" w:rsidP="00DA6575">
            <w:pPr>
              <w:jc w:val="center"/>
              <w:rPr>
                <w:i/>
                <w:sz w:val="16"/>
                <w:szCs w:val="16"/>
                <w:highlight w:val="yellow"/>
                <w:lang w:eastAsia="en-US"/>
              </w:rPr>
            </w:pPr>
            <w:r w:rsidRPr="00AC72F5">
              <w:rPr>
                <w:i/>
                <w:sz w:val="16"/>
                <w:szCs w:val="16"/>
                <w:lang w:eastAsia="en-US"/>
              </w:rPr>
              <w:t>0,-</w:t>
            </w:r>
          </w:p>
        </w:tc>
      </w:tr>
      <w:tr w:rsidR="00DA6575" w:rsidRPr="007D4A7D" w14:paraId="6F328716" w14:textId="77777777" w:rsidTr="0055729B">
        <w:trPr>
          <w:trHeight w:val="511"/>
          <w:jc w:val="center"/>
        </w:trPr>
        <w:tc>
          <w:tcPr>
            <w:tcW w:w="2035" w:type="pct"/>
            <w:vAlign w:val="center"/>
          </w:tcPr>
          <w:p w14:paraId="6FC8CD3C" w14:textId="77777777" w:rsidR="00DA6575" w:rsidRDefault="00DA6575" w:rsidP="00DA6575">
            <w:pPr>
              <w:jc w:val="center"/>
              <w:rPr>
                <w:b/>
                <w:bCs/>
              </w:rPr>
            </w:pPr>
            <w:r>
              <w:rPr>
                <w:b/>
                <w:bCs/>
              </w:rPr>
              <w:t>Příslušenství I</w:t>
            </w:r>
          </w:p>
        </w:tc>
        <w:tc>
          <w:tcPr>
            <w:tcW w:w="1265" w:type="pct"/>
            <w:vAlign w:val="center"/>
          </w:tcPr>
          <w:p w14:paraId="05767C66" w14:textId="53D929A6" w:rsidR="00DA6575" w:rsidRPr="00BE7107" w:rsidRDefault="00DA6575" w:rsidP="00DA6575">
            <w:pPr>
              <w:jc w:val="center"/>
              <w:rPr>
                <w:i/>
                <w:sz w:val="16"/>
                <w:szCs w:val="16"/>
                <w:highlight w:val="yellow"/>
                <w:lang w:eastAsia="en-US"/>
              </w:rPr>
            </w:pPr>
            <w:r w:rsidRPr="00292A75">
              <w:rPr>
                <w:rFonts w:cs="Calibri"/>
              </w:rPr>
              <w:t>842,00</w:t>
            </w:r>
          </w:p>
        </w:tc>
        <w:tc>
          <w:tcPr>
            <w:tcW w:w="914" w:type="pct"/>
            <w:vAlign w:val="center"/>
          </w:tcPr>
          <w:p w14:paraId="2D8F0370" w14:textId="753AB9B8" w:rsidR="00DA6575" w:rsidRDefault="00AC72F5" w:rsidP="00DA6575">
            <w:pPr>
              <w:jc w:val="center"/>
            </w:pPr>
            <w:r>
              <w:t>0</w:t>
            </w:r>
            <w:r w:rsidR="00DA6575">
              <w:t xml:space="preserve"> ks</w:t>
            </w:r>
          </w:p>
        </w:tc>
        <w:tc>
          <w:tcPr>
            <w:tcW w:w="786" w:type="pct"/>
            <w:vAlign w:val="center"/>
          </w:tcPr>
          <w:p w14:paraId="6283A3DF" w14:textId="607C6299" w:rsidR="00DA6575" w:rsidRDefault="00AC72F5" w:rsidP="00DA6575">
            <w:pPr>
              <w:jc w:val="center"/>
              <w:rPr>
                <w:i/>
                <w:sz w:val="16"/>
                <w:szCs w:val="16"/>
                <w:highlight w:val="yellow"/>
                <w:lang w:eastAsia="en-US"/>
              </w:rPr>
            </w:pPr>
            <w:r w:rsidRPr="00AC72F5">
              <w:rPr>
                <w:i/>
                <w:sz w:val="16"/>
                <w:szCs w:val="16"/>
                <w:lang w:eastAsia="en-US"/>
              </w:rPr>
              <w:t>0,-</w:t>
            </w:r>
          </w:p>
        </w:tc>
      </w:tr>
      <w:tr w:rsidR="00DA6575" w:rsidRPr="007D4A7D" w14:paraId="57DD25F0" w14:textId="77777777" w:rsidTr="0055729B">
        <w:trPr>
          <w:trHeight w:val="511"/>
          <w:jc w:val="center"/>
        </w:trPr>
        <w:tc>
          <w:tcPr>
            <w:tcW w:w="2035" w:type="pct"/>
            <w:vAlign w:val="center"/>
          </w:tcPr>
          <w:p w14:paraId="00755879" w14:textId="77777777" w:rsidR="00DA6575" w:rsidRDefault="00DA6575" w:rsidP="00DA6575">
            <w:pPr>
              <w:jc w:val="center"/>
              <w:rPr>
                <w:b/>
                <w:bCs/>
              </w:rPr>
            </w:pPr>
            <w:r>
              <w:rPr>
                <w:b/>
                <w:bCs/>
              </w:rPr>
              <w:t>Příslušenství II</w:t>
            </w:r>
          </w:p>
        </w:tc>
        <w:tc>
          <w:tcPr>
            <w:tcW w:w="1265"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914" w:type="pct"/>
            <w:vAlign w:val="center"/>
          </w:tcPr>
          <w:p w14:paraId="2E50F547" w14:textId="703F5D3E" w:rsidR="00DA6575" w:rsidRDefault="00AC72F5" w:rsidP="00DA6575">
            <w:pPr>
              <w:jc w:val="center"/>
            </w:pPr>
            <w:r>
              <w:t>20</w:t>
            </w:r>
            <w:r w:rsidR="00DA6575">
              <w:t xml:space="preserve"> ks</w:t>
            </w:r>
          </w:p>
        </w:tc>
        <w:tc>
          <w:tcPr>
            <w:tcW w:w="786" w:type="pct"/>
            <w:vAlign w:val="center"/>
          </w:tcPr>
          <w:p w14:paraId="72DE5E86" w14:textId="7CEE2319" w:rsidR="00DA6575" w:rsidRDefault="00AC72F5" w:rsidP="00DA6575">
            <w:pPr>
              <w:jc w:val="center"/>
              <w:rPr>
                <w:i/>
                <w:sz w:val="16"/>
                <w:szCs w:val="16"/>
                <w:highlight w:val="yellow"/>
                <w:lang w:eastAsia="en-US"/>
              </w:rPr>
            </w:pPr>
            <w:r w:rsidRPr="00AC72F5">
              <w:rPr>
                <w:i/>
                <w:sz w:val="16"/>
                <w:szCs w:val="16"/>
                <w:lang w:eastAsia="en-US"/>
              </w:rPr>
              <w:t>4080,-</w:t>
            </w:r>
          </w:p>
        </w:tc>
      </w:tr>
      <w:tr w:rsidR="00DA6575" w:rsidRPr="007D4A7D" w14:paraId="61179649" w14:textId="77777777" w:rsidTr="00992F3A">
        <w:trPr>
          <w:trHeight w:val="652"/>
          <w:jc w:val="center"/>
        </w:trPr>
        <w:tc>
          <w:tcPr>
            <w:tcW w:w="2035" w:type="pct"/>
            <w:vAlign w:val="center"/>
          </w:tcPr>
          <w:p w14:paraId="5A0555F5" w14:textId="77777777" w:rsidR="00DA6575" w:rsidRDefault="00DA6575" w:rsidP="00DA6575">
            <w:pPr>
              <w:jc w:val="center"/>
              <w:rPr>
                <w:b/>
                <w:bCs/>
              </w:rPr>
            </w:pPr>
            <w:r>
              <w:rPr>
                <w:b/>
                <w:bCs/>
              </w:rPr>
              <w:t>Kupní cena</w:t>
            </w:r>
          </w:p>
        </w:tc>
        <w:tc>
          <w:tcPr>
            <w:tcW w:w="2965" w:type="pct"/>
            <w:gridSpan w:val="3"/>
            <w:vAlign w:val="center"/>
          </w:tcPr>
          <w:p w14:paraId="19BF75D1" w14:textId="65A304C4" w:rsidR="00DA6575" w:rsidRDefault="00AC72F5" w:rsidP="00DA6575">
            <w:pPr>
              <w:jc w:val="center"/>
              <w:rPr>
                <w:i/>
                <w:sz w:val="16"/>
                <w:szCs w:val="16"/>
                <w:highlight w:val="yellow"/>
                <w:lang w:eastAsia="en-US"/>
              </w:rPr>
            </w:pPr>
            <w:r w:rsidRPr="00AC72F5">
              <w:rPr>
                <w:i/>
                <w:sz w:val="16"/>
                <w:szCs w:val="16"/>
                <w:lang w:eastAsia="en-US"/>
              </w:rPr>
              <w:t>481 080,-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 xml:space="preserve">sů, a jsou cenami maximálními </w:t>
      </w:r>
      <w:r w:rsidR="00084B38">
        <w:lastRenderedPageBreak/>
        <w:t>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451FF7">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 xml:space="preserve">částce uhrazené DPH považuje bez ohledu na další ustanovení smlouvy za uhrazenou. </w:t>
      </w:r>
      <w:r w:rsidRPr="005F5660">
        <w:lastRenderedPageBreak/>
        <w:t>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lastRenderedPageBreak/>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2113 a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 xml:space="preserve">od prokazatelného nahlášení vady </w:t>
      </w:r>
      <w:r w:rsidR="00CF5EC4">
        <w:lastRenderedPageBreak/>
        <w:t>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lastRenderedPageBreak/>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lastRenderedPageBreak/>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39B7F4EE" w:rsidR="006135FA" w:rsidRPr="005C0F87" w:rsidRDefault="006135FA" w:rsidP="002A6536">
      <w:pPr>
        <w:pStyle w:val="Nadpis3"/>
      </w:pPr>
      <w:r w:rsidRPr="005C0F87">
        <w:t>Kupující</w:t>
      </w:r>
      <w:r w:rsidRPr="002944B5">
        <w:t>:</w:t>
      </w:r>
      <w:r w:rsidR="006D15C2" w:rsidRPr="00BE7107">
        <w:rPr>
          <w:i/>
        </w:rPr>
        <w:t xml:space="preserve"> </w:t>
      </w:r>
      <w:r w:rsidR="00513225">
        <w:rPr>
          <w:i/>
        </w:rPr>
        <w:t xml:space="preserve">Integrovaná střední škola technická, Benešov, </w:t>
      </w:r>
      <w:proofErr w:type="spellStart"/>
      <w:r w:rsidR="00513225">
        <w:rPr>
          <w:i/>
        </w:rPr>
        <w:t>Černoleská</w:t>
      </w:r>
      <w:proofErr w:type="spellEnd"/>
      <w:r w:rsidR="00513225">
        <w:rPr>
          <w:i/>
        </w:rPr>
        <w:t xml:space="preserve"> 1997</w:t>
      </w:r>
    </w:p>
    <w:p w14:paraId="2F681B20" w14:textId="60927B47" w:rsidR="006135FA" w:rsidRPr="00215A80" w:rsidRDefault="006135FA" w:rsidP="005C0F87">
      <w:pPr>
        <w:pStyle w:val="Nadpis2bezslovn"/>
        <w:ind w:left="1080"/>
        <w:rPr>
          <w:highlight w:val="magenta"/>
        </w:rPr>
      </w:pPr>
      <w:r w:rsidRPr="00BE7107">
        <w:t xml:space="preserve">Jméno: </w:t>
      </w:r>
      <w:r w:rsidR="00513225">
        <w:t>Mgr. Jana Fialová</w:t>
      </w:r>
    </w:p>
    <w:p w14:paraId="47E55598" w14:textId="5A894DFE" w:rsidR="006135FA" w:rsidRPr="00BE7107" w:rsidRDefault="006135FA" w:rsidP="005C0F87">
      <w:pPr>
        <w:pStyle w:val="Nadpis2bezslovn"/>
        <w:ind w:left="1080"/>
      </w:pPr>
      <w:r w:rsidRPr="00BE7107">
        <w:t xml:space="preserve">Adresa: </w:t>
      </w:r>
      <w:proofErr w:type="spellStart"/>
      <w:r w:rsidR="00513225">
        <w:t>Černoleská</w:t>
      </w:r>
      <w:proofErr w:type="spellEnd"/>
      <w:r w:rsidR="00513225">
        <w:t xml:space="preserve"> 1997, 256 01 Benešov</w:t>
      </w:r>
    </w:p>
    <w:p w14:paraId="4411802F" w14:textId="0A98A335" w:rsidR="006135FA" w:rsidRPr="00BE7107" w:rsidRDefault="006135FA" w:rsidP="005C0F87">
      <w:pPr>
        <w:pStyle w:val="Nadpis2bezslovn"/>
        <w:ind w:left="1080"/>
      </w:pPr>
      <w:r w:rsidRPr="00BE7107">
        <w:t xml:space="preserve">E-mail: </w:t>
      </w:r>
      <w:r w:rsidR="00513225">
        <w:t>skola@</w:t>
      </w:r>
      <w:r w:rsidR="00FA0AC8">
        <w:t>isstbn.cz</w:t>
      </w:r>
    </w:p>
    <w:p w14:paraId="6E6F6E5A" w14:textId="4586D47C" w:rsidR="006135FA" w:rsidRPr="005C0F87" w:rsidRDefault="006135FA" w:rsidP="005C0F87">
      <w:pPr>
        <w:pStyle w:val="Nadpis2bezslovn"/>
        <w:ind w:left="1080"/>
      </w:pPr>
      <w:r w:rsidRPr="00BE7107">
        <w:t xml:space="preserve">Datová schránka: </w:t>
      </w:r>
      <w:r w:rsidR="00FA0AC8">
        <w:t>rzpw2gi</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E-mail: jtoman@opencc.eu</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480B1C3B" w:rsidR="006135FA" w:rsidRPr="005C0F87" w:rsidRDefault="006135FA" w:rsidP="00BE7107">
      <w:pPr>
        <w:pStyle w:val="Nadpis3"/>
        <w:keepNext/>
        <w:keepLines/>
      </w:pPr>
      <w:r w:rsidRPr="005C0F87">
        <w:lastRenderedPageBreak/>
        <w:t xml:space="preserve">Kontaktní osobou Kupujícího </w:t>
      </w:r>
      <w:r w:rsidRPr="00FA0AC8">
        <w:t xml:space="preserve">je </w:t>
      </w:r>
      <w:r w:rsidR="00FA0AC8" w:rsidRPr="00FA0AC8">
        <w:rPr>
          <w:i/>
        </w:rPr>
        <w:t>Ing. Soňa Foubíková,</w:t>
      </w:r>
      <w:r w:rsidRPr="00FA0AC8">
        <w:t xml:space="preserve"> e-mail </w:t>
      </w:r>
      <w:hyperlink r:id="rId8" w:history="1">
        <w:r w:rsidR="00FA0AC8" w:rsidRPr="00FA0AC8">
          <w:rPr>
            <w:rStyle w:val="Hypertextovodkaz"/>
            <w:i/>
          </w:rPr>
          <w:t>foubikova@isstbn.cz</w:t>
        </w:r>
      </w:hyperlink>
      <w:r w:rsidR="00FA0AC8">
        <w:rPr>
          <w:i/>
        </w:rPr>
        <w:t>, 317723130</w:t>
      </w:r>
      <w:r w:rsidRPr="005C0F87">
        <w:t xml:space="preserve"> a další zaměstnanci Kupujícího jím písemně pověření. </w:t>
      </w:r>
    </w:p>
    <w:p w14:paraId="559374DA" w14:textId="086186AD"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hyperlink r:id="rId9" w:history="1">
        <w:r w:rsidR="001D67D0" w:rsidRPr="00050663">
          <w:rPr>
            <w:rStyle w:val="Hypertextovodkaz"/>
            <w:iCs/>
          </w:rPr>
          <w:t>fdlouhy@opencc.eu</w:t>
        </w:r>
      </w:hyperlink>
      <w:r w:rsidR="001D67D0" w:rsidRPr="00050663">
        <w:rPr>
          <w:iCs/>
        </w:rPr>
        <w:t>, 732440373</w:t>
      </w:r>
      <w:r w:rsidRPr="00050663">
        <w:rPr>
          <w:iCs/>
        </w:rPr>
        <w:t>,</w:t>
      </w:r>
      <w:r w:rsidRPr="005C0F87">
        <w:t xml:space="preserve"> a další zaměstnanci či jiné osoby jím písemně pověření. </w:t>
      </w:r>
    </w:p>
    <w:p w14:paraId="14F6B4A7" w14:textId="351DDFC3"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oprávněn</w:t>
      </w:r>
      <w:r w:rsidR="00FA0AC8">
        <w:t xml:space="preserve">a Mgr. Jana Fialová </w:t>
      </w:r>
      <w:r w:rsidR="00623DBD" w:rsidRPr="00BE7107">
        <w:t>a dále</w:t>
      </w:r>
      <w:r w:rsidR="00FA0AC8">
        <w:t xml:space="preserve"> Ing. Miloslav Procházka</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0AEC60CA"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lastRenderedPageBreak/>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A49598D" w14:textId="16AB70BF" w:rsidR="002045E1" w:rsidRDefault="002045E1" w:rsidP="00FA0AC8">
      <w:pPr>
        <w:pStyle w:val="Nadpis2"/>
        <w:numPr>
          <w:ilvl w:val="0"/>
          <w:numId w:val="0"/>
        </w:numPr>
        <w:ind w:left="426"/>
      </w:pPr>
    </w:p>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0A279AE9" w:rsidR="006135FA" w:rsidRPr="005C0F87" w:rsidRDefault="006135FA" w:rsidP="0086374F">
            <w:pPr>
              <w:jc w:val="center"/>
            </w:pPr>
            <w:r w:rsidRPr="005C0F87">
              <w:t xml:space="preserve">V </w:t>
            </w:r>
            <w:r w:rsidR="00FA0AC8">
              <w:t>Benešově</w:t>
            </w:r>
            <w:r w:rsidRPr="005C0F87">
              <w:t xml:space="preserv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77433231" w:rsidR="005B421F" w:rsidRPr="00A522CD" w:rsidRDefault="00FA0AC8" w:rsidP="005B421F">
            <w:pPr>
              <w:jc w:val="center"/>
              <w:rPr>
                <w:highlight w:val="yellow"/>
              </w:rPr>
            </w:pPr>
            <w:r>
              <w:rPr>
                <w:b/>
              </w:rPr>
              <w:t>Mgr. Jana Fialová</w:t>
            </w:r>
          </w:p>
          <w:p w14:paraId="296332EC" w14:textId="2F3CBAB4" w:rsidR="006135FA" w:rsidRPr="005C0F87" w:rsidRDefault="00FA0AC8" w:rsidP="005B421F">
            <w:pPr>
              <w:jc w:val="center"/>
            </w:pPr>
            <w:r>
              <w:t>ředitelka</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04EA0147" w14:textId="056934E0" w:rsidR="009B6443" w:rsidRDefault="009B6443" w:rsidP="008A5116">
      <w:pPr>
        <w:rPr>
          <w:b/>
        </w:rPr>
      </w:pPr>
    </w:p>
    <w:p w14:paraId="301E379D" w14:textId="12484B65" w:rsidR="009B6443" w:rsidRDefault="009B6443" w:rsidP="008A5116">
      <w:pPr>
        <w:rPr>
          <w:b/>
        </w:rPr>
      </w:pPr>
    </w:p>
    <w:p w14:paraId="7A810E7F" w14:textId="44160FCE" w:rsidR="009B6443" w:rsidRDefault="009B6443" w:rsidP="008A5116">
      <w:pPr>
        <w:rPr>
          <w:b/>
        </w:rPr>
      </w:pPr>
    </w:p>
    <w:p w14:paraId="1D691A72" w14:textId="64283B43" w:rsidR="009B6443" w:rsidRDefault="009B6443" w:rsidP="008A5116">
      <w:pPr>
        <w:rPr>
          <w:b/>
        </w:rPr>
      </w:pPr>
    </w:p>
    <w:p w14:paraId="76766DDA" w14:textId="38612F58" w:rsidR="009B6443" w:rsidRDefault="009B6443" w:rsidP="008A5116">
      <w:pPr>
        <w:rPr>
          <w:b/>
        </w:rPr>
      </w:pPr>
    </w:p>
    <w:p w14:paraId="03621339" w14:textId="6488136C" w:rsidR="009B6443" w:rsidRDefault="009B6443" w:rsidP="008A5116">
      <w:pPr>
        <w:rPr>
          <w:b/>
        </w:rPr>
      </w:pPr>
    </w:p>
    <w:p w14:paraId="535E0C65" w14:textId="5A0E69B0" w:rsidR="009B6443" w:rsidRDefault="009B6443" w:rsidP="008A5116">
      <w:pPr>
        <w:rPr>
          <w:b/>
        </w:rPr>
      </w:pPr>
    </w:p>
    <w:p w14:paraId="75F96D76" w14:textId="7CE9309D" w:rsidR="009B6443" w:rsidRDefault="009B6443" w:rsidP="008A5116">
      <w:pPr>
        <w:rPr>
          <w:b/>
        </w:rPr>
      </w:pPr>
    </w:p>
    <w:p w14:paraId="18FAF4D8" w14:textId="6E8FB50B" w:rsidR="009B6443" w:rsidRDefault="009B6443" w:rsidP="008A5116">
      <w:pPr>
        <w:rPr>
          <w:b/>
        </w:rPr>
      </w:pPr>
    </w:p>
    <w:p w14:paraId="1A215824" w14:textId="0C3F1B59" w:rsidR="009B6443" w:rsidRDefault="009B6443" w:rsidP="008A5116">
      <w:pPr>
        <w:rPr>
          <w:b/>
        </w:rPr>
      </w:pPr>
    </w:p>
    <w:p w14:paraId="6C08D6A2" w14:textId="2A1EF2A0" w:rsidR="009B6443" w:rsidRDefault="009B6443" w:rsidP="008A5116">
      <w:pPr>
        <w:rPr>
          <w:b/>
        </w:rPr>
      </w:pPr>
    </w:p>
    <w:p w14:paraId="004E9BA7" w14:textId="62B5F9A2" w:rsidR="009B6443" w:rsidRDefault="009B6443" w:rsidP="008A5116">
      <w:pPr>
        <w:rPr>
          <w:b/>
        </w:rPr>
      </w:pPr>
    </w:p>
    <w:p w14:paraId="7A369CE2" w14:textId="1C2D7AF2" w:rsidR="009B6443" w:rsidRDefault="009B6443" w:rsidP="008A5116">
      <w:pPr>
        <w:rPr>
          <w:b/>
        </w:rPr>
      </w:pPr>
    </w:p>
    <w:p w14:paraId="17D25EAC" w14:textId="7C86AE45" w:rsidR="009B6443" w:rsidRDefault="009B6443" w:rsidP="008A5116">
      <w:pPr>
        <w:rPr>
          <w:b/>
        </w:rPr>
      </w:pPr>
    </w:p>
    <w:p w14:paraId="55D87956" w14:textId="6CB3C436" w:rsidR="009B6443" w:rsidRDefault="009B6443" w:rsidP="008A5116">
      <w:pPr>
        <w:rPr>
          <w:b/>
        </w:rPr>
      </w:pPr>
    </w:p>
    <w:p w14:paraId="477B4201" w14:textId="5E9FF9E7" w:rsidR="009B6443" w:rsidRDefault="009B6443" w:rsidP="008A5116">
      <w:pPr>
        <w:rPr>
          <w:b/>
        </w:rPr>
      </w:pPr>
    </w:p>
    <w:p w14:paraId="0A66A94E" w14:textId="77777777" w:rsidR="009A2F6F" w:rsidRDefault="009A2F6F" w:rsidP="008A5116">
      <w:pPr>
        <w:rPr>
          <w:b/>
        </w:rPr>
      </w:pPr>
    </w:p>
    <w:p w14:paraId="1CD1F3FB" w14:textId="77777777" w:rsidR="009A2F6F" w:rsidRDefault="009A2F6F" w:rsidP="008A5116">
      <w:pPr>
        <w:rPr>
          <w:b/>
        </w:rPr>
      </w:pPr>
    </w:p>
    <w:p w14:paraId="63E4F08C" w14:textId="77777777" w:rsidR="009A2F6F" w:rsidRDefault="009A2F6F" w:rsidP="008A5116">
      <w:pPr>
        <w:rPr>
          <w:b/>
        </w:rPr>
      </w:pPr>
    </w:p>
    <w:p w14:paraId="3A42EF15" w14:textId="47D36634" w:rsidR="009B6443" w:rsidRDefault="009B6443" w:rsidP="008A5116">
      <w:pPr>
        <w:rPr>
          <w:b/>
        </w:rPr>
      </w:pPr>
    </w:p>
    <w:p w14:paraId="1404B86D" w14:textId="1423F7C8" w:rsidR="00FA0AC8" w:rsidRDefault="00FA0AC8" w:rsidP="008A5116">
      <w:pPr>
        <w:rPr>
          <w:b/>
        </w:rPr>
      </w:pPr>
    </w:p>
    <w:p w14:paraId="42E56063" w14:textId="74AFA0A9" w:rsidR="00FA0AC8" w:rsidRDefault="00FA0AC8" w:rsidP="008A5116">
      <w:pPr>
        <w:rPr>
          <w:b/>
        </w:rPr>
      </w:pPr>
    </w:p>
    <w:p w14:paraId="10B3666A" w14:textId="4D6C9D17" w:rsidR="00FA0AC8" w:rsidRDefault="00FA0AC8" w:rsidP="008A5116">
      <w:pPr>
        <w:rPr>
          <w:b/>
        </w:rPr>
      </w:pPr>
    </w:p>
    <w:p w14:paraId="5AD3581E" w14:textId="77777777" w:rsidR="00FA0AC8" w:rsidRDefault="00FA0AC8" w:rsidP="008A5116">
      <w:pPr>
        <w:rPr>
          <w:b/>
        </w:rPr>
      </w:pPr>
    </w:p>
    <w:p w14:paraId="46707DCE" w14:textId="0549DA96" w:rsidR="009B6443" w:rsidRDefault="009B6443" w:rsidP="008A5116">
      <w:pPr>
        <w:rPr>
          <w:b/>
        </w:rPr>
      </w:pPr>
    </w:p>
    <w:p w14:paraId="7D536ECD" w14:textId="04CEA52A" w:rsidR="00A1602B" w:rsidRDefault="00A1602B" w:rsidP="008A5116">
      <w:pPr>
        <w:rPr>
          <w:b/>
        </w:rPr>
      </w:pPr>
    </w:p>
    <w:p w14:paraId="06A2E4F3" w14:textId="3235E398" w:rsidR="00A1602B" w:rsidRDefault="00A1602B" w:rsidP="008A5116">
      <w:pPr>
        <w:rPr>
          <w:b/>
        </w:rPr>
      </w:pPr>
    </w:p>
    <w:p w14:paraId="11AF06DE" w14:textId="77777777" w:rsidR="00A1602B" w:rsidRDefault="00A1602B" w:rsidP="00A1602B">
      <w:pPr>
        <w:jc w:val="center"/>
        <w:rPr>
          <w:b/>
          <w:color w:val="000000"/>
        </w:rPr>
      </w:pPr>
      <w:bookmarkStart w:id="2" w:name="RANGE!A1:D73"/>
      <w:r>
        <w:rPr>
          <w:b/>
          <w:color w:val="000000"/>
        </w:rPr>
        <w:lastRenderedPageBreak/>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shd w:val="clear" w:color="auto" w:fill="auto"/>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shd w:val="clear" w:color="auto" w:fill="auto"/>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shd w:val="clear" w:color="auto" w:fill="auto"/>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r>
              <w:rPr>
                <w:rFonts w:ascii="Calibri" w:hAnsi="Calibri" w:cs="Calibri"/>
                <w:sz w:val="22"/>
                <w:szCs w:val="22"/>
              </w:rPr>
              <w:t>Processor</w:t>
            </w:r>
            <w:proofErr w:type="spellEnd"/>
            <w:r>
              <w:rPr>
                <w:rFonts w:ascii="Calibri" w:hAnsi="Calibri" w:cs="Calibri"/>
                <w:sz w:val="22"/>
                <w:szCs w:val="22"/>
              </w:rPr>
              <w:t xml:space="preserve">  21611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shd w:val="clear" w:color="auto" w:fill="auto"/>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shd w:val="clear" w:color="auto" w:fill="auto"/>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shd w:val="clear" w:color="auto" w:fill="auto"/>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Rychlost čtení / zápis min. 2000 MB/s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shd w:val="clear" w:color="auto" w:fill="auto"/>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shd w:val="clear" w:color="auto" w:fill="auto"/>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shd w:val="clear" w:color="auto" w:fill="auto"/>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15W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1.4a (HBR2, DSC)</w:t>
            </w:r>
            <w:r>
              <w:rPr>
                <w:rFonts w:ascii="Calibri" w:hAnsi="Calibri" w:cs="Calibri"/>
                <w:sz w:val="22"/>
                <w:szCs w:val="22"/>
              </w:rPr>
              <w:br/>
              <w:t>podpora 4K/60Hz</w:t>
            </w:r>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D46232">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shd w:val="clear" w:color="auto" w:fill="auto"/>
            <w:vAlign w:val="center"/>
          </w:tcPr>
          <w:p w14:paraId="18C705C3" w14:textId="04ED2DBA" w:rsidR="00A1602B" w:rsidRDefault="00D46232">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shd w:val="clear" w:color="auto" w:fill="auto"/>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shd w:val="clear" w:color="auto" w:fill="auto"/>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shd w:val="clear" w:color="auto" w:fill="auto"/>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shd w:val="clear" w:color="auto" w:fill="auto"/>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shd w:val="clear" w:color="auto" w:fill="auto"/>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shd w:val="clear" w:color="auto" w:fill="auto"/>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shd w:val="clear" w:color="auto" w:fill="auto"/>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Manager</w:t>
            </w:r>
            <w:proofErr w:type="spellEnd"/>
            <w:r>
              <w:rPr>
                <w:rFonts w:ascii="Calibri" w:hAnsi="Calibri" w:cs="Calibri"/>
                <w:color w:val="000000"/>
                <w:sz w:val="22"/>
                <w:szCs w:val="22"/>
              </w:rPr>
              <w:t xml:space="preserve">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A1602B">
        <w:trPr>
          <w:trHeight w:val="315"/>
        </w:trPr>
        <w:tc>
          <w:tcPr>
            <w:tcW w:w="1151" w:type="pct"/>
            <w:tcBorders>
              <w:top w:val="nil"/>
              <w:left w:val="single" w:sz="8" w:space="0" w:color="auto"/>
              <w:bottom w:val="nil"/>
              <w:right w:val="nil"/>
            </w:tcBorders>
            <w:shd w:val="clear" w:color="auto" w:fill="auto"/>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shd w:val="clear" w:color="auto" w:fill="auto"/>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shd w:val="clear" w:color="auto" w:fill="auto"/>
            <w:vAlign w:val="center"/>
            <w:hideMark/>
          </w:tcPr>
          <w:p w14:paraId="40F78AD1"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7395442C" w14:textId="77777777" w:rsidR="00A1602B" w:rsidRDefault="00A1602B">
            <w:pPr>
              <w:jc w:val="center"/>
              <w:rPr>
                <w:sz w:val="20"/>
                <w:szCs w:val="20"/>
              </w:rPr>
            </w:pPr>
          </w:p>
        </w:tc>
      </w:tr>
      <w:tr w:rsidR="00A1602B" w14:paraId="32E72919" w14:textId="77777777" w:rsidTr="00A1602B">
        <w:trPr>
          <w:trHeight w:val="315"/>
        </w:trPr>
        <w:tc>
          <w:tcPr>
            <w:tcW w:w="1151" w:type="pct"/>
            <w:tcBorders>
              <w:top w:val="nil"/>
              <w:left w:val="nil"/>
              <w:bottom w:val="nil"/>
              <w:right w:val="nil"/>
            </w:tcBorders>
            <w:shd w:val="clear" w:color="auto" w:fill="auto"/>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741DB64A" w14:textId="77777777" w:rsidR="00A1602B" w:rsidRDefault="00A1602B">
            <w:pPr>
              <w:rPr>
                <w:sz w:val="20"/>
                <w:szCs w:val="20"/>
              </w:rPr>
            </w:pPr>
          </w:p>
        </w:tc>
      </w:tr>
      <w:tr w:rsidR="00A1602B" w14:paraId="1DE0BE7B"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shd w:val="clear" w:color="auto" w:fill="auto"/>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shd w:val="clear" w:color="auto" w:fill="auto"/>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shd w:val="clear" w:color="auto" w:fill="auto"/>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shd w:val="clear" w:color="auto" w:fill="auto"/>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A1602B">
        <w:trPr>
          <w:trHeight w:val="345"/>
        </w:trPr>
        <w:tc>
          <w:tcPr>
            <w:tcW w:w="1151" w:type="pct"/>
            <w:tcBorders>
              <w:top w:val="nil"/>
              <w:left w:val="single" w:sz="8" w:space="0" w:color="auto"/>
              <w:bottom w:val="single" w:sz="4" w:space="0" w:color="auto"/>
              <w:right w:val="single" w:sz="4" w:space="0" w:color="auto"/>
            </w:tcBorders>
            <w:shd w:val="clear" w:color="auto" w:fill="auto"/>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shd w:val="clear" w:color="auto" w:fill="auto"/>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shd w:val="clear" w:color="auto" w:fill="auto"/>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shd w:val="clear" w:color="auto" w:fill="auto"/>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shd w:val="clear" w:color="auto" w:fill="auto"/>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A1602B">
        <w:trPr>
          <w:trHeight w:val="4200"/>
        </w:trPr>
        <w:tc>
          <w:tcPr>
            <w:tcW w:w="1151" w:type="pct"/>
            <w:tcBorders>
              <w:top w:val="nil"/>
              <w:left w:val="single" w:sz="8" w:space="0" w:color="auto"/>
              <w:bottom w:val="single" w:sz="4" w:space="0" w:color="auto"/>
              <w:right w:val="single" w:sz="4" w:space="0" w:color="auto"/>
            </w:tcBorders>
            <w:shd w:val="clear" w:color="auto" w:fill="auto"/>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shd w:val="clear" w:color="auto" w:fill="auto"/>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A1602B">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A1602B">
        <w:trPr>
          <w:trHeight w:val="1215"/>
        </w:trPr>
        <w:tc>
          <w:tcPr>
            <w:tcW w:w="1151" w:type="pct"/>
            <w:tcBorders>
              <w:top w:val="nil"/>
              <w:left w:val="single" w:sz="8" w:space="0" w:color="auto"/>
              <w:bottom w:val="single" w:sz="8" w:space="0" w:color="auto"/>
              <w:right w:val="single" w:sz="4" w:space="0" w:color="auto"/>
            </w:tcBorders>
            <w:shd w:val="clear" w:color="auto" w:fill="auto"/>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shd w:val="clear" w:color="auto" w:fill="auto"/>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A1602B">
        <w:trPr>
          <w:trHeight w:val="315"/>
        </w:trPr>
        <w:tc>
          <w:tcPr>
            <w:tcW w:w="1151" w:type="pct"/>
            <w:tcBorders>
              <w:top w:val="nil"/>
              <w:left w:val="single" w:sz="8" w:space="0" w:color="auto"/>
              <w:bottom w:val="nil"/>
              <w:right w:val="nil"/>
            </w:tcBorders>
            <w:shd w:val="clear" w:color="auto" w:fill="auto"/>
            <w:noWrap/>
            <w:hideMark/>
          </w:tcPr>
          <w:p w14:paraId="40DF06FC" w14:textId="77777777" w:rsidR="00A1602B" w:rsidRDefault="00A1602B">
            <w:pPr>
              <w:rPr>
                <w:rFonts w:ascii="Calibri" w:hAnsi="Calibri" w:cs="Calibri"/>
                <w:sz w:val="22"/>
                <w:szCs w:val="22"/>
              </w:rPr>
            </w:pPr>
            <w:r>
              <w:rPr>
                <w:rFonts w:ascii="Calibri" w:hAnsi="Calibri" w:cs="Calibri"/>
                <w:sz w:val="22"/>
                <w:szCs w:val="22"/>
              </w:rPr>
              <w:t> </w:t>
            </w:r>
          </w:p>
          <w:p w14:paraId="0FBE18F5" w14:textId="5571C290" w:rsidR="00B14D64" w:rsidRDefault="00B14D64">
            <w:pPr>
              <w:rPr>
                <w:rFonts w:ascii="Calibri" w:hAnsi="Calibri" w:cs="Calibri"/>
                <w:sz w:val="22"/>
                <w:szCs w:val="22"/>
              </w:rPr>
            </w:pPr>
          </w:p>
          <w:p w14:paraId="0841FE69" w14:textId="77777777" w:rsidR="00724996" w:rsidRDefault="00724996">
            <w:pPr>
              <w:rPr>
                <w:rFonts w:ascii="Calibri" w:hAnsi="Calibri" w:cs="Calibri"/>
                <w:sz w:val="22"/>
                <w:szCs w:val="22"/>
              </w:rPr>
            </w:pPr>
          </w:p>
          <w:p w14:paraId="707F3B0E" w14:textId="77777777" w:rsidR="00B14D64" w:rsidRDefault="00B14D64">
            <w:pPr>
              <w:rPr>
                <w:rFonts w:ascii="Calibri" w:hAnsi="Calibri" w:cs="Calibri"/>
                <w:sz w:val="22"/>
                <w:szCs w:val="22"/>
              </w:rPr>
            </w:pPr>
          </w:p>
          <w:p w14:paraId="7C3B5D4F" w14:textId="0AD0349E" w:rsidR="00B14D64" w:rsidRDefault="00B14D64">
            <w:pPr>
              <w:rPr>
                <w:rFonts w:ascii="Calibri" w:hAnsi="Calibri" w:cs="Calibri"/>
                <w:sz w:val="22"/>
                <w:szCs w:val="22"/>
              </w:rPr>
            </w:pPr>
          </w:p>
        </w:tc>
        <w:tc>
          <w:tcPr>
            <w:tcW w:w="1147" w:type="pct"/>
            <w:tcBorders>
              <w:top w:val="nil"/>
              <w:left w:val="nil"/>
              <w:bottom w:val="nil"/>
              <w:right w:val="nil"/>
            </w:tcBorders>
            <w:shd w:val="clear" w:color="auto" w:fill="auto"/>
            <w:hideMark/>
          </w:tcPr>
          <w:p w14:paraId="0C77A167" w14:textId="77777777" w:rsidR="00A1602B" w:rsidRDefault="00A1602B">
            <w:pPr>
              <w:rPr>
                <w:rFonts w:ascii="Calibri" w:hAnsi="Calibri" w:cs="Calibri"/>
                <w:sz w:val="22"/>
                <w:szCs w:val="22"/>
              </w:rPr>
            </w:pPr>
          </w:p>
        </w:tc>
        <w:tc>
          <w:tcPr>
            <w:tcW w:w="854" w:type="pct"/>
            <w:tcBorders>
              <w:top w:val="nil"/>
              <w:left w:val="nil"/>
              <w:bottom w:val="nil"/>
              <w:right w:val="nil"/>
            </w:tcBorders>
            <w:shd w:val="clear" w:color="auto" w:fill="auto"/>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shd w:val="clear" w:color="auto" w:fill="auto"/>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A1602B" w14:paraId="54C83809"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shd w:val="clear" w:color="auto" w:fill="auto"/>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shd w:val="clear" w:color="auto" w:fill="auto"/>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shd w:val="clear" w:color="auto" w:fill="auto"/>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shd w:val="clear" w:color="auto" w:fill="auto"/>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A1602B">
        <w:trPr>
          <w:trHeight w:val="345"/>
        </w:trPr>
        <w:tc>
          <w:tcPr>
            <w:tcW w:w="1151" w:type="pct"/>
            <w:tcBorders>
              <w:top w:val="nil"/>
              <w:left w:val="single" w:sz="8" w:space="0" w:color="auto"/>
              <w:bottom w:val="single" w:sz="4" w:space="0" w:color="auto"/>
              <w:right w:val="single" w:sz="4" w:space="0" w:color="auto"/>
            </w:tcBorders>
            <w:shd w:val="clear" w:color="auto" w:fill="auto"/>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shd w:val="clear" w:color="auto" w:fill="auto"/>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shd w:val="clear" w:color="auto" w:fill="auto"/>
            <w:hideMark/>
          </w:tcPr>
          <w:p w14:paraId="4B2015D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shd w:val="clear" w:color="auto" w:fill="auto"/>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shd w:val="clear" w:color="auto" w:fill="auto"/>
            <w:hideMark/>
          </w:tcPr>
          <w:p w14:paraId="4FD910D3"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A1602B">
        <w:trPr>
          <w:trHeight w:val="4200"/>
        </w:trPr>
        <w:tc>
          <w:tcPr>
            <w:tcW w:w="1151" w:type="pct"/>
            <w:tcBorders>
              <w:top w:val="nil"/>
              <w:left w:val="single" w:sz="8" w:space="0" w:color="auto"/>
              <w:bottom w:val="single" w:sz="4" w:space="0" w:color="auto"/>
              <w:right w:val="single" w:sz="4" w:space="0" w:color="auto"/>
            </w:tcBorders>
            <w:shd w:val="clear" w:color="auto" w:fill="auto"/>
            <w:hideMark/>
          </w:tcPr>
          <w:p w14:paraId="531575BB"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shd w:val="clear" w:color="auto" w:fill="auto"/>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Pr>
                <w:rFonts w:ascii="Calibri" w:hAnsi="Calibri" w:cs="Calibri"/>
                <w:sz w:val="22"/>
                <w:szCs w:val="22"/>
              </w:rPr>
              <w:lastRenderedPageBreak/>
              <w:t xml:space="preserve">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A1602B">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A1602B">
        <w:trPr>
          <w:trHeight w:val="1215"/>
        </w:trPr>
        <w:tc>
          <w:tcPr>
            <w:tcW w:w="1151" w:type="pct"/>
            <w:tcBorders>
              <w:top w:val="nil"/>
              <w:left w:val="single" w:sz="8" w:space="0" w:color="auto"/>
              <w:bottom w:val="single" w:sz="8" w:space="0" w:color="auto"/>
              <w:right w:val="single" w:sz="4" w:space="0" w:color="auto"/>
            </w:tcBorders>
            <w:shd w:val="clear" w:color="auto" w:fill="auto"/>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shd w:val="clear" w:color="auto" w:fill="auto"/>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A1602B">
        <w:trPr>
          <w:trHeight w:val="315"/>
        </w:trPr>
        <w:tc>
          <w:tcPr>
            <w:tcW w:w="1151" w:type="pct"/>
            <w:tcBorders>
              <w:top w:val="nil"/>
              <w:left w:val="nil"/>
              <w:bottom w:val="nil"/>
              <w:right w:val="nil"/>
            </w:tcBorders>
            <w:shd w:val="clear" w:color="auto" w:fill="auto"/>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A1602B">
        <w:trPr>
          <w:trHeight w:val="315"/>
        </w:trPr>
        <w:tc>
          <w:tcPr>
            <w:tcW w:w="1151" w:type="pct"/>
            <w:tcBorders>
              <w:top w:val="nil"/>
              <w:left w:val="nil"/>
              <w:bottom w:val="nil"/>
              <w:right w:val="nil"/>
            </w:tcBorders>
            <w:shd w:val="clear" w:color="auto" w:fill="auto"/>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vAlign w:val="center"/>
            <w:hideMark/>
          </w:tcPr>
          <w:p w14:paraId="5BA7B870" w14:textId="77777777" w:rsidR="00A1602B" w:rsidRDefault="00A1602B">
            <w:pPr>
              <w:rPr>
                <w:sz w:val="20"/>
                <w:szCs w:val="20"/>
              </w:rPr>
            </w:pPr>
          </w:p>
        </w:tc>
        <w:tc>
          <w:tcPr>
            <w:tcW w:w="854" w:type="pct"/>
            <w:tcBorders>
              <w:top w:val="nil"/>
              <w:left w:val="nil"/>
              <w:bottom w:val="nil"/>
              <w:right w:val="nil"/>
            </w:tcBorders>
            <w:shd w:val="clear" w:color="auto" w:fill="auto"/>
            <w:vAlign w:val="center"/>
            <w:hideMark/>
          </w:tcPr>
          <w:p w14:paraId="4C5B8145"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6D7B1313" w14:textId="77777777" w:rsidR="00A1602B" w:rsidRDefault="00A1602B">
            <w:pPr>
              <w:rPr>
                <w:sz w:val="20"/>
                <w:szCs w:val="20"/>
              </w:rPr>
            </w:pPr>
          </w:p>
        </w:tc>
      </w:tr>
      <w:tr w:rsidR="00A1602B" w14:paraId="2D037775" w14:textId="77777777" w:rsidTr="00A1602B">
        <w:trPr>
          <w:trHeight w:val="72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5C94A9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E3EFE" w14:textId="77777777" w:rsidR="00A1602B" w:rsidRDefault="00A1602B">
            <w:pPr>
              <w:jc w:val="center"/>
              <w:rPr>
                <w:rFonts w:ascii="Calibri" w:hAnsi="Calibri" w:cs="Calibri"/>
                <w:b/>
                <w:bCs/>
                <w:sz w:val="22"/>
                <w:szCs w:val="22"/>
              </w:rPr>
            </w:pPr>
            <w:proofErr w:type="spellStart"/>
            <w:r>
              <w:rPr>
                <w:rFonts w:ascii="Calibri" w:hAnsi="Calibri" w:cs="Calibri"/>
                <w:b/>
                <w:bCs/>
                <w:sz w:val="22"/>
                <w:szCs w:val="22"/>
              </w:rPr>
              <w:t>Lenovo</w:t>
            </w:r>
            <w:proofErr w:type="spellEnd"/>
            <w:r>
              <w:rPr>
                <w:rFonts w:ascii="Calibri" w:hAnsi="Calibri" w:cs="Calibri"/>
                <w:b/>
                <w:bCs/>
                <w:sz w:val="22"/>
                <w:szCs w:val="22"/>
              </w:rPr>
              <w:t xml:space="preserve">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460212B9"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790A8D88"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single" w:sz="4" w:space="0" w:color="auto"/>
              <w:right w:val="single" w:sz="4" w:space="0" w:color="auto"/>
            </w:tcBorders>
            <w:shd w:val="clear" w:color="000000" w:fill="99CCFF"/>
            <w:noWrap/>
            <w:vAlign w:val="center"/>
            <w:hideMark/>
          </w:tcPr>
          <w:p w14:paraId="24E485EE"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nil"/>
              <w:bottom w:val="single" w:sz="4" w:space="0" w:color="auto"/>
              <w:right w:val="single" w:sz="4" w:space="0" w:color="auto"/>
            </w:tcBorders>
            <w:shd w:val="clear" w:color="000000" w:fill="99CCFF"/>
            <w:noWrap/>
            <w:vAlign w:val="center"/>
            <w:hideMark/>
          </w:tcPr>
          <w:p w14:paraId="6DF2C81C"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15F3D36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40341312"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58952A28" w14:textId="77777777" w:rsidR="00A1602B" w:rsidRDefault="00A1602B">
            <w:pPr>
              <w:rPr>
                <w:rFonts w:ascii="Calibri" w:hAnsi="Calibri" w:cs="Calibri"/>
                <w:color w:val="000000"/>
                <w:sz w:val="22"/>
                <w:szCs w:val="22"/>
              </w:rPr>
            </w:pPr>
            <w:r>
              <w:rPr>
                <w:rFonts w:ascii="Calibri" w:hAnsi="Calibri" w:cs="Calibri"/>
                <w:color w:val="000000"/>
                <w:sz w:val="22"/>
                <w:szCs w:val="22"/>
              </w:rPr>
              <w:t>Příslušenství:</w:t>
            </w:r>
          </w:p>
        </w:tc>
        <w:tc>
          <w:tcPr>
            <w:tcW w:w="1147" w:type="pct"/>
            <w:tcBorders>
              <w:top w:val="nil"/>
              <w:left w:val="nil"/>
              <w:bottom w:val="single" w:sz="4" w:space="0" w:color="auto"/>
              <w:right w:val="single" w:sz="8" w:space="0" w:color="auto"/>
            </w:tcBorders>
            <w:shd w:val="clear" w:color="auto" w:fill="auto"/>
            <w:hideMark/>
          </w:tcPr>
          <w:p w14:paraId="6D7F306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4" w:type="pct"/>
            <w:tcBorders>
              <w:top w:val="nil"/>
              <w:left w:val="nil"/>
              <w:bottom w:val="single" w:sz="4" w:space="0" w:color="auto"/>
              <w:right w:val="single" w:sz="4" w:space="0" w:color="auto"/>
            </w:tcBorders>
            <w:shd w:val="clear" w:color="000000" w:fill="FFFF00"/>
            <w:vAlign w:val="center"/>
            <w:hideMark/>
          </w:tcPr>
          <w:p w14:paraId="43709A29"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1D7005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2FF16ABC"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8CC65B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auto" w:fill="auto"/>
            <w:hideMark/>
          </w:tcPr>
          <w:p w14:paraId="4467F9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Čtečka čipových karet zabudovaná v klávesnici kompatibilní s ISO IEC 7810 ID-1 a </w:t>
            </w:r>
            <w:r>
              <w:rPr>
                <w:rFonts w:ascii="Calibri" w:hAnsi="Calibri" w:cs="Calibri"/>
                <w:color w:val="000000"/>
                <w:sz w:val="22"/>
                <w:szCs w:val="22"/>
              </w:rPr>
              <w:lastRenderedPageBreak/>
              <w:t>ISO IEC 7816 (standardy pro čipové karty)</w:t>
            </w:r>
          </w:p>
        </w:tc>
        <w:tc>
          <w:tcPr>
            <w:tcW w:w="854" w:type="pct"/>
            <w:tcBorders>
              <w:top w:val="nil"/>
              <w:left w:val="nil"/>
              <w:bottom w:val="single" w:sz="4" w:space="0" w:color="auto"/>
              <w:right w:val="single" w:sz="4" w:space="0" w:color="auto"/>
            </w:tcBorders>
            <w:shd w:val="clear" w:color="000000" w:fill="FFFF00"/>
            <w:vAlign w:val="center"/>
            <w:hideMark/>
          </w:tcPr>
          <w:p w14:paraId="63D978E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29013F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171BFB85" w14:textId="77777777" w:rsidTr="00A1602B">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5B9870D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hideMark/>
          </w:tcPr>
          <w:p w14:paraId="022D809C"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ABA35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A6CD3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9CB6A30"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8CE1CD"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single" w:sz="4" w:space="0" w:color="auto"/>
            </w:tcBorders>
            <w:shd w:val="clear" w:color="auto" w:fill="auto"/>
            <w:vAlign w:val="center"/>
            <w:hideMark/>
          </w:tcPr>
          <w:p w14:paraId="62BF500F"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06F407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7080598"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2D046FEB" w14:textId="77777777" w:rsidTr="00A1602B">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0BB5A8B4"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shd w:val="clear" w:color="auto" w:fill="auto"/>
            <w:hideMark/>
          </w:tcPr>
          <w:p w14:paraId="5315BF35"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0455287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1FE8A1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648EB424" w14:textId="77777777" w:rsidTr="00A1602B">
        <w:trPr>
          <w:trHeight w:val="315"/>
        </w:trPr>
        <w:tc>
          <w:tcPr>
            <w:tcW w:w="1151" w:type="pct"/>
            <w:tcBorders>
              <w:top w:val="nil"/>
              <w:left w:val="nil"/>
              <w:bottom w:val="nil"/>
              <w:right w:val="nil"/>
            </w:tcBorders>
            <w:shd w:val="clear" w:color="auto" w:fill="auto"/>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shd w:val="clear" w:color="auto" w:fill="auto"/>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lastRenderedPageBreak/>
              <w:t>Servis:</w:t>
            </w:r>
          </w:p>
        </w:tc>
        <w:tc>
          <w:tcPr>
            <w:tcW w:w="1147" w:type="pct"/>
            <w:tcBorders>
              <w:top w:val="nil"/>
              <w:left w:val="nil"/>
              <w:bottom w:val="single" w:sz="8" w:space="0" w:color="auto"/>
              <w:right w:val="nil"/>
            </w:tcBorders>
            <w:shd w:val="clear" w:color="auto" w:fill="auto"/>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shd w:val="clear" w:color="auto" w:fill="auto"/>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6B0A815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shd w:val="clear" w:color="auto" w:fill="auto"/>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shd w:val="clear" w:color="auto" w:fill="auto"/>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shd w:val="clear" w:color="auto" w:fill="auto"/>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451FF7">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451FF7">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451FF7">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451FF7">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451FF7">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77777777" w:rsidR="009B6443" w:rsidRDefault="009B6443" w:rsidP="00451FF7">
            <w:pPr>
              <w:rPr>
                <w:rFonts w:ascii="Calibri" w:hAnsi="Calibri" w:cs="Calibri"/>
                <w:b/>
                <w:bCs/>
                <w:color w:val="000000"/>
                <w:sz w:val="20"/>
                <w:szCs w:val="20"/>
              </w:rPr>
            </w:pPr>
          </w:p>
        </w:tc>
        <w:tc>
          <w:tcPr>
            <w:tcW w:w="2552" w:type="dxa"/>
            <w:tcBorders>
              <w:top w:val="nil"/>
              <w:left w:val="nil"/>
              <w:bottom w:val="single" w:sz="4" w:space="0" w:color="auto"/>
              <w:right w:val="single" w:sz="4" w:space="0" w:color="auto"/>
            </w:tcBorders>
            <w:shd w:val="clear" w:color="auto" w:fill="FFFFFF"/>
            <w:vAlign w:val="center"/>
          </w:tcPr>
          <w:p w14:paraId="5BF07565" w14:textId="77777777" w:rsidR="009B6443" w:rsidRDefault="009B6443" w:rsidP="00451FF7">
            <w:pPr>
              <w:ind w:firstLineChars="200" w:firstLine="400"/>
              <w:rPr>
                <w:rFonts w:ascii="Calibri" w:hAnsi="Calibri" w:cs="Calibri"/>
                <w:sz w:val="20"/>
                <w:szCs w:val="20"/>
              </w:rPr>
            </w:pPr>
          </w:p>
        </w:tc>
        <w:tc>
          <w:tcPr>
            <w:tcW w:w="2409" w:type="dxa"/>
            <w:tcBorders>
              <w:top w:val="nil"/>
              <w:left w:val="nil"/>
              <w:bottom w:val="single" w:sz="4" w:space="0" w:color="auto"/>
              <w:right w:val="single" w:sz="8" w:space="0" w:color="auto"/>
            </w:tcBorders>
            <w:noWrap/>
            <w:vAlign w:val="center"/>
          </w:tcPr>
          <w:p w14:paraId="32D49A01" w14:textId="77777777" w:rsidR="009B6443" w:rsidRDefault="009B6443" w:rsidP="00451FF7">
            <w:pPr>
              <w:rPr>
                <w:rFonts w:ascii="Calibri" w:hAnsi="Calibri" w:cs="Calibri"/>
                <w:color w:val="000000"/>
                <w:sz w:val="20"/>
                <w:szCs w:val="20"/>
              </w:rPr>
            </w:pPr>
          </w:p>
        </w:tc>
      </w:tr>
      <w:tr w:rsidR="009B6443" w14:paraId="4A7F5C5C" w14:textId="77777777" w:rsidTr="00451FF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451FF7">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451FF7">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451FF7">
            <w:pPr>
              <w:rPr>
                <w:rFonts w:ascii="Calibri" w:hAnsi="Calibri" w:cs="Calibri"/>
                <w:color w:val="000000"/>
                <w:sz w:val="20"/>
                <w:szCs w:val="20"/>
              </w:rPr>
            </w:pPr>
          </w:p>
        </w:tc>
      </w:tr>
      <w:tr w:rsidR="009B6443" w14:paraId="3783E4BD" w14:textId="77777777" w:rsidTr="00451FF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451FF7">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451FF7">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451FF7">
            <w:pPr>
              <w:rPr>
                <w:rFonts w:ascii="Calibri" w:hAnsi="Calibri" w:cs="Calibri"/>
                <w:color w:val="000000"/>
                <w:sz w:val="20"/>
                <w:szCs w:val="20"/>
              </w:rPr>
            </w:pPr>
          </w:p>
        </w:tc>
      </w:tr>
    </w:tbl>
    <w:p w14:paraId="59EAFE1A" w14:textId="77777777" w:rsidR="009B6443" w:rsidRDefault="009B6443" w:rsidP="009B6443">
      <w:pPr>
        <w:rPr>
          <w:b/>
        </w:rPr>
      </w:pPr>
    </w:p>
    <w:p w14:paraId="27230450" w14:textId="3FE4C9E9"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r w:rsidR="00FA0AC8" w:rsidRPr="00FA0AC8">
        <w:rPr>
          <w:rFonts w:ascii="Calibri" w:hAnsi="Calibri"/>
          <w:color w:val="000000"/>
          <w:sz w:val="18"/>
          <w:szCs w:val="18"/>
        </w:rPr>
        <w:t>---</w:t>
      </w:r>
    </w:p>
    <w:p w14:paraId="6B4D5295" w14:textId="77777777" w:rsidR="009B6443" w:rsidRDefault="009B6443" w:rsidP="008A5116">
      <w:pPr>
        <w:rPr>
          <w:b/>
        </w:rPr>
      </w:pPr>
      <w:bookmarkStart w:id="3" w:name="_GoBack"/>
      <w:bookmarkEnd w:id="3"/>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DE8E9" w14:textId="77777777" w:rsidR="00E85653" w:rsidRDefault="00E85653" w:rsidP="00A1602B">
      <w:r>
        <w:separator/>
      </w:r>
    </w:p>
  </w:endnote>
  <w:endnote w:type="continuationSeparator" w:id="0">
    <w:p w14:paraId="041BC7D7" w14:textId="77777777" w:rsidR="00E85653" w:rsidRDefault="00E85653"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4C60" w14:textId="77777777" w:rsidR="00E85653" w:rsidRDefault="00E85653" w:rsidP="00A1602B">
      <w:r>
        <w:separator/>
      </w:r>
    </w:p>
  </w:footnote>
  <w:footnote w:type="continuationSeparator" w:id="0">
    <w:p w14:paraId="4319DB4A" w14:textId="77777777" w:rsidR="00E85653" w:rsidRDefault="00E85653"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1A2"/>
    <w:rsid w:val="000E5680"/>
    <w:rsid w:val="000F07B0"/>
    <w:rsid w:val="000F10F2"/>
    <w:rsid w:val="000F1647"/>
    <w:rsid w:val="000F2AEF"/>
    <w:rsid w:val="000F3807"/>
    <w:rsid w:val="000F457B"/>
    <w:rsid w:val="000F6427"/>
    <w:rsid w:val="00104769"/>
    <w:rsid w:val="00111E43"/>
    <w:rsid w:val="00113353"/>
    <w:rsid w:val="00115F85"/>
    <w:rsid w:val="00123FB6"/>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75F06"/>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E7AAF"/>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1C3B"/>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1FF7"/>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2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C3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4996"/>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2F6F"/>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2F5"/>
    <w:rsid w:val="00AC7D3A"/>
    <w:rsid w:val="00AD28EA"/>
    <w:rsid w:val="00AD2BC4"/>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80E"/>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46232"/>
    <w:rsid w:val="00D53FD8"/>
    <w:rsid w:val="00D54DE3"/>
    <w:rsid w:val="00D55C99"/>
    <w:rsid w:val="00D561B0"/>
    <w:rsid w:val="00D5641A"/>
    <w:rsid w:val="00D57006"/>
    <w:rsid w:val="00D621CE"/>
    <w:rsid w:val="00D63223"/>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65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0AC8"/>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FA0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bikova@isstb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FDD8-3D04-46E0-89C0-FF1224CB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35</TotalTime>
  <Pages>1</Pages>
  <Words>5223</Words>
  <Characters>30816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Foubíková Soňa</cp:lastModifiedBy>
  <cp:revision>4</cp:revision>
  <cp:lastPrinted>2018-09-21T11:39:00Z</cp:lastPrinted>
  <dcterms:created xsi:type="dcterms:W3CDTF">2025-07-21T05:44:00Z</dcterms:created>
  <dcterms:modified xsi:type="dcterms:W3CDTF">2025-07-21T06:35:00Z</dcterms:modified>
</cp:coreProperties>
</file>