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EA12F1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466206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236" w:rsidRDefault="00A615F6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S/05111/MS/25</w:t>
      </w:r>
    </w:p>
    <w:p w:rsidR="00180236" w:rsidRDefault="00A615F6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05111/MS/25</w:t>
      </w:r>
    </w:p>
    <w:p w:rsidR="00180236" w:rsidRDefault="00A615F6">
      <w:pPr>
        <w:spacing w:after="0"/>
        <w:ind w:left="120"/>
        <w:jc w:val="right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Číslo akce: 0068/82/25</w:t>
      </w:r>
    </w:p>
    <w:p w:rsidR="005949F0" w:rsidRDefault="005949F0" w:rsidP="005949F0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ISPROFIN: 115V342003865</w:t>
      </w:r>
    </w:p>
    <w:p w:rsidR="00180236" w:rsidRDefault="00A615F6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NPO - POPFK 164 2025</w:t>
      </w: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180B41" w:rsidP="0091107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</w:t>
      </w:r>
      <w:r w:rsidR="00A42D75" w:rsidRPr="009008C5">
        <w:rPr>
          <w:rFonts w:ascii="Arial" w:hAnsi="Arial" w:cs="Arial"/>
          <w:b/>
        </w:rPr>
        <w:t>gentura ochrany přírody a krajiny České republiky,</w:t>
      </w:r>
    </w:p>
    <w:p w:rsidR="002F681E" w:rsidRPr="009008C5" w:rsidRDefault="00EA12F1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Moravskoslezské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160B0E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42D75" w:rsidRPr="009008C5">
        <w:rPr>
          <w:rFonts w:ascii="Arial" w:hAnsi="Arial" w:cs="Arial"/>
        </w:rPr>
        <w:t>Č</w:t>
      </w:r>
      <w:r w:rsidR="00B15D42">
        <w:rPr>
          <w:rFonts w:ascii="Arial" w:hAnsi="Arial" w:cs="Arial"/>
        </w:rPr>
        <w:t>O</w:t>
      </w:r>
      <w:r w:rsidR="00A42D75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A42D75"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Nádražní 36, 756 61 Rožnov pod Radhoštěm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Mgr. František Jaskula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</w:t>
      </w:r>
      <w:r w:rsidR="00AC371D">
        <w:rPr>
          <w:rFonts w:ascii="Arial" w:hAnsi="Arial" w:cs="Arial"/>
        </w:rPr>
        <w:t>m</w:t>
      </w:r>
      <w:r w:rsidR="00295AF2">
        <w:rPr>
          <w:rFonts w:ascii="Arial" w:hAnsi="Arial" w:cs="Arial"/>
        </w:rPr>
        <w:t xml:space="preserve">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Mgr. Marie Popelářová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EA12F1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Jedna příroda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 Petra Kutílková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E6249C" w:rsidRDefault="00E6249C" w:rsidP="00E6249C">
      <w:pPr>
        <w:spacing w:before="40" w:after="0"/>
      </w:pPr>
    </w:p>
    <w:p w:rsidR="005949F0" w:rsidRDefault="00EA12F1" w:rsidP="005949F0">
      <w:pPr>
        <w:spacing w:before="40" w:after="0"/>
        <w:rPr>
          <w:rFonts w:ascii="Arial" w:hAnsi="Arial" w:cs="Arial"/>
          <w:highlight w:val="yellow"/>
        </w:rPr>
      </w:pPr>
      <w:r>
        <w:rPr>
          <w:rFonts w:ascii="Arial" w:hAnsi="Arial" w:cs="Arial"/>
          <w:b/>
        </w:rPr>
        <w:t>MEZEK s.r.o.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21277966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Zuberská 765, 74272  Mořkov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Bankovní spojení: </w:t>
      </w:r>
      <w:r w:rsidR="00E6249C" w:rsidRPr="009008C5">
        <w:rPr>
          <w:rFonts w:ascii="Arial" w:hAnsi="Arial" w:cs="Arial"/>
        </w:rPr>
        <w:tab/>
      </w:r>
      <w:r w:rsidR="00211725">
        <w:rPr>
          <w:rFonts w:ascii="Arial" w:hAnsi="Arial" w:cs="Arial"/>
        </w:rPr>
        <w:br/>
      </w:r>
      <w:r w:rsidR="00211725" w:rsidRPr="009008C5">
        <w:rPr>
          <w:rFonts w:ascii="Arial" w:hAnsi="Arial" w:cs="Arial"/>
        </w:rPr>
        <w:t xml:space="preserve">Datová schránka: </w:t>
      </w:r>
      <w:r w:rsidR="00211725" w:rsidRPr="009008C5">
        <w:rPr>
          <w:rFonts w:ascii="Arial" w:hAnsi="Arial" w:cs="Arial"/>
        </w:rPr>
        <w:tab/>
      </w:r>
      <w:r>
        <w:rPr>
          <w:rFonts w:ascii="Arial" w:hAnsi="Arial" w:cs="Arial"/>
        </w:rPr>
        <w:t>24ggwap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  <w:t>Zastoupená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>Radek Křesina</w:t>
      </w:r>
      <w:r w:rsidR="007A5BB5">
        <w:rPr>
          <w:rFonts w:ascii="Arial" w:hAnsi="Arial" w:cs="Arial"/>
        </w:rPr>
        <w:t xml:space="preserve"> </w:t>
      </w:r>
    </w:p>
    <w:p w:rsidR="005949F0" w:rsidRDefault="005949F0" w:rsidP="005949F0">
      <w:pPr>
        <w:spacing w:before="40" w:after="0"/>
        <w:jc w:val="both"/>
      </w:pPr>
      <w:r>
        <w:rPr>
          <w:rFonts w:ascii="Arial" w:hAnsi="Arial" w:cs="Arial"/>
        </w:rPr>
        <w:t xml:space="preserve">V rozsahu této Dohody osoba pověřená k jednání s AOPK ČR a k věcným úkonům: Radek Křesina, </w:t>
      </w:r>
      <w:bookmarkStart w:id="0" w:name="_GoBack"/>
      <w:bookmarkEnd w:id="0"/>
    </w:p>
    <w:p w:rsidR="005949F0" w:rsidRDefault="005949F0" w:rsidP="005949F0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jakožto</w:t>
      </w:r>
      <w:r>
        <w:t xml:space="preserve"> </w:t>
      </w:r>
      <w:r>
        <w:rPr>
          <w:rFonts w:ascii="Arial" w:hAnsi="Arial" w:cs="Arial"/>
        </w:rPr>
        <w:t>pachtýř pozemků parcela(y) v k.ú. Nový Hrozenkov - p.č. 9415, 9416/1, 9416/28, 9416/29, 9416/30</w:t>
      </w:r>
    </w:p>
    <w:p w:rsidR="00A42D75" w:rsidRPr="009008C5" w:rsidRDefault="005949F0" w:rsidP="005949F0">
      <w:pPr>
        <w:spacing w:before="40" w:after="0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 xml:space="preserve"> </w:t>
      </w:r>
      <w:r w:rsidR="00A42D75"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="00A42D75"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</w:p>
    <w:p w:rsidR="00A42D75" w:rsidRPr="007A2884" w:rsidRDefault="007A2884" w:rsidP="007A2884">
      <w:pPr>
        <w:pStyle w:val="Nadpis1"/>
      </w:pPr>
      <w:r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82; CHKO; Beskydy   / 2303; PO; Horní Vsacko  3313; EVL; Beskydy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lastRenderedPageBreak/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Jedna příroda (Integrovaný projekt LIFE pro soustavu Natura 2000 v České republice - LIFE17 IPE/CZ/000005 LIFE-IP: N2K Revisited), aktivita C3 - Komunikace s vlastníky a uživateli pozemků v soustavě Natura 2000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 xml:space="preserve">za řádně a včas realizovaná managementová opatření finanční příspěvek </w:t>
      </w:r>
      <w:r w:rsidR="00E90623" w:rsidRPr="00E64610">
        <w:rPr>
          <w:rFonts w:eastAsia="Arial Unicode MS"/>
        </w:rPr>
        <w:t>podle § 69 zákona č. 114/1992 Sb.</w:t>
      </w:r>
      <w:r w:rsidR="00E90623" w:rsidRPr="007A2884">
        <w:t xml:space="preserve"> specifikovaný v čl. III. této Dohody</w:t>
      </w:r>
      <w:r w:rsidR="00E90623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EA12F1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Portáš - pastva ovcí</w:t>
      </w:r>
    </w:p>
    <w:p w:rsidR="00653A3C" w:rsidRPr="00653A3C" w:rsidRDefault="00653A3C" w:rsidP="005949F0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parcela(y) v k.ú. Nový Hrozenkov - p.č. 9415, 9416/1, 9416/28, 9416/29, 9416/30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3</w:t>
      </w:r>
      <w:r w:rsidR="005949F0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.</w:t>
      </w:r>
      <w:r w:rsidR="005949F0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.2025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EA12F1" w:rsidP="005949F0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Opatření bude provedeno v souladu se standardy č. E02 006 "Ochrana hospodářských zvířat před útoky velkých šelem", D02 007 "Likvidace vybraných invazních druhů rostlin (vč. následné péče o lokality)", D02 003 "Pastva".</w:t>
      </w:r>
    </w:p>
    <w:p w:rsidR="00653A3C" w:rsidRPr="00653A3C" w:rsidRDefault="00653A3C" w:rsidP="005949F0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5949F0">
      <w:pPr>
        <w:pStyle w:val="Odstavecseseznamem"/>
        <w:ind w:left="0" w:firstLine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rPr>
          <w:b/>
          <w:bCs/>
        </w:rPr>
        <w:t>70 521,10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t xml:space="preserve">finanční příspěvek na péči v celkové výši </w:t>
      </w:r>
      <w:r>
        <w:t>70 521,10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Default="00C17F8F" w:rsidP="005949F0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</w:t>
      </w:r>
      <w:r w:rsidRPr="00FC5123">
        <w:lastRenderedPageBreak/>
        <w:t xml:space="preserve">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BC4106" w:rsidRDefault="00DE0A95" w:rsidP="005949F0">
      <w:pPr>
        <w:pStyle w:val="Nadpis2"/>
        <w:ind w:left="397" w:hanging="397"/>
      </w:pPr>
      <w:r w:rsidRPr="005949F0">
        <w:t xml:space="preserve">Pokud v době platnosti této Dohody zanikne </w:t>
      </w:r>
      <w:r w:rsidR="00673B29" w:rsidRPr="005949F0">
        <w:t>hospodařícímu subjektu</w:t>
      </w:r>
      <w:r w:rsidR="005949F0" w:rsidRPr="005949F0">
        <w:t xml:space="preserve"> </w:t>
      </w:r>
      <w:r w:rsidRPr="005949F0">
        <w:t xml:space="preserve">pachtovní právo k dotčeným pozemkům, finanční příspěvek se přiměřeně zkrátí. O skutečnosti </w:t>
      </w:r>
      <w:r w:rsidR="00673B29" w:rsidRPr="005949F0">
        <w:t>zániku práva dle přechozí věty</w:t>
      </w:r>
      <w:r w:rsidRPr="005949F0">
        <w:t xml:space="preserve"> je </w:t>
      </w:r>
      <w:r w:rsidR="00295AF2" w:rsidRPr="005949F0">
        <w:t>hospodařící subjekt</w:t>
      </w:r>
      <w:r w:rsidRPr="005949F0">
        <w:t xml:space="preserve"> povinen neprodleně informovat AOPK ČR. Sankcí za nesplnění této povinnosti je nevyplacení finančního příspěvku</w:t>
      </w:r>
      <w:r w:rsidRPr="00996436">
        <w:t xml:space="preserve">. Pokud </w:t>
      </w:r>
      <w:r>
        <w:t>pozbytí</w:t>
      </w:r>
      <w:r w:rsidRPr="00996436">
        <w:t xml:space="preserve"> </w:t>
      </w:r>
      <w:r w:rsidR="00AF05FC">
        <w:t>výše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9F2098" w:rsidRDefault="00DE0A95" w:rsidP="005949F0">
      <w:pPr>
        <w:pStyle w:val="Nadpis2"/>
        <w:tabs>
          <w:tab w:val="left" w:pos="360"/>
        </w:tabs>
        <w:spacing w:after="0"/>
        <w:ind w:left="397" w:hanging="397"/>
      </w:pPr>
      <w:r w:rsidRPr="00187D24">
        <w:t xml:space="preserve">Pokud v době platnosti této Dohody pozbude zaevidovaný DPB platnosti, finanční příspěvek se přiměřeně zkrátí. O skutečnosti uvedené v předchozí větě je </w:t>
      </w:r>
      <w:r w:rsidRPr="00704504">
        <w:t xml:space="preserve">uživatel DPB povinen neprodleně informovat AOPK ČR. Sankcí za nesplnění této povinnosti </w:t>
      </w:r>
      <w:r>
        <w:t>je</w:t>
      </w:r>
      <w:r w:rsidRPr="006E2927">
        <w:t xml:space="preserve"> nevyplacení finančního příspěvku. Pokud pozbytí platnosti zaevidovaného DPB v době platnosti této Dohody vyjde najevo po vyplacení finančního příspěvku, je uživatel </w:t>
      </w:r>
      <w:r w:rsidRPr="0011146D">
        <w:t xml:space="preserve">DPB povinen </w:t>
      </w:r>
      <w:r w:rsidRPr="00704504">
        <w:t>AOPK ČR vrátit</w:t>
      </w:r>
      <w:r>
        <w:t xml:space="preserve"> celý </w:t>
      </w:r>
      <w:r w:rsidRPr="00187D24">
        <w:t>vyplacený finanční příspěvek</w:t>
      </w:r>
      <w:r>
        <w:t>, z titulu bezdůvodného obohacení a sankce za porušení výše uvedené informační povinnosti</w:t>
      </w:r>
      <w:r w:rsidRPr="000A7ED5">
        <w:t>.</w:t>
      </w:r>
    </w:p>
    <w:p w:rsidR="00DE0A95" w:rsidRPr="00710E72" w:rsidRDefault="009F2098" w:rsidP="00C8184C">
      <w:pPr>
        <w:pStyle w:val="Nadpis2"/>
        <w:tabs>
          <w:tab w:val="left" w:pos="360"/>
        </w:tabs>
        <w:spacing w:after="0" w:line="264" w:lineRule="auto"/>
        <w:ind w:left="397" w:hanging="397"/>
      </w:pPr>
      <w:r w:rsidRPr="009F2098">
        <w:rPr>
          <w:rFonts w:eastAsia="Arial Unicode MS"/>
        </w:rPr>
        <w:t>Změna výměry zaevidovaného DPB v době platnosti této Dohody je důvodem ke změně obsahu Dohody dle čl. VI. odst. 5 této Dohody. Uživatel DPB je povinen o skutečnosti uvedené v předchozí větě neprodleně informovat AOPK ČR, která uživatele DPB vyzve ke společnému jednání o změně obsahu Dohody</w:t>
      </w:r>
      <w:r w:rsidRPr="000A7ED5">
        <w:t>.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Vyúčtování </w:t>
      </w:r>
      <w:r w:rsidR="00295AF2">
        <w:rPr>
          <w:rFonts w:eastAsia="Arial Unicode MS"/>
        </w:rPr>
        <w:t>hospodařící subjekt</w:t>
      </w:r>
      <w:r w:rsidR="00CE61A2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>
        <w:rPr>
          <w:rFonts w:eastAsia="Arial Unicode MS"/>
        </w:rPr>
        <w:t xml:space="preserve"> hospodařícího subjektu</w:t>
      </w:r>
      <w:r w:rsidRPr="00C17F8F">
        <w:rPr>
          <w:rFonts w:eastAsia="Arial Unicode MS"/>
        </w:rPr>
        <w:t>, IČ/datum narození, bankovní spojení a číslo účtu, předmět a číslo Dohody, výše finančního příspěvku.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 w:rsidR="00295AF2">
        <w:rPr>
          <w:rFonts w:eastAsia="Arial Unicode MS"/>
        </w:rPr>
        <w:t>hospodařícím subjektem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V případě vyšší moci se prodlužuje lhůta ke splnění povinností dle této Dohody o dobu, během které budou následky vyšší moci trvat včetně doby prokazatelně nutné k jejich odstranění. O </w:t>
      </w:r>
      <w:r w:rsidRPr="00A42D75">
        <w:lastRenderedPageBreak/>
        <w:t>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3</w:t>
      </w:r>
      <w:r w:rsidR="005949F0">
        <w:rPr>
          <w:b/>
        </w:rPr>
        <w:t>0</w:t>
      </w:r>
      <w:r>
        <w:rPr>
          <w:b/>
        </w:rPr>
        <w:t>.</w:t>
      </w:r>
      <w:r w:rsidR="005949F0">
        <w:rPr>
          <w:b/>
        </w:rPr>
        <w:t>9</w:t>
      </w:r>
      <w:r>
        <w:rPr>
          <w:b/>
        </w:rPr>
        <w:t>.2025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143069" w:rsidRPr="000A7ED5" w:rsidRDefault="00143069" w:rsidP="003622FB">
      <w:pPr>
        <w:pStyle w:val="Nadpis2"/>
        <w:ind w:left="397" w:hanging="397"/>
      </w:pPr>
      <w:r w:rsidRPr="000A7ED5">
        <w:t>Pozbytí platnosti zaevidovaného DPB je vždy důvodem výpovědi Dohody.</w:t>
      </w:r>
      <w:r>
        <w:t xml:space="preserve"> </w:t>
      </w:r>
      <w:r w:rsidRPr="000A7ED5">
        <w:t>AOPK ČR podá výpověď z tohoto důvodu neprodleně poté, co se o skutečnosti uvedené v předchozí větě dozví. Výpovědní lhůta v tomto případě skončí posledním dnem měsíce, ve kterém byla výpověď doručena druhému účastníku Dohody. Přiměřené zkrácení finančního příspěvku dle</w:t>
      </w:r>
      <w:r>
        <w:t xml:space="preserve"> čl. </w:t>
      </w:r>
      <w:r w:rsidRPr="000A7ED5">
        <w:t xml:space="preserve"> III.</w:t>
      </w:r>
      <w:r>
        <w:t xml:space="preserve"> odst. 6</w:t>
      </w:r>
      <w:r w:rsidRPr="000A7ED5">
        <w:t xml:space="preserve"> Dohody tímto není dotčeno. </w:t>
      </w: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673B29" w:rsidP="00B9212C">
      <w:pPr>
        <w:pStyle w:val="Nadpis2"/>
        <w:numPr>
          <w:ilvl w:val="1"/>
          <w:numId w:val="0"/>
        </w:numPr>
        <w:ind w:left="397"/>
      </w:pPr>
      <w:r>
        <w:t>P</w:t>
      </w:r>
      <w:r w:rsidR="00A42D75">
        <w:t>říloha č.1 - Rozpočet a specifikace.</w:t>
      </w:r>
    </w:p>
    <w:p w:rsidR="00A42D75" w:rsidRPr="005949F0" w:rsidRDefault="00A42D75" w:rsidP="00B9212C">
      <w:pPr>
        <w:pStyle w:val="Nadpis2"/>
        <w:ind w:left="397" w:hanging="397"/>
      </w:pPr>
      <w:r w:rsidRPr="005949F0">
        <w:t>Tato Dohoda se vyhotovuje ve 2 stejnopisech, z nichž každý má platnost originálu. Každý z účastníků Dohody obdrží po jednom vyhotovení.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5949F0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V </w:t>
            </w:r>
          </w:p>
        </w:tc>
        <w:tc>
          <w:tcPr>
            <w:tcW w:w="2187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</w:p>
        </w:tc>
        <w:tc>
          <w:tcPr>
            <w:tcW w:w="2052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</w:tr>
      <w:tr w:rsidR="000F7827" w:rsidTr="005949F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295AF2" w:rsidP="00295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5949F0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5949F0">
        <w:tc>
          <w:tcPr>
            <w:tcW w:w="4395" w:type="dxa"/>
            <w:gridSpan w:val="2"/>
          </w:tcPr>
          <w:p w:rsidR="000F7827" w:rsidRDefault="00EA12F1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František Jaskula</w:t>
            </w:r>
          </w:p>
          <w:p w:rsidR="00E54961" w:rsidRDefault="00EA12F1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Moravskoslezské</w:t>
            </w:r>
          </w:p>
        </w:tc>
        <w:tc>
          <w:tcPr>
            <w:tcW w:w="4667" w:type="dxa"/>
            <w:gridSpan w:val="2"/>
          </w:tcPr>
          <w:p w:rsidR="000F7827" w:rsidRDefault="00EA12F1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MEZEK s.r.o.</w:t>
            </w:r>
          </w:p>
        </w:tc>
      </w:tr>
    </w:tbl>
    <w:p w:rsidR="0037433A" w:rsidRPr="00A42D75" w:rsidRDefault="0037433A" w:rsidP="005949F0">
      <w:pPr>
        <w:rPr>
          <w:rFonts w:ascii="Arial" w:hAnsi="Arial" w:cs="Arial"/>
        </w:rPr>
      </w:pPr>
    </w:p>
    <w:sectPr w:rsidR="0037433A" w:rsidRPr="00A42D75" w:rsidSect="005949F0">
      <w:headerReference w:type="even" r:id="rId11"/>
      <w:headerReference w:type="default" r:id="rId12"/>
      <w:pgSz w:w="11906" w:h="16838"/>
      <w:pgMar w:top="851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5F6" w:rsidRDefault="00A615F6" w:rsidP="00F22E78">
      <w:pPr>
        <w:spacing w:after="0" w:line="240" w:lineRule="auto"/>
      </w:pPr>
      <w:r>
        <w:separator/>
      </w:r>
    </w:p>
  </w:endnote>
  <w:endnote w:type="continuationSeparator" w:id="0">
    <w:p w:rsidR="00A615F6" w:rsidRDefault="00A615F6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5F6" w:rsidRDefault="00A615F6" w:rsidP="00F22E78">
      <w:pPr>
        <w:spacing w:after="0" w:line="240" w:lineRule="auto"/>
      </w:pPr>
      <w:r>
        <w:separator/>
      </w:r>
    </w:p>
  </w:footnote>
  <w:footnote w:type="continuationSeparator" w:id="0">
    <w:p w:rsidR="00A615F6" w:rsidRDefault="00A615F6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:w16sdtfl="http://schemas.microsoft.com/office/word/2024/wordml/sdtformatlock" xmlns:w16sdtdh="http://schemas.microsoft.com/office/word/2020/wordml/sdtdatahash" xmlns:w16du="http://schemas.microsoft.com/office/word/2023/wordml/word16du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ink="http://schemas.microsoft.com/office/drawing/2016/ink" xmlns:aclsh="http://schemas.microsoft.com/office/drawing/2020/classificationShape"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am3d="http://schemas.microsoft.com/office/drawing/2017/model3d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xvml="urn:schemas-microsoft-com:office:excel" xmlns:o="urn:schemas-microsoft-com:office:office" xmlns:v="urn:schemas-microsoft-com:vm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w="http://schemas.openxmlformats.org/wordprocessingml/2006/main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286C"/>
    <w:rsid w:val="000144E7"/>
    <w:rsid w:val="0004088F"/>
    <w:rsid w:val="00044542"/>
    <w:rsid w:val="00075BE3"/>
    <w:rsid w:val="00076C7D"/>
    <w:rsid w:val="000809A3"/>
    <w:rsid w:val="000A1234"/>
    <w:rsid w:val="000B1F64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0B0E"/>
    <w:rsid w:val="00163348"/>
    <w:rsid w:val="00180236"/>
    <w:rsid w:val="00180B41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1CA4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3424A"/>
    <w:rsid w:val="00343FA4"/>
    <w:rsid w:val="00346F2C"/>
    <w:rsid w:val="00351D4A"/>
    <w:rsid w:val="003608C5"/>
    <w:rsid w:val="003622FB"/>
    <w:rsid w:val="003742E0"/>
    <w:rsid w:val="0037433A"/>
    <w:rsid w:val="00375A7E"/>
    <w:rsid w:val="00383050"/>
    <w:rsid w:val="00394D60"/>
    <w:rsid w:val="003C283E"/>
    <w:rsid w:val="003D3E90"/>
    <w:rsid w:val="003E31D9"/>
    <w:rsid w:val="003E4841"/>
    <w:rsid w:val="003E709D"/>
    <w:rsid w:val="004009A5"/>
    <w:rsid w:val="004066C4"/>
    <w:rsid w:val="004459B2"/>
    <w:rsid w:val="004509BB"/>
    <w:rsid w:val="00452779"/>
    <w:rsid w:val="00465F79"/>
    <w:rsid w:val="00496AC6"/>
    <w:rsid w:val="004C006E"/>
    <w:rsid w:val="004C171B"/>
    <w:rsid w:val="004D02D7"/>
    <w:rsid w:val="004D4729"/>
    <w:rsid w:val="004D6AD0"/>
    <w:rsid w:val="004E2CBA"/>
    <w:rsid w:val="00504CBB"/>
    <w:rsid w:val="00513A25"/>
    <w:rsid w:val="00521853"/>
    <w:rsid w:val="0053457F"/>
    <w:rsid w:val="00561624"/>
    <w:rsid w:val="00573852"/>
    <w:rsid w:val="005949F0"/>
    <w:rsid w:val="005A2D73"/>
    <w:rsid w:val="005B1561"/>
    <w:rsid w:val="005C25D4"/>
    <w:rsid w:val="005D0BEF"/>
    <w:rsid w:val="00605CF1"/>
    <w:rsid w:val="00617F1D"/>
    <w:rsid w:val="00620DB0"/>
    <w:rsid w:val="00632261"/>
    <w:rsid w:val="00644630"/>
    <w:rsid w:val="00653A3C"/>
    <w:rsid w:val="00673074"/>
    <w:rsid w:val="00673B29"/>
    <w:rsid w:val="00674D40"/>
    <w:rsid w:val="00675BA0"/>
    <w:rsid w:val="006772B0"/>
    <w:rsid w:val="006D2450"/>
    <w:rsid w:val="006E64D3"/>
    <w:rsid w:val="006F55FC"/>
    <w:rsid w:val="006F7DB2"/>
    <w:rsid w:val="0070704E"/>
    <w:rsid w:val="00710E72"/>
    <w:rsid w:val="00736FF0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867FE"/>
    <w:rsid w:val="009A7195"/>
    <w:rsid w:val="009B24B5"/>
    <w:rsid w:val="009D7928"/>
    <w:rsid w:val="009E24FE"/>
    <w:rsid w:val="009E4BD1"/>
    <w:rsid w:val="009F2098"/>
    <w:rsid w:val="00A10212"/>
    <w:rsid w:val="00A33682"/>
    <w:rsid w:val="00A33776"/>
    <w:rsid w:val="00A42D75"/>
    <w:rsid w:val="00A4682C"/>
    <w:rsid w:val="00A53329"/>
    <w:rsid w:val="00A615F6"/>
    <w:rsid w:val="00A65743"/>
    <w:rsid w:val="00AA1D09"/>
    <w:rsid w:val="00AA215B"/>
    <w:rsid w:val="00AA231E"/>
    <w:rsid w:val="00AA63DF"/>
    <w:rsid w:val="00AC371D"/>
    <w:rsid w:val="00AD6034"/>
    <w:rsid w:val="00AF05FC"/>
    <w:rsid w:val="00B009D5"/>
    <w:rsid w:val="00B053A1"/>
    <w:rsid w:val="00B1098C"/>
    <w:rsid w:val="00B123FC"/>
    <w:rsid w:val="00B15D42"/>
    <w:rsid w:val="00B26220"/>
    <w:rsid w:val="00B364E6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063DF"/>
    <w:rsid w:val="00C17F8F"/>
    <w:rsid w:val="00C23D7D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23321"/>
    <w:rsid w:val="00D265A3"/>
    <w:rsid w:val="00D46BFC"/>
    <w:rsid w:val="00D63031"/>
    <w:rsid w:val="00D85087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0623"/>
    <w:rsid w:val="00E94B56"/>
    <w:rsid w:val="00EA0E2A"/>
    <w:rsid w:val="00EA12F1"/>
    <w:rsid w:val="00EA6A5A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36859"/>
    <w:rsid w:val="00F608B2"/>
    <w:rsid w:val="00F67B22"/>
    <w:rsid w:val="00F71589"/>
    <w:rsid w:val="00F71634"/>
    <w:rsid w:val="00F768B2"/>
    <w:rsid w:val="00F834DB"/>
    <w:rsid w:val="00F84E8F"/>
    <w:rsid w:val="00FA27DC"/>
    <w:rsid w:val="00FB2495"/>
    <w:rsid w:val="00FE0248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90607-3271-4C2B-BEC1-BC5EFD1A40FA}">
  <ds:schemaRefs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1df795ae-2c70-464b-8ca3-4eb6d5c688a6"/>
    <ds:schemaRef ds:uri="63f5bd56-79c6-432a-8457-3215e7a0eadc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1737</Words>
  <Characters>10253</Characters>
  <Application>Microsoft Office Word</Application>
  <DocSecurity>0</DocSecurity>
  <Lines>85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Jana Vojkůvková</cp:lastModifiedBy>
  <cp:revision>3</cp:revision>
  <dcterms:created xsi:type="dcterms:W3CDTF">2025-08-11T11:47:00Z</dcterms:created>
  <dcterms:modified xsi:type="dcterms:W3CDTF">2025-08-13T08:08:00Z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