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7C1" w:rsidRDefault="00FA51FF">
      <w:pPr>
        <w:shd w:val="clear" w:color="auto" w:fill="FFFFFF"/>
        <w:spacing w:after="0" w:line="240" w:lineRule="auto"/>
        <w:rPr>
          <w:rFonts w:ascii="Quattrocento Sans" w:eastAsia="Quattrocento Sans" w:hAnsi="Quattrocento Sans" w:cs="Quattrocento Sans"/>
          <w:sz w:val="21"/>
          <w:szCs w:val="21"/>
        </w:rPr>
      </w:pPr>
      <w:bookmarkStart w:id="0" w:name="_GoBack"/>
      <w:bookmarkEnd w:id="0"/>
      <w:r>
        <w:rPr>
          <w:rFonts w:ascii="Quattrocento Sans" w:eastAsia="Quattrocento Sans" w:hAnsi="Quattrocento Sans" w:cs="Quattrocento Sans"/>
          <w:b/>
          <w:sz w:val="21"/>
          <w:szCs w:val="21"/>
        </w:rPr>
        <w:t>SMLOUVA O DÍLO</w:t>
      </w:r>
      <w:r>
        <w:rPr>
          <w:rFonts w:ascii="Quattrocento Sans" w:eastAsia="Quattrocento Sans" w:hAnsi="Quattrocento Sans" w:cs="Quattrocento Sans"/>
          <w:sz w:val="21"/>
          <w:szCs w:val="21"/>
        </w:rPr>
        <w:br/>
        <w:t>uzavřená podle § 2586 a násl. zákona č. 89/2012 Sb., občanský zákoník (dále jen „OZ“)</w:t>
      </w:r>
    </w:p>
    <w:p w:rsidR="00E817C1" w:rsidRDefault="00FA51FF">
      <w:pPr>
        <w:spacing w:after="0" w:line="240" w:lineRule="auto"/>
        <w:rPr>
          <w:rFonts w:ascii="Times New Roman" w:eastAsia="Times New Roman" w:hAnsi="Times New Roman" w:cs="Times New Roman"/>
          <w:sz w:val="24"/>
          <w:szCs w:val="24"/>
        </w:rPr>
      </w:pPr>
      <w:r>
        <w:pict w14:anchorId="3A694A62">
          <v:rect id="_x0000_i1025"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I. Smluvní strany</w:t>
      </w:r>
    </w:p>
    <w:p w:rsidR="00E817C1" w:rsidRDefault="00FA51FF">
      <w:pPr>
        <w:shd w:val="clear" w:color="auto" w:fill="FFFFFF"/>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b/>
          <w:sz w:val="21"/>
          <w:szCs w:val="21"/>
        </w:rPr>
        <w:t>Objednatel</w:t>
      </w:r>
      <w:r>
        <w:rPr>
          <w:rFonts w:ascii="Quattrocento Sans" w:eastAsia="Quattrocento Sans" w:hAnsi="Quattrocento Sans" w:cs="Quattrocento Sans"/>
          <w:sz w:val="21"/>
          <w:szCs w:val="21"/>
        </w:rPr>
        <w:br/>
        <w:t>Základní škola a mateřská škola Ústavní, Praha 8 - Bohnice</w:t>
      </w:r>
      <w:r>
        <w:rPr>
          <w:rFonts w:ascii="Quattrocento Sans" w:eastAsia="Quattrocento Sans" w:hAnsi="Quattrocento Sans" w:cs="Quattrocento Sans"/>
          <w:sz w:val="21"/>
          <w:szCs w:val="21"/>
        </w:rPr>
        <w:br/>
        <w:t>sídlo: Hlivická 400/1, 181 00 Praha 8</w:t>
      </w:r>
      <w:r>
        <w:rPr>
          <w:rFonts w:ascii="Quattrocento Sans" w:eastAsia="Quattrocento Sans" w:hAnsi="Quattrocento Sans" w:cs="Quattrocento Sans"/>
          <w:sz w:val="21"/>
          <w:szCs w:val="21"/>
        </w:rPr>
        <w:br/>
      </w:r>
      <w:r>
        <w:rPr>
          <w:rFonts w:ascii="Quattrocento Sans" w:eastAsia="Quattrocento Sans" w:hAnsi="Quattrocento Sans" w:cs="Quattrocento Sans"/>
          <w:sz w:val="21"/>
          <w:szCs w:val="21"/>
        </w:rPr>
        <w:t>IČO: 604 33 337, DIČ: CZ60433337</w:t>
      </w:r>
      <w:r>
        <w:rPr>
          <w:rFonts w:ascii="Quattrocento Sans" w:eastAsia="Quattrocento Sans" w:hAnsi="Quattrocento Sans" w:cs="Quattrocento Sans"/>
          <w:sz w:val="21"/>
          <w:szCs w:val="21"/>
        </w:rPr>
        <w:br/>
        <w:t>zastoupena: Mgr. Renatou Sedláčkovou, ředitelkou školy</w:t>
      </w:r>
      <w:r>
        <w:rPr>
          <w:rFonts w:ascii="Quattrocento Sans" w:eastAsia="Quattrocento Sans" w:hAnsi="Quattrocento Sans" w:cs="Quattrocento Sans"/>
          <w:sz w:val="21"/>
          <w:szCs w:val="21"/>
        </w:rPr>
        <w:br/>
        <w:t>bankovní spojení: ČSOB, a.s., č. účtu 2635261/0300</w:t>
      </w:r>
      <w:r>
        <w:rPr>
          <w:rFonts w:ascii="Quattrocento Sans" w:eastAsia="Quattrocento Sans" w:hAnsi="Quattrocento Sans" w:cs="Quattrocento Sans"/>
          <w:sz w:val="21"/>
          <w:szCs w:val="21"/>
        </w:rPr>
        <w:br/>
        <w:t>kontaktní e-mail: [doplní objednatel]</w:t>
      </w:r>
    </w:p>
    <w:p w:rsidR="00E817C1" w:rsidRDefault="00FA51FF">
      <w:pPr>
        <w:shd w:val="clear" w:color="auto" w:fill="FFFFFF"/>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b/>
          <w:sz w:val="21"/>
          <w:szCs w:val="21"/>
        </w:rPr>
        <w:t>Zhotovitel</w:t>
      </w:r>
      <w:r>
        <w:rPr>
          <w:rFonts w:ascii="Quattrocento Sans" w:eastAsia="Quattrocento Sans" w:hAnsi="Quattrocento Sans" w:cs="Quattrocento Sans"/>
          <w:sz w:val="21"/>
          <w:szCs w:val="21"/>
        </w:rPr>
        <w:br/>
        <w:t>BALKAP, s.r.o.</w:t>
      </w:r>
      <w:r>
        <w:rPr>
          <w:rFonts w:ascii="Quattrocento Sans" w:eastAsia="Quattrocento Sans" w:hAnsi="Quattrocento Sans" w:cs="Quattrocento Sans"/>
          <w:sz w:val="21"/>
          <w:szCs w:val="21"/>
        </w:rPr>
        <w:br/>
        <w:t>sídlo: Jílovská 426/27, Praha 4</w:t>
      </w:r>
    </w:p>
    <w:p w:rsidR="00E817C1" w:rsidRDefault="00FA51FF">
      <w:pPr>
        <w:shd w:val="clear" w:color="auto" w:fill="FFFFFF"/>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IČO: 285 42 592, DIČ:</w:t>
      </w:r>
      <w:r>
        <w:rPr>
          <w:rFonts w:ascii="Quattrocento Sans" w:eastAsia="Quattrocento Sans" w:hAnsi="Quattrocento Sans" w:cs="Quattrocento Sans"/>
          <w:sz w:val="21"/>
          <w:szCs w:val="21"/>
        </w:rPr>
        <w:t xml:space="preserve"> CZ285 42 592</w:t>
      </w:r>
      <w:r>
        <w:rPr>
          <w:rFonts w:ascii="Quattrocento Sans" w:eastAsia="Quattrocento Sans" w:hAnsi="Quattrocento Sans" w:cs="Quattrocento Sans"/>
          <w:sz w:val="21"/>
          <w:szCs w:val="21"/>
        </w:rPr>
        <w:br/>
        <w:t xml:space="preserve">zastoupena: Luděk </w:t>
      </w:r>
      <w:proofErr w:type="spellStart"/>
      <w:r>
        <w:rPr>
          <w:rFonts w:ascii="Quattrocento Sans" w:eastAsia="Quattrocento Sans" w:hAnsi="Quattrocento Sans" w:cs="Quattrocento Sans"/>
          <w:sz w:val="21"/>
          <w:szCs w:val="21"/>
        </w:rPr>
        <w:t>Ballon</w:t>
      </w:r>
      <w:proofErr w:type="spellEnd"/>
      <w:r>
        <w:rPr>
          <w:rFonts w:ascii="Quattrocento Sans" w:eastAsia="Quattrocento Sans" w:hAnsi="Quattrocento Sans" w:cs="Quattrocento Sans"/>
          <w:sz w:val="21"/>
          <w:szCs w:val="21"/>
        </w:rPr>
        <w:t>, jednatelem</w:t>
      </w:r>
      <w:r>
        <w:rPr>
          <w:rFonts w:ascii="Quattrocento Sans" w:eastAsia="Quattrocento Sans" w:hAnsi="Quattrocento Sans" w:cs="Quattrocento Sans"/>
          <w:sz w:val="21"/>
          <w:szCs w:val="21"/>
        </w:rPr>
        <w:br/>
        <w:t>bankovní spojení: Česká spořitelna a.s., ČS 2118016349/0800</w:t>
      </w:r>
      <w:r>
        <w:rPr>
          <w:rFonts w:ascii="Quattrocento Sans" w:eastAsia="Quattrocento Sans" w:hAnsi="Quattrocento Sans" w:cs="Quattrocento Sans"/>
          <w:sz w:val="21"/>
          <w:szCs w:val="21"/>
        </w:rPr>
        <w:br/>
        <w:t>kontaktní e-mail: ballon.balkap@email.cz</w:t>
      </w:r>
    </w:p>
    <w:p w:rsidR="00E817C1" w:rsidRDefault="00FA51FF">
      <w:pPr>
        <w:shd w:val="clear" w:color="auto" w:fill="FFFFFF"/>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Objednatel a Zhotovitel dále také jednotlivě „Smluvní strana“ a společně „Smluvní strany“.</w:t>
      </w:r>
    </w:p>
    <w:p w:rsidR="00E817C1" w:rsidRDefault="00FA51FF">
      <w:pPr>
        <w:spacing w:after="0" w:line="240" w:lineRule="auto"/>
        <w:rPr>
          <w:rFonts w:ascii="Times New Roman" w:eastAsia="Times New Roman" w:hAnsi="Times New Roman" w:cs="Times New Roman"/>
          <w:sz w:val="24"/>
          <w:szCs w:val="24"/>
        </w:rPr>
      </w:pPr>
      <w:r>
        <w:pict w14:anchorId="30876C3A">
          <v:rect id="_x0000_i1026"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II. Předmět</w:t>
      </w:r>
      <w:r>
        <w:rPr>
          <w:rFonts w:ascii="Quattrocento Sans" w:eastAsia="Quattrocento Sans" w:hAnsi="Quattrocento Sans" w:cs="Quattrocento Sans"/>
          <w:b/>
          <w:sz w:val="30"/>
          <w:szCs w:val="30"/>
        </w:rPr>
        <w:t xml:space="preserve"> smlouvy</w:t>
      </w:r>
    </w:p>
    <w:p w:rsidR="00E817C1" w:rsidRDefault="00FA51FF">
      <w:pPr>
        <w:numPr>
          <w:ilvl w:val="0"/>
          <w:numId w:val="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Zhotovitel se zavazuje na svůj náklad a nebezpečí pro Objednatele provést dílo spočívající v malbě zdí v 1. patře budovy ZŠ a MŠ Ústavní, Hlivická 400/1, Praha 8 (dále jen „Dílo“).</w:t>
      </w:r>
    </w:p>
    <w:p w:rsidR="00E817C1" w:rsidRDefault="00FA51FF">
      <w:pPr>
        <w:numPr>
          <w:ilvl w:val="0"/>
          <w:numId w:val="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Přesná specifikace Díla je uvedena v Příloze č. 1 - „Technická spe</w:t>
      </w:r>
      <w:r>
        <w:rPr>
          <w:rFonts w:ascii="Quattrocento Sans" w:eastAsia="Quattrocento Sans" w:hAnsi="Quattrocento Sans" w:cs="Quattrocento Sans"/>
          <w:sz w:val="21"/>
          <w:szCs w:val="21"/>
        </w:rPr>
        <w:t>cifikace a výkaz výměr“, která tvoří nedílnou součást této smlouvy.</w:t>
      </w:r>
    </w:p>
    <w:p w:rsidR="00E817C1" w:rsidRDefault="00FA51FF">
      <w:pPr>
        <w:numPr>
          <w:ilvl w:val="0"/>
          <w:numId w:val="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Změny rozsahu Díla nebo tzv. </w:t>
      </w:r>
      <w:proofErr w:type="spellStart"/>
      <w:r>
        <w:rPr>
          <w:rFonts w:ascii="Quattrocento Sans" w:eastAsia="Quattrocento Sans" w:hAnsi="Quattrocento Sans" w:cs="Quattrocento Sans"/>
          <w:sz w:val="21"/>
          <w:szCs w:val="21"/>
        </w:rPr>
        <w:t>více-či</w:t>
      </w:r>
      <w:proofErr w:type="spellEnd"/>
      <w:r>
        <w:rPr>
          <w:rFonts w:ascii="Quattrocento Sans" w:eastAsia="Quattrocento Sans" w:hAnsi="Quattrocento Sans" w:cs="Quattrocento Sans"/>
          <w:sz w:val="21"/>
          <w:szCs w:val="21"/>
        </w:rPr>
        <w:t xml:space="preserve"> méně-prací lze provádět pouze na základě písemného dodatku, v němž se Smluvní strany dohodnou zejména na:</w:t>
      </w:r>
    </w:p>
    <w:p w:rsidR="00E817C1" w:rsidRDefault="00FA51FF">
      <w:pPr>
        <w:numPr>
          <w:ilvl w:val="1"/>
          <w:numId w:val="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rozsahu změny,</w:t>
      </w:r>
    </w:p>
    <w:p w:rsidR="00E817C1" w:rsidRDefault="00FA51FF">
      <w:pPr>
        <w:numPr>
          <w:ilvl w:val="1"/>
          <w:numId w:val="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nové ceně nebo způsobu jejího </w:t>
      </w:r>
      <w:r>
        <w:rPr>
          <w:rFonts w:ascii="Quattrocento Sans" w:eastAsia="Quattrocento Sans" w:hAnsi="Quattrocento Sans" w:cs="Quattrocento Sans"/>
          <w:sz w:val="21"/>
          <w:szCs w:val="21"/>
        </w:rPr>
        <w:t>určení (viz čl. IV odst. 5),</w:t>
      </w:r>
    </w:p>
    <w:p w:rsidR="00E817C1" w:rsidRDefault="00FA51FF">
      <w:pPr>
        <w:numPr>
          <w:ilvl w:val="1"/>
          <w:numId w:val="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úpravě termínu dokončení, vyžaduje-li si to povaha změny (§ 2614 OZ).</w:t>
      </w:r>
    </w:p>
    <w:p w:rsidR="00E817C1" w:rsidRDefault="00FA51FF">
      <w:pPr>
        <w:spacing w:after="0" w:line="240" w:lineRule="auto"/>
        <w:rPr>
          <w:rFonts w:ascii="Times New Roman" w:eastAsia="Times New Roman" w:hAnsi="Times New Roman" w:cs="Times New Roman"/>
          <w:sz w:val="24"/>
          <w:szCs w:val="24"/>
        </w:rPr>
      </w:pPr>
      <w:r>
        <w:pict w14:anchorId="328D8987">
          <v:rect id="_x0000_i1027"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III. Termín plnění</w:t>
      </w:r>
    </w:p>
    <w:p w:rsidR="00E817C1" w:rsidRDefault="00FA51FF">
      <w:pPr>
        <w:numPr>
          <w:ilvl w:val="0"/>
          <w:numId w:val="4"/>
        </w:numPr>
        <w:shd w:val="clear" w:color="auto" w:fill="FFFFFF"/>
        <w:spacing w:after="0" w:line="240" w:lineRule="auto"/>
        <w:ind w:left="0"/>
        <w:rPr>
          <w:rFonts w:ascii="Quattrocento Sans" w:eastAsia="Quattrocento Sans" w:hAnsi="Quattrocento Sans" w:cs="Quattrocento Sans"/>
          <w:sz w:val="21"/>
          <w:szCs w:val="21"/>
        </w:rPr>
      </w:pPr>
      <w:bookmarkStart w:id="1" w:name="_heading=h.f2nig8ln3o62" w:colFirst="0" w:colLast="0"/>
      <w:bookmarkEnd w:id="1"/>
      <w:r>
        <w:rPr>
          <w:rFonts w:ascii="Quattrocento Sans" w:eastAsia="Quattrocento Sans" w:hAnsi="Quattrocento Sans" w:cs="Quattrocento Sans"/>
          <w:sz w:val="21"/>
          <w:szCs w:val="21"/>
        </w:rPr>
        <w:t>Termín zahájení prací: 30. 7. 2025.</w:t>
      </w:r>
    </w:p>
    <w:p w:rsidR="00E817C1" w:rsidRDefault="00FA51FF">
      <w:pPr>
        <w:numPr>
          <w:ilvl w:val="0"/>
          <w:numId w:val="4"/>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Termín dokončení a předání Díla dle § 2604 OZ: do 20.08. 2025.</w:t>
      </w:r>
    </w:p>
    <w:p w:rsidR="00E817C1" w:rsidRDefault="00FA51FF">
      <w:pPr>
        <w:numPr>
          <w:ilvl w:val="0"/>
          <w:numId w:val="4"/>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V případě, že Objednatel neposkytne včas součinnost nezbytnou pro řádné plnění, dohodnou se Smluvní strany písemně na prodloužení termínu dokončení o dobu odpovídající prodlení Objednatele.</w:t>
      </w:r>
    </w:p>
    <w:p w:rsidR="00E817C1" w:rsidRDefault="00FA51FF">
      <w:pPr>
        <w:spacing w:after="0" w:line="240" w:lineRule="auto"/>
        <w:rPr>
          <w:rFonts w:ascii="Times New Roman" w:eastAsia="Times New Roman" w:hAnsi="Times New Roman" w:cs="Times New Roman"/>
          <w:sz w:val="24"/>
          <w:szCs w:val="24"/>
        </w:rPr>
      </w:pPr>
      <w:r>
        <w:pict w14:anchorId="1E424F44">
          <v:rect id="_x0000_i1028"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IV. Cena Díla a její změny</w:t>
      </w:r>
    </w:p>
    <w:p w:rsidR="00E817C1" w:rsidRDefault="00FA51FF">
      <w:pPr>
        <w:numPr>
          <w:ilvl w:val="0"/>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Cena Díla je sjednána jako cena pevná</w:t>
      </w:r>
      <w:r>
        <w:rPr>
          <w:rFonts w:ascii="Quattrocento Sans" w:eastAsia="Quattrocento Sans" w:hAnsi="Quattrocento Sans" w:cs="Quattrocento Sans"/>
          <w:sz w:val="21"/>
          <w:szCs w:val="21"/>
        </w:rPr>
        <w:t xml:space="preserve"> ve výši </w:t>
      </w:r>
      <w:r>
        <w:rPr>
          <w:rFonts w:ascii="Quattrocento Sans" w:eastAsia="Quattrocento Sans" w:hAnsi="Quattrocento Sans" w:cs="Quattrocento Sans"/>
          <w:b/>
          <w:sz w:val="21"/>
          <w:szCs w:val="21"/>
        </w:rPr>
        <w:t>165.813,-</w:t>
      </w:r>
      <w:r>
        <w:rPr>
          <w:rFonts w:ascii="Quattrocento Sans" w:eastAsia="Quattrocento Sans" w:hAnsi="Quattrocento Sans" w:cs="Quattrocento Sans"/>
          <w:sz w:val="21"/>
          <w:szCs w:val="21"/>
        </w:rPr>
        <w:t xml:space="preserve"> </w:t>
      </w:r>
      <w:r>
        <w:rPr>
          <w:rFonts w:ascii="Quattrocento Sans" w:eastAsia="Quattrocento Sans" w:hAnsi="Quattrocento Sans" w:cs="Quattrocento Sans"/>
          <w:b/>
          <w:sz w:val="21"/>
          <w:szCs w:val="21"/>
        </w:rPr>
        <w:t>Kč vč. DPH 21 %.</w:t>
      </w:r>
    </w:p>
    <w:p w:rsidR="00E817C1" w:rsidRDefault="00FA51FF">
      <w:pPr>
        <w:numPr>
          <w:ilvl w:val="1"/>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Základ daně (bez DPH): 137.036,- Kč.</w:t>
      </w:r>
    </w:p>
    <w:p w:rsidR="00E817C1" w:rsidRDefault="00FA51FF">
      <w:pPr>
        <w:numPr>
          <w:ilvl w:val="1"/>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DPH 21 %: 28.777,- Kč.</w:t>
      </w:r>
    </w:p>
    <w:p w:rsidR="00E817C1" w:rsidRDefault="00FA51FF">
      <w:pPr>
        <w:numPr>
          <w:ilvl w:val="0"/>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Cena zahrnuje veškeré náklady Zhotovitele na provedení Díla v rozsahu specifikovaném touto smlouvou a v Příloze č. 1.</w:t>
      </w:r>
    </w:p>
    <w:p w:rsidR="00E817C1" w:rsidRDefault="00FA51FF">
      <w:pPr>
        <w:numPr>
          <w:ilvl w:val="0"/>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Ceny měrných jednotek uvedené ve výkazu výměr jsou po dobu plnění neměnné.</w:t>
      </w:r>
    </w:p>
    <w:p w:rsidR="00E817C1" w:rsidRDefault="00FA51FF">
      <w:pPr>
        <w:numPr>
          <w:ilvl w:val="0"/>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Více- / méně-práce:</w:t>
      </w:r>
    </w:p>
    <w:p w:rsidR="00E817C1" w:rsidRDefault="00FA51FF">
      <w:pPr>
        <w:numPr>
          <w:ilvl w:val="1"/>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Návrh na změnu rozsahu Díla vyhotoví Zhotovitel v písemné kalkulaci.</w:t>
      </w:r>
    </w:p>
    <w:p w:rsidR="00E817C1" w:rsidRDefault="00FA51FF">
      <w:pPr>
        <w:numPr>
          <w:ilvl w:val="1"/>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Cena se určí na základě jednotkových cen z Přílohy č. 1; není-li to možné, podle cen obvyklý</w:t>
      </w:r>
      <w:r>
        <w:rPr>
          <w:rFonts w:ascii="Quattrocento Sans" w:eastAsia="Quattrocento Sans" w:hAnsi="Quattrocento Sans" w:cs="Quattrocento Sans"/>
          <w:sz w:val="21"/>
          <w:szCs w:val="21"/>
        </w:rPr>
        <w:t>ch ke dni návrhu.</w:t>
      </w:r>
    </w:p>
    <w:p w:rsidR="00E817C1" w:rsidRDefault="00FA51FF">
      <w:pPr>
        <w:numPr>
          <w:ilvl w:val="1"/>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Dokud nebude dodatek podepsán oběma stranami, nesmí Zhotovitel práce zahájit.</w:t>
      </w:r>
    </w:p>
    <w:p w:rsidR="00E817C1" w:rsidRDefault="00FA51FF">
      <w:pPr>
        <w:numPr>
          <w:ilvl w:val="0"/>
          <w:numId w:val="5"/>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Dojde-li k omezení rozsahu Díla, sníží se cena podle § 2614 OZ s přihlédnutím k ušetřeným nákladům.</w:t>
      </w:r>
    </w:p>
    <w:p w:rsidR="00E817C1" w:rsidRDefault="00FA51FF">
      <w:pPr>
        <w:spacing w:after="0" w:line="240" w:lineRule="auto"/>
        <w:rPr>
          <w:rFonts w:ascii="Times New Roman" w:eastAsia="Times New Roman" w:hAnsi="Times New Roman" w:cs="Times New Roman"/>
          <w:sz w:val="24"/>
          <w:szCs w:val="24"/>
        </w:rPr>
      </w:pPr>
      <w:r>
        <w:pict w14:anchorId="364F41DB">
          <v:rect id="_x0000_i1029"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V. Platební podmínky</w:t>
      </w:r>
    </w:p>
    <w:p w:rsidR="00E817C1" w:rsidRDefault="00FA51FF">
      <w:pPr>
        <w:numPr>
          <w:ilvl w:val="0"/>
          <w:numId w:val="6"/>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Zhotovitel vystaví: konečnou fakturu </w:t>
      </w:r>
      <w:r>
        <w:rPr>
          <w:rFonts w:ascii="Quattrocento Sans" w:eastAsia="Quattrocento Sans" w:hAnsi="Quattrocento Sans" w:cs="Quattrocento Sans"/>
          <w:sz w:val="21"/>
          <w:szCs w:val="21"/>
        </w:rPr>
        <w:t>po předání Díla bez vad a nedodělků bránících užívání.</w:t>
      </w:r>
    </w:p>
    <w:p w:rsidR="00E817C1" w:rsidRDefault="00FA51FF">
      <w:pPr>
        <w:numPr>
          <w:ilvl w:val="0"/>
          <w:numId w:val="6"/>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lastRenderedPageBreak/>
        <w:t>Splatnost faktury je 14 dnů ode dne jejího doručení Objednateli (e-mail + datová schránka/pošta).</w:t>
      </w:r>
    </w:p>
    <w:p w:rsidR="00E817C1" w:rsidRDefault="00FA51FF">
      <w:pPr>
        <w:numPr>
          <w:ilvl w:val="0"/>
          <w:numId w:val="6"/>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Objednatel je oprávněn zadržet 5 % z ceny Díla (retence) po dobu 12 měsíců ode dne převzetí Díla jako jistotu pro krytí vad. Částka bude vyplacena do 14 dnů po uplynutí uvedené lhůty, popř. po odstranění zjištěných vad.</w:t>
      </w:r>
    </w:p>
    <w:p w:rsidR="00E817C1" w:rsidRDefault="00FA51FF">
      <w:pPr>
        <w:spacing w:after="0" w:line="240" w:lineRule="auto"/>
        <w:rPr>
          <w:rFonts w:ascii="Times New Roman" w:eastAsia="Times New Roman" w:hAnsi="Times New Roman" w:cs="Times New Roman"/>
          <w:sz w:val="24"/>
          <w:szCs w:val="24"/>
        </w:rPr>
      </w:pPr>
      <w:r>
        <w:pict w14:anchorId="6457ECE9">
          <v:rect id="_x0000_i1030"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VI. Povinnosti Zhotovitele</w:t>
      </w:r>
    </w:p>
    <w:p w:rsidR="00E817C1" w:rsidRDefault="00FA51FF">
      <w:pPr>
        <w:numPr>
          <w:ilvl w:val="0"/>
          <w:numId w:val="7"/>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Provést</w:t>
      </w:r>
      <w:r>
        <w:rPr>
          <w:rFonts w:ascii="Quattrocento Sans" w:eastAsia="Quattrocento Sans" w:hAnsi="Quattrocento Sans" w:cs="Quattrocento Sans"/>
          <w:sz w:val="21"/>
          <w:szCs w:val="21"/>
        </w:rPr>
        <w:t xml:space="preserve"> Dílo odborně, v souladu s platnými právními předpisy, normami ČSN, hygienickými a bezpečnostními požadavky.</w:t>
      </w:r>
    </w:p>
    <w:p w:rsidR="00E817C1" w:rsidRDefault="00FA51FF">
      <w:pPr>
        <w:numPr>
          <w:ilvl w:val="0"/>
          <w:numId w:val="7"/>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Udržovat staveniště v pořádku, zajišťovat BOZP a ochranu životního prostředí; odpad likvidovat dle zákona č. 541/2020 Sb., o odpadech.</w:t>
      </w:r>
    </w:p>
    <w:p w:rsidR="00E817C1" w:rsidRDefault="00FA51FF">
      <w:pPr>
        <w:numPr>
          <w:ilvl w:val="0"/>
          <w:numId w:val="7"/>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Mít po celou</w:t>
      </w:r>
      <w:r>
        <w:rPr>
          <w:rFonts w:ascii="Quattrocento Sans" w:eastAsia="Quattrocento Sans" w:hAnsi="Quattrocento Sans" w:cs="Quattrocento Sans"/>
          <w:sz w:val="21"/>
          <w:szCs w:val="21"/>
        </w:rPr>
        <w:t xml:space="preserve"> dobu trvání smlouvy uzavřeno pojištění odpovědnosti za škodu s minimálním limitem plnění 5 mil. Kč a na vyžádání předložit pojistnou smlouvu Objednateli.</w:t>
      </w:r>
    </w:p>
    <w:p w:rsidR="00E817C1" w:rsidRDefault="00FA51FF">
      <w:pPr>
        <w:numPr>
          <w:ilvl w:val="0"/>
          <w:numId w:val="7"/>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Upozornit Objednatele bez zbytečného odkladu na nevhodné pokyny nebo podklady (§ 2595 OZ); jinak odpo</w:t>
      </w:r>
      <w:r>
        <w:rPr>
          <w:rFonts w:ascii="Quattrocento Sans" w:eastAsia="Quattrocento Sans" w:hAnsi="Quattrocento Sans" w:cs="Quattrocento Sans"/>
          <w:sz w:val="21"/>
          <w:szCs w:val="21"/>
        </w:rPr>
        <w:t>vídá za vady z tohoto důvodu vzniklé.</w:t>
      </w:r>
    </w:p>
    <w:p w:rsidR="00E817C1" w:rsidRDefault="00FA51FF">
      <w:pPr>
        <w:spacing w:after="0" w:line="240" w:lineRule="auto"/>
        <w:rPr>
          <w:rFonts w:ascii="Times New Roman" w:eastAsia="Times New Roman" w:hAnsi="Times New Roman" w:cs="Times New Roman"/>
          <w:sz w:val="24"/>
          <w:szCs w:val="24"/>
        </w:rPr>
      </w:pPr>
      <w:r>
        <w:pict w14:anchorId="6030D74E">
          <v:rect id="_x0000_i1031"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VII. Předání a převzetí Díla</w:t>
      </w:r>
    </w:p>
    <w:p w:rsidR="00E817C1" w:rsidRDefault="00FA51FF">
      <w:pPr>
        <w:numPr>
          <w:ilvl w:val="0"/>
          <w:numId w:val="8"/>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O předání a převzetí se pořídí písemný protokol podepsaný oběma stranami.</w:t>
      </w:r>
    </w:p>
    <w:p w:rsidR="00E817C1" w:rsidRDefault="00FA51FF">
      <w:pPr>
        <w:numPr>
          <w:ilvl w:val="0"/>
          <w:numId w:val="8"/>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Objednatel je povinen Dílo převzít, pokud nemá vady bránící jeho užívání. Vady a nedodělky budou v protokolu výsl</w:t>
      </w:r>
      <w:r>
        <w:rPr>
          <w:rFonts w:ascii="Quattrocento Sans" w:eastAsia="Quattrocento Sans" w:hAnsi="Quattrocento Sans" w:cs="Quattrocento Sans"/>
          <w:sz w:val="21"/>
          <w:szCs w:val="21"/>
        </w:rPr>
        <w:t>ovně uvedeny s termínem jejich odstranění.</w:t>
      </w:r>
    </w:p>
    <w:p w:rsidR="00E817C1" w:rsidRDefault="00FA51FF">
      <w:pPr>
        <w:numPr>
          <w:ilvl w:val="0"/>
          <w:numId w:val="8"/>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Okamžikem podpisu protokolu přechází na Objednatele nebezpečí škody na Díle.</w:t>
      </w:r>
    </w:p>
    <w:p w:rsidR="00E817C1" w:rsidRDefault="00FA51FF">
      <w:pPr>
        <w:spacing w:after="0" w:line="240" w:lineRule="auto"/>
        <w:rPr>
          <w:rFonts w:ascii="Times New Roman" w:eastAsia="Times New Roman" w:hAnsi="Times New Roman" w:cs="Times New Roman"/>
          <w:sz w:val="24"/>
          <w:szCs w:val="24"/>
        </w:rPr>
      </w:pPr>
      <w:r>
        <w:pict w14:anchorId="1EE7FF9B">
          <v:rect id="_x0000_i1032"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VIII. Odpovědnost za vady a záruka</w:t>
      </w:r>
    </w:p>
    <w:p w:rsidR="00E817C1" w:rsidRDefault="00FA51FF">
      <w:pPr>
        <w:numPr>
          <w:ilvl w:val="0"/>
          <w:numId w:val="9"/>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Zhotovitel odpovídá za vady podle § 2615 a násl. OZ.</w:t>
      </w:r>
    </w:p>
    <w:p w:rsidR="00E817C1" w:rsidRDefault="00FA51FF">
      <w:pPr>
        <w:numPr>
          <w:ilvl w:val="0"/>
          <w:numId w:val="9"/>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Zhotovitel poskytuje záruku za jakost v délce 36 měsíců od převzetí Díla.</w:t>
      </w:r>
    </w:p>
    <w:p w:rsidR="00E817C1" w:rsidRDefault="00FA51FF">
      <w:pPr>
        <w:numPr>
          <w:ilvl w:val="0"/>
          <w:numId w:val="9"/>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Objednatel oznámí zjištěné vady písemně bez zbytečného odkladu. Zhotovitel je odstraní nejpozději do 14 dnů, nedohodnou-li se strany jinak.</w:t>
      </w:r>
    </w:p>
    <w:p w:rsidR="00E817C1" w:rsidRDefault="00FA51FF">
      <w:pPr>
        <w:numPr>
          <w:ilvl w:val="0"/>
          <w:numId w:val="9"/>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Neuplatní-li Objednatel právo na odstraněn</w:t>
      </w:r>
      <w:r>
        <w:rPr>
          <w:rFonts w:ascii="Quattrocento Sans" w:eastAsia="Quattrocento Sans" w:hAnsi="Quattrocento Sans" w:cs="Quattrocento Sans"/>
          <w:sz w:val="21"/>
          <w:szCs w:val="21"/>
        </w:rPr>
        <w:t>í vady a vady nebrání užívání Díla, může požadovat přiměřenou slevu z ceny (§ 2619 OZ).</w:t>
      </w:r>
    </w:p>
    <w:p w:rsidR="00E817C1" w:rsidRDefault="00FA51FF">
      <w:pPr>
        <w:spacing w:after="0" w:line="240" w:lineRule="auto"/>
        <w:rPr>
          <w:rFonts w:ascii="Times New Roman" w:eastAsia="Times New Roman" w:hAnsi="Times New Roman" w:cs="Times New Roman"/>
          <w:sz w:val="24"/>
          <w:szCs w:val="24"/>
        </w:rPr>
      </w:pPr>
      <w:r>
        <w:pict w14:anchorId="504AE0D7">
          <v:rect id="_x0000_i1033"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IX. Smluvní pokuty</w:t>
      </w:r>
    </w:p>
    <w:p w:rsidR="00E817C1" w:rsidRDefault="00FA51FF">
      <w:pPr>
        <w:numPr>
          <w:ilvl w:val="0"/>
          <w:numId w:val="10"/>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Zhotovitel zaplatí za prodlení s termínem dokončení smluvní pokutu 0,1 % z pevné ceny Díla za každý den prodlení, maximálně však 10 % z pevné ceny Díla.</w:t>
      </w:r>
    </w:p>
    <w:p w:rsidR="00E817C1" w:rsidRDefault="00FA51FF">
      <w:pPr>
        <w:numPr>
          <w:ilvl w:val="0"/>
          <w:numId w:val="10"/>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Objednatel zaplatí za prodlení s úhradou faktury smluvní pokutu 0,05 % z dlužné částky za každý den pro</w:t>
      </w:r>
      <w:r>
        <w:rPr>
          <w:rFonts w:ascii="Quattrocento Sans" w:eastAsia="Quattrocento Sans" w:hAnsi="Quattrocento Sans" w:cs="Quattrocento Sans"/>
          <w:sz w:val="21"/>
          <w:szCs w:val="21"/>
        </w:rPr>
        <w:t>dlení, maximálně však 5 % z dlužné částky.</w:t>
      </w:r>
    </w:p>
    <w:p w:rsidR="00E817C1" w:rsidRDefault="00FA51FF">
      <w:pPr>
        <w:numPr>
          <w:ilvl w:val="0"/>
          <w:numId w:val="10"/>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Zaplacením smluvní pokuty není dotčeno právo na náhradu škody (§ 2050 OZ).</w:t>
      </w:r>
    </w:p>
    <w:p w:rsidR="00E817C1" w:rsidRDefault="00FA51FF">
      <w:pPr>
        <w:spacing w:after="0" w:line="240" w:lineRule="auto"/>
        <w:rPr>
          <w:rFonts w:ascii="Times New Roman" w:eastAsia="Times New Roman" w:hAnsi="Times New Roman" w:cs="Times New Roman"/>
          <w:sz w:val="24"/>
          <w:szCs w:val="24"/>
        </w:rPr>
      </w:pPr>
      <w:r>
        <w:pict w14:anchorId="49C2BB04">
          <v:rect id="_x0000_i1034"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X. Odstoupení od smlouvy</w:t>
      </w:r>
    </w:p>
    <w:p w:rsidR="00E817C1" w:rsidRDefault="00FA51FF">
      <w:pPr>
        <w:numPr>
          <w:ilvl w:val="0"/>
          <w:numId w:val="1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Objednatel může odstoupit, zejména pokud:</w:t>
      </w:r>
      <w:r>
        <w:rPr>
          <w:rFonts w:ascii="Quattrocento Sans" w:eastAsia="Quattrocento Sans" w:hAnsi="Quattrocento Sans" w:cs="Quattrocento Sans"/>
          <w:sz w:val="21"/>
          <w:szCs w:val="21"/>
        </w:rPr>
        <w:br/>
        <w:t>a) Zhotovitel bezdůvodně přeruší práce na dobu delší než 14 dnů;</w:t>
      </w:r>
      <w:r>
        <w:rPr>
          <w:rFonts w:ascii="Quattrocento Sans" w:eastAsia="Quattrocento Sans" w:hAnsi="Quattrocento Sans" w:cs="Quattrocento Sans"/>
          <w:sz w:val="21"/>
          <w:szCs w:val="21"/>
        </w:rPr>
        <w:br/>
        <w:t>b) Z</w:t>
      </w:r>
      <w:r>
        <w:rPr>
          <w:rFonts w:ascii="Quattrocento Sans" w:eastAsia="Quattrocento Sans" w:hAnsi="Quattrocento Sans" w:cs="Quattrocento Sans"/>
          <w:sz w:val="21"/>
          <w:szCs w:val="21"/>
        </w:rPr>
        <w:t>hotovitel je v prodlení se zahájením prací déle než 14 dnů;</w:t>
      </w:r>
      <w:r>
        <w:rPr>
          <w:rFonts w:ascii="Quattrocento Sans" w:eastAsia="Quattrocento Sans" w:hAnsi="Quattrocento Sans" w:cs="Quattrocento Sans"/>
          <w:sz w:val="21"/>
          <w:szCs w:val="21"/>
        </w:rPr>
        <w:br/>
        <w:t>c) Zhotovitel opakovaně nebo závažně poruší podmínky kvality.</w:t>
      </w:r>
    </w:p>
    <w:p w:rsidR="00E817C1" w:rsidRDefault="00FA51FF">
      <w:pPr>
        <w:numPr>
          <w:ilvl w:val="0"/>
          <w:numId w:val="1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Zhotovitel může odstoupit, zejména pokud:</w:t>
      </w:r>
      <w:r>
        <w:rPr>
          <w:rFonts w:ascii="Quattrocento Sans" w:eastAsia="Quattrocento Sans" w:hAnsi="Quattrocento Sans" w:cs="Quattrocento Sans"/>
          <w:sz w:val="21"/>
          <w:szCs w:val="21"/>
        </w:rPr>
        <w:br/>
        <w:t>a) nastanou okolnosti dle § 2595 OZ (trvání Objednatele na nevhodném příkazu či materiálu);</w:t>
      </w:r>
      <w:r>
        <w:rPr>
          <w:rFonts w:ascii="Quattrocento Sans" w:eastAsia="Quattrocento Sans" w:hAnsi="Quattrocento Sans" w:cs="Quattrocento Sans"/>
          <w:sz w:val="21"/>
          <w:szCs w:val="21"/>
        </w:rPr>
        <w:br/>
      </w:r>
      <w:r>
        <w:rPr>
          <w:rFonts w:ascii="Quattrocento Sans" w:eastAsia="Quattrocento Sans" w:hAnsi="Quattrocento Sans" w:cs="Quattrocento Sans"/>
          <w:sz w:val="21"/>
          <w:szCs w:val="21"/>
        </w:rPr>
        <w:t>b) bude vůči Objednateli zahájeno insolvenční řízení.</w:t>
      </w:r>
    </w:p>
    <w:p w:rsidR="00E817C1" w:rsidRDefault="00FA51FF">
      <w:pPr>
        <w:numPr>
          <w:ilvl w:val="0"/>
          <w:numId w:val="11"/>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Účinky odstoupení nastávají doručením písemného oznámení druhé straně; Zhotovitel náleží odměna odpovídající již provedené části Díla (§ 2597 OZ).</w:t>
      </w:r>
    </w:p>
    <w:p w:rsidR="00E817C1" w:rsidRDefault="00FA51FF">
      <w:pPr>
        <w:spacing w:after="0" w:line="240" w:lineRule="auto"/>
        <w:rPr>
          <w:rFonts w:ascii="Times New Roman" w:eastAsia="Times New Roman" w:hAnsi="Times New Roman" w:cs="Times New Roman"/>
          <w:sz w:val="24"/>
          <w:szCs w:val="24"/>
        </w:rPr>
      </w:pPr>
      <w:r>
        <w:pict w14:anchorId="72CA7111">
          <v:rect id="_x0000_i1035"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XI. Závěrečná ustanovení</w:t>
      </w:r>
    </w:p>
    <w:p w:rsidR="00E817C1" w:rsidRDefault="00FA51FF">
      <w:pPr>
        <w:numPr>
          <w:ilvl w:val="0"/>
          <w:numId w:val="2"/>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Právní poměry touto smlouvou</w:t>
      </w:r>
      <w:r>
        <w:rPr>
          <w:rFonts w:ascii="Quattrocento Sans" w:eastAsia="Quattrocento Sans" w:hAnsi="Quattrocento Sans" w:cs="Quattrocento Sans"/>
          <w:sz w:val="21"/>
          <w:szCs w:val="21"/>
        </w:rPr>
        <w:t xml:space="preserve"> výslovně neupravené se řídí občanským zákoníkem.</w:t>
      </w:r>
    </w:p>
    <w:p w:rsidR="00E817C1" w:rsidRDefault="00FA51FF">
      <w:pPr>
        <w:numPr>
          <w:ilvl w:val="0"/>
          <w:numId w:val="2"/>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Smlouvu lze měnit nebo doplňovat pouze písemnými číslovanými dodatky podepsanými oběma Smluvními stranami.</w:t>
      </w:r>
    </w:p>
    <w:p w:rsidR="00E817C1" w:rsidRDefault="00FA51FF">
      <w:pPr>
        <w:numPr>
          <w:ilvl w:val="0"/>
          <w:numId w:val="2"/>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lastRenderedPageBreak/>
        <w:t>Smlouva je vyhotovena ve dvou stejnopisech s platností originálu; každá Smluvní strana obdrží jeden.</w:t>
      </w:r>
    </w:p>
    <w:p w:rsidR="00E817C1" w:rsidRDefault="00FA51FF">
      <w:pPr>
        <w:numPr>
          <w:ilvl w:val="0"/>
          <w:numId w:val="2"/>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Smlouva nabývá účinnosti dnem jejího podpisu oběma Smluvními stranami.</w:t>
      </w:r>
    </w:p>
    <w:p w:rsidR="00E817C1" w:rsidRDefault="00E817C1">
      <w:pPr>
        <w:shd w:val="clear" w:color="auto" w:fill="FFFFFF"/>
        <w:spacing w:after="0" w:line="240" w:lineRule="auto"/>
        <w:rPr>
          <w:rFonts w:ascii="Quattrocento Sans" w:eastAsia="Quattrocento Sans" w:hAnsi="Quattrocento Sans" w:cs="Quattrocento Sans"/>
          <w:sz w:val="21"/>
          <w:szCs w:val="21"/>
        </w:rPr>
      </w:pPr>
    </w:p>
    <w:tbl>
      <w:tblPr>
        <w:tblStyle w:val="a"/>
        <w:tblW w:w="4014"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270"/>
        <w:gridCol w:w="1744"/>
      </w:tblGrid>
      <w:tr w:rsidR="00E817C1">
        <w:trPr>
          <w:tblHeader/>
        </w:trPr>
        <w:tc>
          <w:tcPr>
            <w:tcW w:w="2270"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E817C1" w:rsidRDefault="00FA51FF">
            <w:pPr>
              <w:spacing w:after="0" w:line="240" w:lineRule="auto"/>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Za Objednatele</w:t>
            </w:r>
          </w:p>
        </w:tc>
        <w:tc>
          <w:tcPr>
            <w:tcW w:w="1744"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E817C1" w:rsidRDefault="00FA51FF">
            <w:pPr>
              <w:spacing w:after="0" w:line="240" w:lineRule="auto"/>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Za Zhotovitele</w:t>
            </w:r>
          </w:p>
        </w:tc>
      </w:tr>
      <w:tr w:rsidR="00E817C1">
        <w:tc>
          <w:tcPr>
            <w:tcW w:w="2270" w:type="dxa"/>
            <w:shd w:val="clear" w:color="auto" w:fill="FFFFFF"/>
            <w:vAlign w:val="center"/>
          </w:tcPr>
          <w:p w:rsidR="00E817C1" w:rsidRDefault="00FA51FF">
            <w:pPr>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w:t>
            </w:r>
          </w:p>
        </w:tc>
        <w:tc>
          <w:tcPr>
            <w:tcW w:w="1744" w:type="dxa"/>
            <w:shd w:val="clear" w:color="auto" w:fill="FFFFFF"/>
            <w:vAlign w:val="center"/>
          </w:tcPr>
          <w:p w:rsidR="00E817C1" w:rsidRDefault="00FA51FF">
            <w:pPr>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w:t>
            </w:r>
          </w:p>
        </w:tc>
      </w:tr>
      <w:tr w:rsidR="00E817C1">
        <w:tc>
          <w:tcPr>
            <w:tcW w:w="2270" w:type="dxa"/>
            <w:shd w:val="clear" w:color="auto" w:fill="FFFFFF"/>
            <w:vAlign w:val="center"/>
          </w:tcPr>
          <w:p w:rsidR="00E817C1" w:rsidRDefault="00FA51FF">
            <w:pPr>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Mgr. Renata Sedláčková</w:t>
            </w:r>
          </w:p>
        </w:tc>
        <w:tc>
          <w:tcPr>
            <w:tcW w:w="1744" w:type="dxa"/>
            <w:shd w:val="clear" w:color="auto" w:fill="FFFFFF"/>
            <w:vAlign w:val="center"/>
          </w:tcPr>
          <w:p w:rsidR="00E817C1" w:rsidRDefault="00FA51FF">
            <w:pPr>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Luděk </w:t>
            </w:r>
            <w:proofErr w:type="spellStart"/>
            <w:r>
              <w:rPr>
                <w:rFonts w:ascii="Quattrocento Sans" w:eastAsia="Quattrocento Sans" w:hAnsi="Quattrocento Sans" w:cs="Quattrocento Sans"/>
                <w:sz w:val="21"/>
                <w:szCs w:val="21"/>
              </w:rPr>
              <w:t>Ballon</w:t>
            </w:r>
            <w:proofErr w:type="spellEnd"/>
          </w:p>
        </w:tc>
      </w:tr>
      <w:tr w:rsidR="00E817C1">
        <w:tc>
          <w:tcPr>
            <w:tcW w:w="2270" w:type="dxa"/>
            <w:shd w:val="clear" w:color="auto" w:fill="FFFFFF"/>
            <w:vAlign w:val="center"/>
          </w:tcPr>
          <w:p w:rsidR="00E817C1" w:rsidRDefault="00FA51FF">
            <w:pPr>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ředitelka školy</w:t>
            </w:r>
          </w:p>
        </w:tc>
        <w:tc>
          <w:tcPr>
            <w:tcW w:w="1744" w:type="dxa"/>
            <w:shd w:val="clear" w:color="auto" w:fill="FFFFFF"/>
            <w:vAlign w:val="center"/>
          </w:tcPr>
          <w:p w:rsidR="00E817C1" w:rsidRDefault="00FA51FF">
            <w:pPr>
              <w:spacing w:after="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jednatel</w:t>
            </w:r>
          </w:p>
        </w:tc>
      </w:tr>
    </w:tbl>
    <w:p w:rsidR="00E817C1" w:rsidRDefault="00FA51FF">
      <w:pPr>
        <w:spacing w:after="0" w:line="240" w:lineRule="auto"/>
        <w:rPr>
          <w:rFonts w:ascii="Times New Roman" w:eastAsia="Times New Roman" w:hAnsi="Times New Roman" w:cs="Times New Roman"/>
          <w:sz w:val="24"/>
          <w:szCs w:val="24"/>
        </w:rPr>
      </w:pPr>
      <w:r>
        <w:pict>
          <v:rect id="_x0000_i1036" style="width:0;height:1.5pt" o:hralign="center" o:hrstd="t" o:hr="t" fillcolor="#a0a0a0" stroked="f"/>
        </w:pict>
      </w:r>
    </w:p>
    <w:p w:rsidR="00E817C1" w:rsidRDefault="00FA51FF">
      <w:pPr>
        <w:shd w:val="clear" w:color="auto" w:fill="FFFFFF"/>
        <w:spacing w:after="0" w:line="240" w:lineRule="auto"/>
        <w:rPr>
          <w:rFonts w:ascii="Quattrocento Sans" w:eastAsia="Quattrocento Sans" w:hAnsi="Quattrocento Sans" w:cs="Quattrocento Sans"/>
          <w:b/>
          <w:sz w:val="30"/>
          <w:szCs w:val="30"/>
        </w:rPr>
      </w:pPr>
      <w:r>
        <w:rPr>
          <w:rFonts w:ascii="Quattrocento Sans" w:eastAsia="Quattrocento Sans" w:hAnsi="Quattrocento Sans" w:cs="Quattrocento Sans"/>
          <w:b/>
          <w:sz w:val="30"/>
          <w:szCs w:val="30"/>
        </w:rPr>
        <w:t>Přílohy</w:t>
      </w:r>
    </w:p>
    <w:p w:rsidR="00E817C1" w:rsidRDefault="00FA51FF">
      <w:pPr>
        <w:numPr>
          <w:ilvl w:val="0"/>
          <w:numId w:val="3"/>
        </w:numPr>
        <w:shd w:val="clear" w:color="auto" w:fill="FFFFFF"/>
        <w:spacing w:after="0" w:line="240" w:lineRule="auto"/>
        <w:ind w:left="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Technická specifikace a výkaz výměr</w:t>
      </w:r>
    </w:p>
    <w:p w:rsidR="00E817C1" w:rsidRDefault="00E817C1"/>
    <w:sectPr w:rsidR="00E817C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563"/>
    <w:multiLevelType w:val="multilevel"/>
    <w:tmpl w:val="BCD480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CF33CE"/>
    <w:multiLevelType w:val="multilevel"/>
    <w:tmpl w:val="5852D4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D4726D"/>
    <w:multiLevelType w:val="multilevel"/>
    <w:tmpl w:val="188872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5119F6"/>
    <w:multiLevelType w:val="multilevel"/>
    <w:tmpl w:val="4BF08F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FF6E2E"/>
    <w:multiLevelType w:val="multilevel"/>
    <w:tmpl w:val="559CCC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29C043C"/>
    <w:multiLevelType w:val="multilevel"/>
    <w:tmpl w:val="384E81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B34167"/>
    <w:multiLevelType w:val="multilevel"/>
    <w:tmpl w:val="C0EA7A5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9A75D52"/>
    <w:multiLevelType w:val="multilevel"/>
    <w:tmpl w:val="D9121A0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CB0420A"/>
    <w:multiLevelType w:val="multilevel"/>
    <w:tmpl w:val="750CBA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94577CD"/>
    <w:multiLevelType w:val="multilevel"/>
    <w:tmpl w:val="9CAC0B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D2A34E6"/>
    <w:multiLevelType w:val="multilevel"/>
    <w:tmpl w:val="1C286A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9"/>
  </w:num>
  <w:num w:numId="3">
    <w:abstractNumId w:val="4"/>
  </w:num>
  <w:num w:numId="4">
    <w:abstractNumId w:val="2"/>
  </w:num>
  <w:num w:numId="5">
    <w:abstractNumId w:val="6"/>
  </w:num>
  <w:num w:numId="6">
    <w:abstractNumId w:val="8"/>
  </w:num>
  <w:num w:numId="7">
    <w:abstractNumId w:val="10"/>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C1"/>
    <w:rsid w:val="00E817C1"/>
    <w:rsid w:val="00FA5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F4EB4-E616-421E-ACEE-11F8D257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spacing w:line="240" w:lineRule="auto"/>
      <w:outlineLvl w:val="0"/>
    </w:pPr>
    <w:rPr>
      <w:rFonts w:ascii="Times New Roman" w:eastAsia="Times New Roman" w:hAnsi="Times New Roman" w:cs="Times New Roman"/>
      <w:b/>
      <w:sz w:val="48"/>
      <w:szCs w:val="48"/>
    </w:rPr>
  </w:style>
  <w:style w:type="paragraph" w:styleId="Nadpis2">
    <w:name w:val="heading 2"/>
    <w:basedOn w:val="Normln"/>
    <w:next w:val="Normln"/>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Nadpis3">
    <w:name w:val="heading 3"/>
    <w:basedOn w:val="Normln"/>
    <w:next w:val="Normln"/>
    <w:uiPriority w:val="9"/>
    <w:semiHidden/>
    <w:unhideWhenUsed/>
    <w:qFormat/>
    <w:pPr>
      <w:keepNext/>
      <w:keepLines/>
      <w:spacing w:before="40" w:after="0"/>
      <w:outlineLvl w:val="2"/>
    </w:pPr>
    <w:rPr>
      <w:color w:val="1F3863"/>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basedOn w:val="Standardnpsmoodstavce"/>
    <w:uiPriority w:val="9"/>
    <w:rsid w:val="00BA1A9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uiPriority w:val="9"/>
    <w:rsid w:val="00BA1A99"/>
    <w:rPr>
      <w:rFonts w:ascii="Times New Roman" w:eastAsia="Times New Roman" w:hAnsi="Times New Roman" w:cs="Times New Roman"/>
      <w:b/>
      <w:bCs/>
      <w:sz w:val="36"/>
      <w:szCs w:val="36"/>
      <w:lang w:eastAsia="cs-CZ"/>
    </w:rPr>
  </w:style>
  <w:style w:type="paragraph" w:styleId="Normlnweb">
    <w:name w:val="Normal (Web)"/>
    <w:uiPriority w:val="99"/>
    <w:semiHidden/>
    <w:unhideWhenUsed/>
    <w:rsid w:val="00BA1A99"/>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BA1A99"/>
    <w:rPr>
      <w:b/>
      <w:bCs/>
    </w:rPr>
  </w:style>
  <w:style w:type="character" w:customStyle="1" w:styleId="Nadpis3Char">
    <w:name w:val="Nadpis 3 Char"/>
    <w:basedOn w:val="Standardnpsmoodstavce"/>
    <w:uiPriority w:val="9"/>
    <w:semiHidden/>
    <w:rsid w:val="004B6529"/>
    <w:rPr>
      <w:rFonts w:asciiTheme="majorHAnsi" w:eastAsiaTheme="majorEastAsia" w:hAnsiTheme="majorHAnsi" w:cstheme="majorBidi"/>
      <w:color w:val="1F3763" w:themeColor="accent1" w:themeShade="7F"/>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GroE3sQteUKZse++MMvfMoG/Q==">CgMxLjAyDmguZjJuaWc4bG4zbzYyOAByITE2RVVrWnp6NmZObG9JVi1sSXp4T2dNbWM2VWNudEFEWA==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4897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Sedláčková</dc:creator>
  <cp:lastModifiedBy>Renata Sedláčková</cp:lastModifiedBy>
  <cp:revision>2</cp:revision>
  <dcterms:created xsi:type="dcterms:W3CDTF">2025-08-11T07:49:00Z</dcterms:created>
  <dcterms:modified xsi:type="dcterms:W3CDTF">2025-08-11T07:49:00Z</dcterms:modified>
</cp:coreProperties>
</file>