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856425" w14:paraId="3318EC80" w14:textId="77777777" w:rsidTr="00856425">
        <w:trPr>
          <w:trHeight w:val="540"/>
        </w:trPr>
        <w:tc>
          <w:tcPr>
            <w:tcW w:w="9214" w:type="dxa"/>
            <w:gridSpan w:val="2"/>
            <w:hideMark/>
          </w:tcPr>
          <w:p w14:paraId="0FB0B208" w14:textId="77777777" w:rsidR="00856425" w:rsidRDefault="000A43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DOHODA O ZMĚNĚ </w:t>
            </w:r>
            <w:r w:rsidR="00C9394B">
              <w:rPr>
                <w:b/>
                <w:sz w:val="28"/>
                <w:szCs w:val="28"/>
              </w:rPr>
              <w:t>REÁLNÉHO BŘEMENE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8AA9EFF" w14:textId="77777777" w:rsidR="00856425" w:rsidRDefault="00856425">
            <w:pPr>
              <w:spacing w:line="276" w:lineRule="auto"/>
              <w:jc w:val="center"/>
            </w:pPr>
            <w:r>
              <w:t>(„</w:t>
            </w:r>
            <w:r w:rsidR="00BD66CD">
              <w:rPr>
                <w:b/>
              </w:rPr>
              <w:t>Dohoda</w:t>
            </w:r>
            <w:r>
              <w:t>”)</w:t>
            </w:r>
          </w:p>
          <w:p w14:paraId="14A2580F" w14:textId="77777777" w:rsidR="00856425" w:rsidRDefault="00856425">
            <w:pPr>
              <w:spacing w:line="276" w:lineRule="auto"/>
            </w:pPr>
            <w:r>
              <w:t>mezi:</w:t>
            </w:r>
          </w:p>
        </w:tc>
      </w:tr>
      <w:tr w:rsidR="00856425" w14:paraId="4F46A51A" w14:textId="77777777" w:rsidTr="00856425">
        <w:trPr>
          <w:trHeight w:val="540"/>
        </w:trPr>
        <w:tc>
          <w:tcPr>
            <w:tcW w:w="9214" w:type="dxa"/>
            <w:gridSpan w:val="2"/>
            <w:hideMark/>
          </w:tcPr>
          <w:p w14:paraId="5E35B50D" w14:textId="77777777" w:rsidR="00C9394B" w:rsidRDefault="00C9394B" w:rsidP="00753E79">
            <w:pPr>
              <w:spacing w:line="276" w:lineRule="auto"/>
              <w:jc w:val="both"/>
            </w:pPr>
            <w:r>
              <w:rPr>
                <w:b/>
                <w:bCs/>
              </w:rPr>
              <w:t>Fourth Quadrant s.r.o.</w:t>
            </w:r>
            <w:r>
              <w:t xml:space="preserve">, IČO: </w:t>
            </w:r>
            <w:r w:rsidRPr="004F6A3B">
              <w:rPr>
                <w:szCs w:val="22"/>
              </w:rPr>
              <w:t>069 31</w:t>
            </w:r>
            <w:r>
              <w:rPr>
                <w:szCs w:val="22"/>
              </w:rPr>
              <w:t> </w:t>
            </w:r>
            <w:r w:rsidRPr="004F6A3B">
              <w:rPr>
                <w:szCs w:val="22"/>
              </w:rPr>
              <w:t>987</w:t>
            </w:r>
            <w:r>
              <w:rPr>
                <w:szCs w:val="22"/>
              </w:rPr>
              <w:t xml:space="preserve">, se sídlem </w:t>
            </w:r>
            <w:r w:rsidRPr="00C9394B">
              <w:t>Na Florenci 2139/2, Nové Město, 110 00 Praha 1</w:t>
            </w:r>
            <w:r>
              <w:t>, zapsaná v obchodním rejstříku vedeném Městským soudem v Praze, oddíl C, vložka 291573, zastoupen</w:t>
            </w:r>
            <w:r w:rsidR="00957B4A">
              <w:t>á</w:t>
            </w:r>
            <w:r>
              <w:t xml:space="preserve"> níže uvedenými jednateli </w:t>
            </w:r>
          </w:p>
          <w:p w14:paraId="4D6FA9A9" w14:textId="77777777" w:rsidR="00856425" w:rsidRDefault="00C9394B" w:rsidP="00753E79">
            <w:pPr>
              <w:spacing w:after="240" w:line="276" w:lineRule="auto"/>
              <w:jc w:val="both"/>
            </w:pPr>
            <w:r>
              <w:t xml:space="preserve">na straně jedné jako oprávněný </w:t>
            </w:r>
            <w:r w:rsidR="00856425">
              <w:t>(dále jen „</w:t>
            </w:r>
            <w:r>
              <w:rPr>
                <w:b/>
              </w:rPr>
              <w:t>Oprávněný</w:t>
            </w:r>
            <w:r w:rsidR="00856425">
              <w:t>”);</w:t>
            </w:r>
          </w:p>
          <w:p w14:paraId="4FCC8E7D" w14:textId="77777777" w:rsidR="00856425" w:rsidRDefault="00856425" w:rsidP="00753E79">
            <w:pPr>
              <w:spacing w:before="240" w:after="240" w:line="276" w:lineRule="auto"/>
              <w:jc w:val="both"/>
            </w:pPr>
            <w:r>
              <w:t>a</w:t>
            </w:r>
          </w:p>
          <w:p w14:paraId="75831FEF" w14:textId="77777777" w:rsidR="00C9394B" w:rsidRDefault="00C9394B">
            <w:pPr>
              <w:spacing w:line="276" w:lineRule="auto"/>
              <w:jc w:val="both"/>
              <w:rPr>
                <w:b/>
              </w:rPr>
            </w:pPr>
            <w:r w:rsidRPr="00C9394B">
              <w:rPr>
                <w:b/>
              </w:rPr>
              <w:t>Vysoká škola chemicko-technologická v</w:t>
            </w:r>
            <w:r>
              <w:rPr>
                <w:b/>
              </w:rPr>
              <w:t> </w:t>
            </w:r>
            <w:r w:rsidRPr="00C9394B">
              <w:rPr>
                <w:b/>
              </w:rPr>
              <w:t>Praze</w:t>
            </w:r>
            <w:r>
              <w:rPr>
                <w:bCs/>
              </w:rPr>
              <w:t xml:space="preserve">, IČO: </w:t>
            </w:r>
            <w:r w:rsidRPr="00C9394B">
              <w:rPr>
                <w:bCs/>
              </w:rPr>
              <w:t>604 61</w:t>
            </w:r>
            <w:r>
              <w:rPr>
                <w:bCs/>
              </w:rPr>
              <w:t> </w:t>
            </w:r>
            <w:r w:rsidRPr="00C9394B">
              <w:rPr>
                <w:bCs/>
              </w:rPr>
              <w:t>373</w:t>
            </w:r>
            <w:r>
              <w:rPr>
                <w:bCs/>
              </w:rPr>
              <w:t xml:space="preserve">, se sídlem </w:t>
            </w:r>
            <w:r w:rsidRPr="00C9394B">
              <w:rPr>
                <w:bCs/>
              </w:rPr>
              <w:t>Technická 1905/5, 166 28 Praha 6</w:t>
            </w:r>
            <w:r>
              <w:rPr>
                <w:bCs/>
              </w:rPr>
              <w:t>, zastoupená</w:t>
            </w:r>
            <w:r w:rsidRPr="00C9394B">
              <w:rPr>
                <w:bCs/>
              </w:rPr>
              <w:t xml:space="preserve"> níže uvedeným rektorem</w:t>
            </w:r>
          </w:p>
          <w:p w14:paraId="426CFB73" w14:textId="77777777" w:rsidR="00856425" w:rsidRDefault="00856425">
            <w:pPr>
              <w:spacing w:line="276" w:lineRule="auto"/>
              <w:jc w:val="both"/>
            </w:pPr>
            <w:r>
              <w:t xml:space="preserve">na straně </w:t>
            </w:r>
            <w:r w:rsidR="00C9394B">
              <w:t>druhé jako povinný</w:t>
            </w:r>
            <w:r>
              <w:t xml:space="preserve"> (dále jen „</w:t>
            </w:r>
            <w:r w:rsidR="00C9394B">
              <w:rPr>
                <w:b/>
              </w:rPr>
              <w:t>Povinný</w:t>
            </w:r>
            <w:r>
              <w:t>“)</w:t>
            </w:r>
          </w:p>
          <w:p w14:paraId="69F74CB5" w14:textId="77777777" w:rsidR="00856425" w:rsidRDefault="00856425">
            <w:pPr>
              <w:spacing w:line="276" w:lineRule="auto"/>
              <w:jc w:val="both"/>
            </w:pPr>
            <w:r>
              <w:t>(dále společně rovněž jako „</w:t>
            </w:r>
            <w:r>
              <w:rPr>
                <w:b/>
              </w:rPr>
              <w:t>Strany</w:t>
            </w:r>
            <w:r>
              <w:t>“ a jednotlivě jako „</w:t>
            </w:r>
            <w:r>
              <w:rPr>
                <w:b/>
              </w:rPr>
              <w:t>Strana</w:t>
            </w:r>
            <w:r>
              <w:t>“).</w:t>
            </w:r>
          </w:p>
        </w:tc>
      </w:tr>
      <w:tr w:rsidR="00856425" w14:paraId="7B3DC089" w14:textId="77777777" w:rsidTr="00856425">
        <w:trPr>
          <w:trHeight w:val="540"/>
        </w:trPr>
        <w:tc>
          <w:tcPr>
            <w:tcW w:w="9214" w:type="dxa"/>
            <w:gridSpan w:val="2"/>
            <w:hideMark/>
          </w:tcPr>
          <w:p w14:paraId="6438BF1E" w14:textId="77777777" w:rsidR="00856425" w:rsidRDefault="0085642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Vzhledem k tomu, že:</w:t>
            </w:r>
          </w:p>
          <w:p w14:paraId="7008D895" w14:textId="77777777" w:rsidR="000A433F" w:rsidRDefault="000A433F" w:rsidP="000A433F">
            <w:pPr>
              <w:numPr>
                <w:ilvl w:val="0"/>
                <w:numId w:val="4"/>
              </w:numPr>
              <w:tabs>
                <w:tab w:val="clear" w:pos="567"/>
                <w:tab w:val="num" w:pos="634"/>
              </w:tabs>
              <w:spacing w:before="0" w:line="276" w:lineRule="auto"/>
              <w:ind w:left="639" w:hanging="639"/>
              <w:jc w:val="both"/>
            </w:pPr>
            <w:r>
              <w:t xml:space="preserve">Strany prohlašují, že dne </w:t>
            </w:r>
            <w:r w:rsidR="00D37D81">
              <w:t>20. 1. 2022</w:t>
            </w:r>
            <w:r w:rsidR="00DC5627">
              <w:t xml:space="preserve"> </w:t>
            </w:r>
            <w:r>
              <w:t xml:space="preserve">uzavřely </w:t>
            </w:r>
            <w:r w:rsidR="00C9394B">
              <w:t>smlouvu o zřízení věcných břemen – služebnosti a reálného břemene</w:t>
            </w:r>
            <w:r>
              <w:t xml:space="preserve"> (dále jen „</w:t>
            </w:r>
            <w:r>
              <w:rPr>
                <w:b/>
                <w:bCs/>
              </w:rPr>
              <w:t>Smlouva</w:t>
            </w:r>
            <w:r>
              <w:t xml:space="preserve">“), na jejímž základě </w:t>
            </w:r>
            <w:r w:rsidR="00C9394B">
              <w:t>Povinný jakožto vlastník</w:t>
            </w:r>
            <w:r w:rsidR="00C9394B" w:rsidRPr="00C9394B">
              <w:t xml:space="preserve"> pozemku parc. č. 587/6, v</w:t>
            </w:r>
            <w:r w:rsidR="00C9394B">
              <w:t> k.ú.</w:t>
            </w:r>
            <w:r w:rsidR="00C9394B" w:rsidRPr="00C9394B">
              <w:t xml:space="preserve"> Dejvice, obec Praha, </w:t>
            </w:r>
            <w:r w:rsidR="00C9394B">
              <w:t xml:space="preserve">zapsaného v katastru nemovitostí vedeném </w:t>
            </w:r>
            <w:r w:rsidR="00C9394B" w:rsidRPr="004F6A3B">
              <w:rPr>
                <w:szCs w:val="22"/>
              </w:rPr>
              <w:t>Katastrálním úřadem pro Hlavní město Prahu, Katastrálním pracovištěm Praha</w:t>
            </w:r>
            <w:r w:rsidR="00C9394B">
              <w:rPr>
                <w:szCs w:val="22"/>
              </w:rPr>
              <w:t xml:space="preserve"> (dále jen „</w:t>
            </w:r>
            <w:r w:rsidR="00C9394B" w:rsidRPr="00C9394B">
              <w:rPr>
                <w:b/>
                <w:bCs/>
                <w:szCs w:val="22"/>
              </w:rPr>
              <w:t>Služebný pozemek</w:t>
            </w:r>
            <w:r w:rsidR="00C9394B">
              <w:rPr>
                <w:szCs w:val="22"/>
              </w:rPr>
              <w:t>“),</w:t>
            </w:r>
            <w:r w:rsidR="00C9394B" w:rsidRPr="004F6A3B">
              <w:rPr>
                <w:szCs w:val="22"/>
              </w:rPr>
              <w:t xml:space="preserve"> </w:t>
            </w:r>
            <w:r w:rsidR="00C9394B">
              <w:t xml:space="preserve">zřídil </w:t>
            </w:r>
            <w:r w:rsidR="00957B4A">
              <w:t xml:space="preserve">k tíži Služebného pozemku a </w:t>
            </w:r>
            <w:r w:rsidR="00C9394B">
              <w:t xml:space="preserve">ve prospěch pozemků parc. č. 587/5, parc. č. 588/1 a parc. č. 588/2, v k.ú. Dejvice, obec Praha, zapsaných v katastru nemovitostí vedeném </w:t>
            </w:r>
            <w:r w:rsidR="00C9394B" w:rsidRPr="004F6A3B">
              <w:rPr>
                <w:szCs w:val="22"/>
              </w:rPr>
              <w:t>Katastrálním úřadem pro Hlavní město Prahu, Katastrálním pracovištěm Praha</w:t>
            </w:r>
            <w:r w:rsidR="00950DA8">
              <w:rPr>
                <w:szCs w:val="22"/>
              </w:rPr>
              <w:t xml:space="preserve"> (dále jen „</w:t>
            </w:r>
            <w:r w:rsidR="00950DA8" w:rsidRPr="00950DA8">
              <w:rPr>
                <w:b/>
                <w:bCs/>
                <w:szCs w:val="22"/>
              </w:rPr>
              <w:t>Panující pozemky</w:t>
            </w:r>
            <w:r w:rsidR="00950DA8">
              <w:rPr>
                <w:szCs w:val="22"/>
              </w:rPr>
              <w:t>“)</w:t>
            </w:r>
            <w:r w:rsidR="00C9394B">
              <w:rPr>
                <w:szCs w:val="22"/>
              </w:rPr>
              <w:t>,</w:t>
            </w:r>
            <w:r w:rsidR="00C9394B">
              <w:t xml:space="preserve"> reálné břemeno </w:t>
            </w:r>
            <w:r>
              <w:t>(dále jen „</w:t>
            </w:r>
            <w:r w:rsidR="00C9394B">
              <w:rPr>
                <w:b/>
                <w:bCs/>
              </w:rPr>
              <w:t>Reálné břemeno</w:t>
            </w:r>
            <w:r>
              <w:t>“)</w:t>
            </w:r>
            <w:r w:rsidR="008024F8">
              <w:t xml:space="preserve"> </w:t>
            </w:r>
            <w:r w:rsidR="00C9394B">
              <w:t xml:space="preserve">spočívající </w:t>
            </w:r>
            <w:r w:rsidR="00C9394B" w:rsidRPr="00C9394B">
              <w:t xml:space="preserve">v povinnosti Povinného a každého budoucího vlastníka Služebného pozemku zajistit </w:t>
            </w:r>
            <w:r w:rsidR="00950DA8">
              <w:t>ve lhůtě do 31. 12. 2025 vydání územního rozhodnutí pro umístění stavby na Služebném pozemku splňující v plném rozsahu Podmínku ÚP (jak je tento pojem definován níže) a zahájení takové stavby ve lhůtě do 31. 12. 2029, přičemž</w:t>
            </w:r>
            <w:r w:rsidR="00C9394B" w:rsidRPr="00C9394B">
              <w:t xml:space="preserve"> Oprávněný Reálné břemeno přij</w:t>
            </w:r>
            <w:r w:rsidR="00950DA8">
              <w:t>al.</w:t>
            </w:r>
          </w:p>
          <w:p w14:paraId="1E69C18B" w14:textId="77777777" w:rsidR="004B701D" w:rsidRDefault="004B701D" w:rsidP="004B701D">
            <w:pPr>
              <w:numPr>
                <w:ilvl w:val="0"/>
                <w:numId w:val="4"/>
              </w:numPr>
              <w:tabs>
                <w:tab w:val="clear" w:pos="567"/>
                <w:tab w:val="num" w:pos="634"/>
              </w:tabs>
              <w:spacing w:before="0" w:line="276" w:lineRule="auto"/>
              <w:ind w:left="639" w:hanging="639"/>
              <w:jc w:val="both"/>
            </w:pPr>
            <w:r>
              <w:t>Oprávněný má zájem na Panujících pozemcích vybudovat obchodní a administrativní centrum</w:t>
            </w:r>
            <w:r w:rsidR="0000056B">
              <w:t xml:space="preserve"> (dále jen „</w:t>
            </w:r>
            <w:r w:rsidR="0000056B" w:rsidRPr="0000056B">
              <w:rPr>
                <w:b/>
                <w:bCs/>
              </w:rPr>
              <w:t>Centrum</w:t>
            </w:r>
            <w:r w:rsidR="0000056B">
              <w:t>“)</w:t>
            </w:r>
            <w:r>
              <w:t xml:space="preserve"> specifikované v Kupní smlouvě (jak je tento pojem definován </w:t>
            </w:r>
            <w:r w:rsidR="00957B4A">
              <w:t>níže</w:t>
            </w:r>
            <w:r>
              <w:t xml:space="preserve">), jakožto zájem, který je hoden právní ochrany. Na základě </w:t>
            </w:r>
            <w:r w:rsidR="00957B4A">
              <w:t>výše uvedeného</w:t>
            </w:r>
            <w:r>
              <w:t xml:space="preserve"> uzavřely Strany dne 27. 8. 2021 kupní smlouvu, kterou Povinný převedl na Oprávněného vlastnické právo k Panujícím pozemkům (dále jen „</w:t>
            </w:r>
            <w:r w:rsidRPr="004B701D">
              <w:rPr>
                <w:b/>
                <w:bCs/>
              </w:rPr>
              <w:t>Kupní smlouva</w:t>
            </w:r>
            <w:r>
              <w:t>“).</w:t>
            </w:r>
          </w:p>
          <w:p w14:paraId="5A32BD3F" w14:textId="77777777" w:rsidR="00957B4A" w:rsidRDefault="00957B4A" w:rsidP="004B701D">
            <w:pPr>
              <w:numPr>
                <w:ilvl w:val="0"/>
                <w:numId w:val="4"/>
              </w:numPr>
              <w:tabs>
                <w:tab w:val="clear" w:pos="567"/>
                <w:tab w:val="num" w:pos="634"/>
              </w:tabs>
              <w:spacing w:before="0" w:line="276" w:lineRule="auto"/>
              <w:ind w:left="639" w:hanging="639"/>
              <w:jc w:val="both"/>
            </w:pPr>
            <w:r>
              <w:t>Povinný ve Smlouvě prohlásil, že na Služebném pozemku vybuduje budovu pro své vlastní potřeby, resp. pro vysokoškolské účely (dále jen „</w:t>
            </w:r>
            <w:r w:rsidRPr="00957B4A">
              <w:rPr>
                <w:b/>
                <w:bCs/>
              </w:rPr>
              <w:t>Budova VŠCHT</w:t>
            </w:r>
            <w:r>
              <w:t>“).</w:t>
            </w:r>
          </w:p>
          <w:p w14:paraId="67930C3A" w14:textId="77777777" w:rsidR="000A433F" w:rsidRDefault="00950DA8" w:rsidP="000A433F">
            <w:pPr>
              <w:numPr>
                <w:ilvl w:val="0"/>
                <w:numId w:val="4"/>
              </w:numPr>
              <w:tabs>
                <w:tab w:val="clear" w:pos="567"/>
                <w:tab w:val="num" w:pos="634"/>
              </w:tabs>
              <w:spacing w:before="0" w:line="276" w:lineRule="auto"/>
              <w:ind w:left="639" w:hanging="639"/>
              <w:jc w:val="both"/>
            </w:pPr>
            <w:r>
              <w:t>Reálné břemeno</w:t>
            </w:r>
            <w:r w:rsidR="000A433F">
              <w:t xml:space="preserve"> byl</w:t>
            </w:r>
            <w:r>
              <w:t>o</w:t>
            </w:r>
            <w:r w:rsidR="00FA1D95">
              <w:t xml:space="preserve"> </w:t>
            </w:r>
            <w:r w:rsidR="00957B4A">
              <w:t>S</w:t>
            </w:r>
            <w:r w:rsidR="00FA1D95">
              <w:t>mlouvou</w:t>
            </w:r>
            <w:r w:rsidR="000A433F">
              <w:t xml:space="preserve"> zřízen</w:t>
            </w:r>
            <w:r w:rsidR="00957B4A">
              <w:t>o</w:t>
            </w:r>
            <w:r w:rsidR="000A433F">
              <w:t xml:space="preserve"> jako věcné </w:t>
            </w:r>
            <w:r w:rsidR="000A433F" w:rsidRPr="0000056B">
              <w:t>právo na dobu určitou</w:t>
            </w:r>
            <w:r w:rsidR="00E4336A">
              <w:t xml:space="preserve"> dle čl. V Smlouvy</w:t>
            </w:r>
            <w:r w:rsidR="0000056B" w:rsidRPr="0000056B">
              <w:t xml:space="preserve"> </w:t>
            </w:r>
            <w:r w:rsidR="00E4336A">
              <w:t>(</w:t>
            </w:r>
            <w:r w:rsidR="0000056B" w:rsidRPr="0000056B">
              <w:t>do doby vydání kolaudačního souhlasu ohledně stavby v plném rozsahu splňující Podmínku ÚP (jak je tento pojem definován níže) umístěné na Služebném pozemku, nebo vydání kolaudačního souhlasu ohledně poslední části Centra, podle toho, co nastane dříve</w:t>
            </w:r>
            <w:r w:rsidR="00E4336A">
              <w:t>)</w:t>
            </w:r>
            <w:r w:rsidR="0000056B" w:rsidRPr="0000056B">
              <w:t xml:space="preserve">. Reálné břemeno </w:t>
            </w:r>
            <w:r w:rsidR="000A433F" w:rsidRPr="0000056B">
              <w:t>byl</w:t>
            </w:r>
            <w:r w:rsidR="00957B4A" w:rsidRPr="0000056B">
              <w:t>o</w:t>
            </w:r>
            <w:r w:rsidR="000A433F" w:rsidRPr="0000056B">
              <w:t xml:space="preserve"> zapsán</w:t>
            </w:r>
            <w:r w:rsidR="00957B4A" w:rsidRPr="0000056B">
              <w:t>o</w:t>
            </w:r>
            <w:r w:rsidR="000A433F" w:rsidRPr="0000056B">
              <w:t xml:space="preserve"> do katastru nemovitostí </w:t>
            </w:r>
            <w:r w:rsidR="00FA1D95" w:rsidRPr="00E4336A">
              <w:t xml:space="preserve">pod č.j. </w:t>
            </w:r>
            <w:r w:rsidR="00E4336A" w:rsidRPr="00E4336A">
              <w:t>V-9136/2022-101.</w:t>
            </w:r>
          </w:p>
          <w:p w14:paraId="0F48EDF5" w14:textId="77777777" w:rsidR="00FA1D95" w:rsidRDefault="00950DA8" w:rsidP="000A433F">
            <w:pPr>
              <w:numPr>
                <w:ilvl w:val="0"/>
                <w:numId w:val="4"/>
              </w:numPr>
              <w:tabs>
                <w:tab w:val="clear" w:pos="567"/>
                <w:tab w:val="num" w:pos="634"/>
              </w:tabs>
              <w:spacing w:before="0" w:line="276" w:lineRule="auto"/>
              <w:ind w:left="639" w:hanging="639"/>
              <w:jc w:val="both"/>
            </w:pPr>
            <w:r>
              <w:t xml:space="preserve">Platný </w:t>
            </w:r>
            <w:r w:rsidRPr="004F6A3B">
              <w:rPr>
                <w:szCs w:val="22"/>
              </w:rPr>
              <w:t xml:space="preserve">územní plán hl. m. Prahy stanoví na Panujících pozemcích a Služebném pozemku plovoucí značku ZVS stanovící podmínku umístění zařízení pro vysokoškolské účely na těchto </w:t>
            </w:r>
            <w:r w:rsidRPr="004F6A3B">
              <w:rPr>
                <w:szCs w:val="22"/>
              </w:rPr>
              <w:lastRenderedPageBreak/>
              <w:t>pozemcích (tato podmínka stanovená územním plánem, jakož i jakkoli jinak označená podmínka umístění zařízení pro vysokoškolské účely na Panujících pozemcích a Služebném pozemku stanovená v územně plánovací dokumentaci, která plovoucí značku ZVS závazně nahradí, je dále označována jako „</w:t>
            </w:r>
            <w:r w:rsidRPr="004F6A3B">
              <w:rPr>
                <w:b/>
                <w:szCs w:val="22"/>
              </w:rPr>
              <w:t>Podmínka ÚP</w:t>
            </w:r>
            <w:r w:rsidRPr="004F6A3B">
              <w:rPr>
                <w:szCs w:val="22"/>
              </w:rPr>
              <w:t xml:space="preserve">“). Povinný </w:t>
            </w:r>
            <w:r>
              <w:rPr>
                <w:szCs w:val="22"/>
              </w:rPr>
              <w:t>zároveň ve Smlouvě prohlásil</w:t>
            </w:r>
            <w:r w:rsidRPr="004F6A3B">
              <w:rPr>
                <w:szCs w:val="22"/>
              </w:rPr>
              <w:t>, že učiní vše proto, aby umístěním Budovy VŠCHT na Služebném pozemku byla Podmínka ÚP v plném rozsahu splněna.</w:t>
            </w:r>
          </w:p>
          <w:p w14:paraId="7BDD7E28" w14:textId="77777777" w:rsidR="00856425" w:rsidRDefault="00D72A0F" w:rsidP="00950DA8">
            <w:pPr>
              <w:numPr>
                <w:ilvl w:val="0"/>
                <w:numId w:val="4"/>
              </w:numPr>
              <w:tabs>
                <w:tab w:val="clear" w:pos="567"/>
                <w:tab w:val="num" w:pos="634"/>
              </w:tabs>
              <w:spacing w:before="0" w:line="276" w:lineRule="auto"/>
              <w:ind w:left="639" w:hanging="639"/>
              <w:jc w:val="both"/>
            </w:pPr>
            <w:r>
              <w:t xml:space="preserve">Strany se dohodly na prodloužení doby, </w:t>
            </w:r>
            <w:r w:rsidR="00950DA8">
              <w:t xml:space="preserve">do které se Povinný a každý budoucí vlastník Služebného pozemku zavazuje zajistit vydání územního rozhodnutí pro umístění stavby Budovy VŠCHT na Služebném Pozemku. </w:t>
            </w:r>
            <w:r w:rsidR="00BD66CD">
              <w:t xml:space="preserve">Za </w:t>
            </w:r>
            <w:r w:rsidR="00950DA8">
              <w:t>tímto účelem</w:t>
            </w:r>
            <w:r w:rsidR="00BD66CD">
              <w:t xml:space="preserve"> uzavírají Stran</w:t>
            </w:r>
            <w:r w:rsidR="00427F04">
              <w:t>y</w:t>
            </w:r>
            <w:r w:rsidR="00BD66CD">
              <w:t xml:space="preserve"> tuto Dohodu</w:t>
            </w:r>
            <w:r w:rsidR="008024F8">
              <w:t xml:space="preserve">, kterou mění </w:t>
            </w:r>
            <w:r w:rsidR="00E078EA">
              <w:t>Reálné</w:t>
            </w:r>
            <w:r w:rsidR="00950DA8">
              <w:t xml:space="preserve"> břemeno</w:t>
            </w:r>
            <w:r w:rsidR="008024F8">
              <w:t xml:space="preserve"> způsobem uvedeným níže.</w:t>
            </w:r>
          </w:p>
        </w:tc>
      </w:tr>
      <w:tr w:rsidR="00856425" w14:paraId="795BABDC" w14:textId="77777777" w:rsidTr="00856425">
        <w:trPr>
          <w:trHeight w:val="540"/>
        </w:trPr>
        <w:tc>
          <w:tcPr>
            <w:tcW w:w="9214" w:type="dxa"/>
            <w:gridSpan w:val="2"/>
            <w:hideMark/>
          </w:tcPr>
          <w:p w14:paraId="0B10394A" w14:textId="77777777" w:rsidR="00856425" w:rsidRDefault="0085642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Strany se dohodly na následujícím:</w:t>
            </w:r>
          </w:p>
          <w:p w14:paraId="0872868E" w14:textId="77777777" w:rsidR="00856425" w:rsidRDefault="00856425" w:rsidP="00856425">
            <w:pPr>
              <w:pStyle w:val="Odstavecseseznamem"/>
              <w:numPr>
                <w:ilvl w:val="0"/>
                <w:numId w:val="5"/>
              </w:numPr>
              <w:spacing w:before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Prohlášení </w:t>
            </w:r>
            <w:r w:rsidR="008024F8">
              <w:rPr>
                <w:b/>
                <w:bCs/>
              </w:rPr>
              <w:t>Stran</w:t>
            </w:r>
          </w:p>
          <w:p w14:paraId="2CA0B1AE" w14:textId="77777777" w:rsidR="00856425" w:rsidRDefault="00B22613" w:rsidP="00856425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</w:pPr>
            <w:r>
              <w:t xml:space="preserve">Povinný </w:t>
            </w:r>
            <w:r w:rsidR="00856425">
              <w:t>tímto prohlašuje, že je</w:t>
            </w:r>
            <w:r w:rsidR="008024F8">
              <w:t xml:space="preserve"> ke dni uzavření této Dohody i nadále</w:t>
            </w:r>
            <w:r w:rsidR="00856425">
              <w:t xml:space="preserve"> vlastníkem</w:t>
            </w:r>
            <w:r w:rsidR="008024F8">
              <w:t xml:space="preserve"> </w:t>
            </w:r>
            <w:r>
              <w:t>Služebného pozemku.</w:t>
            </w:r>
          </w:p>
          <w:p w14:paraId="2BCD2D9D" w14:textId="77777777" w:rsidR="00856425" w:rsidRDefault="008024F8" w:rsidP="004B701D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</w:pPr>
            <w:r>
              <w:t xml:space="preserve">Strany dále prohlašují, že zájem Oprávněného </w:t>
            </w:r>
            <w:r w:rsidR="00B60756">
              <w:t xml:space="preserve">na </w:t>
            </w:r>
            <w:r w:rsidR="004B701D">
              <w:t xml:space="preserve">realizaci výstavby </w:t>
            </w:r>
            <w:r w:rsidR="0000056B">
              <w:t>Centra</w:t>
            </w:r>
            <w:r w:rsidR="004B701D">
              <w:t xml:space="preserve"> na Panujících pozemcích, jako zájem, který je hoden právní ochrany, i nadále trvá, není touto Dohodou nijak dotčen a nijak se nemění. Tento zájem bude trvat po celou dobu trvání Reálného břemene, jak je tato doba prodloužena v odst. 2.1 této Dohody. </w:t>
            </w:r>
          </w:p>
        </w:tc>
      </w:tr>
      <w:tr w:rsidR="00856425" w14:paraId="5EC94676" w14:textId="77777777" w:rsidTr="00B65959">
        <w:trPr>
          <w:trHeight w:val="1078"/>
        </w:trPr>
        <w:tc>
          <w:tcPr>
            <w:tcW w:w="9214" w:type="dxa"/>
            <w:gridSpan w:val="2"/>
            <w:hideMark/>
          </w:tcPr>
          <w:p w14:paraId="4CDD103B" w14:textId="77777777" w:rsidR="00856425" w:rsidRDefault="008024F8" w:rsidP="00856425">
            <w:pPr>
              <w:pStyle w:val="Odstavecseseznamem"/>
              <w:numPr>
                <w:ilvl w:val="0"/>
                <w:numId w:val="5"/>
              </w:numPr>
              <w:spacing w:before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Změna </w:t>
            </w:r>
            <w:r w:rsidR="00753E79">
              <w:rPr>
                <w:b/>
                <w:bCs/>
              </w:rPr>
              <w:t>Reálného břemene</w:t>
            </w:r>
          </w:p>
          <w:p w14:paraId="57C48445" w14:textId="77777777" w:rsidR="00856425" w:rsidRDefault="00427F04" w:rsidP="00B65959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</w:pPr>
            <w:r>
              <w:t xml:space="preserve">Strany se dohodly a tímto mění </w:t>
            </w:r>
            <w:r w:rsidR="004B701D">
              <w:t>Reálné břemeno</w:t>
            </w:r>
            <w:r>
              <w:t xml:space="preserve"> </w:t>
            </w:r>
            <w:r w:rsidR="004B701D">
              <w:t xml:space="preserve">(čl. III Smlouvy) </w:t>
            </w:r>
            <w:r>
              <w:t>zřízen</w:t>
            </w:r>
            <w:r w:rsidR="004B701D">
              <w:t>é</w:t>
            </w:r>
            <w:r>
              <w:t xml:space="preserve"> Smlouv</w:t>
            </w:r>
            <w:r w:rsidR="00960D60">
              <w:t xml:space="preserve">ou tak, </w:t>
            </w:r>
            <w:r w:rsidR="00D37D81">
              <w:t xml:space="preserve">lhůta ke splnění </w:t>
            </w:r>
            <w:r w:rsidR="004B701D">
              <w:t>povinnosti Povinného a každého budoucího vlastníka Služebn</w:t>
            </w:r>
            <w:r w:rsidR="00B60756">
              <w:t>é</w:t>
            </w:r>
            <w:r w:rsidR="004B701D">
              <w:t>ho pozemku zajistit rozhodnutí o povolení záměru Budovy VŠCHT na Služebném pozemku</w:t>
            </w:r>
            <w:r w:rsidR="00C40D32">
              <w:t xml:space="preserve"> </w:t>
            </w:r>
            <w:r w:rsidR="00D37D81">
              <w:t>se mění z 31. 12. 2025 na 30. 6. 2028</w:t>
            </w:r>
            <w:r w:rsidR="004B701D">
              <w:t>. Oprávněný Reálné břemeno</w:t>
            </w:r>
            <w:r w:rsidR="00C40D32">
              <w:t xml:space="preserve"> ve znění změny dle předchozí věty</w:t>
            </w:r>
            <w:r w:rsidR="004B701D">
              <w:t xml:space="preserve"> přijímá.</w:t>
            </w:r>
          </w:p>
          <w:p w14:paraId="291326EE" w14:textId="77777777" w:rsidR="00B65959" w:rsidRDefault="005B15B0" w:rsidP="00B65959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</w:pPr>
            <w:r>
              <w:t xml:space="preserve">V rozsahu, ve kterém není ustanovením odst. 2.1 této Dohody </w:t>
            </w:r>
            <w:r w:rsidR="004B701D">
              <w:t>Reálné břemeno dotčeno</w:t>
            </w:r>
            <w:r>
              <w:t xml:space="preserve">, se </w:t>
            </w:r>
            <w:r w:rsidR="004B701D">
              <w:t>Reálné břemeno</w:t>
            </w:r>
            <w:r>
              <w:t xml:space="preserve"> nemění. </w:t>
            </w:r>
          </w:p>
        </w:tc>
      </w:tr>
      <w:tr w:rsidR="00856425" w14:paraId="44666712" w14:textId="77777777" w:rsidTr="00856425">
        <w:trPr>
          <w:trHeight w:val="645"/>
        </w:trPr>
        <w:tc>
          <w:tcPr>
            <w:tcW w:w="9214" w:type="dxa"/>
            <w:gridSpan w:val="2"/>
            <w:hideMark/>
          </w:tcPr>
          <w:p w14:paraId="6AA0FA13" w14:textId="77777777" w:rsidR="00856425" w:rsidRDefault="00856425" w:rsidP="00856425">
            <w:pPr>
              <w:pStyle w:val="Odstavecseseznamem"/>
              <w:numPr>
                <w:ilvl w:val="0"/>
                <w:numId w:val="5"/>
              </w:numPr>
              <w:spacing w:before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Vklad </w:t>
            </w:r>
            <w:r w:rsidR="00427F04">
              <w:rPr>
                <w:b/>
                <w:bCs/>
              </w:rPr>
              <w:t xml:space="preserve">změny </w:t>
            </w:r>
            <w:r w:rsidR="004B701D">
              <w:rPr>
                <w:b/>
                <w:bCs/>
              </w:rPr>
              <w:t>Reálného břemene do katastru nemovitostí</w:t>
            </w:r>
          </w:p>
          <w:p w14:paraId="3CA6A99B" w14:textId="77777777" w:rsidR="00856425" w:rsidRDefault="00856425" w:rsidP="00856425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Strany se zavazují učinit vše potřebné a poskytnout si navzájem veškerou součinnost, aby zápis vkladu </w:t>
            </w:r>
            <w:r w:rsidR="00960D60">
              <w:rPr>
                <w:bCs/>
              </w:rPr>
              <w:t xml:space="preserve">změny </w:t>
            </w:r>
            <w:r w:rsidR="004B701D">
              <w:rPr>
                <w:bCs/>
              </w:rPr>
              <w:t>Reálného břemene</w:t>
            </w:r>
            <w:r>
              <w:rPr>
                <w:bCs/>
              </w:rPr>
              <w:t xml:space="preserve"> do katastru nemovitostí </w:t>
            </w:r>
            <w:r w:rsidR="00960D60">
              <w:rPr>
                <w:bCs/>
              </w:rPr>
              <w:t xml:space="preserve">byl proveden bez zbytečného odkladu po uzavření této Dohody. </w:t>
            </w:r>
            <w:r>
              <w:rPr>
                <w:bCs/>
              </w:rPr>
              <w:t xml:space="preserve">Za tím účelem Strany společně s touto </w:t>
            </w:r>
            <w:r w:rsidR="00960D60">
              <w:rPr>
                <w:bCs/>
              </w:rPr>
              <w:t xml:space="preserve">Dohodou </w:t>
            </w:r>
            <w:r>
              <w:rPr>
                <w:bCs/>
              </w:rPr>
              <w:t>podepíší návrh na vklad</w:t>
            </w:r>
            <w:r w:rsidR="00960D60">
              <w:rPr>
                <w:bCs/>
              </w:rPr>
              <w:t xml:space="preserve"> změny</w:t>
            </w:r>
            <w:r>
              <w:rPr>
                <w:bCs/>
              </w:rPr>
              <w:t xml:space="preserve"> </w:t>
            </w:r>
            <w:r w:rsidR="004B701D">
              <w:rPr>
                <w:bCs/>
              </w:rPr>
              <w:t xml:space="preserve">Reálného břemene </w:t>
            </w:r>
            <w:r>
              <w:rPr>
                <w:bCs/>
              </w:rPr>
              <w:t xml:space="preserve">dle této </w:t>
            </w:r>
            <w:r w:rsidR="00960D60">
              <w:rPr>
                <w:bCs/>
              </w:rPr>
              <w:t>Dohody</w:t>
            </w:r>
            <w:r>
              <w:rPr>
                <w:bCs/>
              </w:rPr>
              <w:t xml:space="preserve"> do katastru nemovitostí. </w:t>
            </w:r>
          </w:p>
          <w:p w14:paraId="60C57F11" w14:textId="77777777" w:rsidR="00856425" w:rsidRDefault="00856425" w:rsidP="00856425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V případě, že katastrální úřad řízení zastaví, vklad zamítne, či vyzve Strany k doplnění návrhu, zavazují se Strany poskytnout si bez zbytečného odkladu potřebnou součinnost k tomu, aby vklad </w:t>
            </w:r>
            <w:r w:rsidR="00B65959">
              <w:rPr>
                <w:bCs/>
              </w:rPr>
              <w:t xml:space="preserve">změny </w:t>
            </w:r>
            <w:r w:rsidR="004B701D">
              <w:rPr>
                <w:bCs/>
              </w:rPr>
              <w:t>Reálného břemene</w:t>
            </w:r>
            <w:r>
              <w:rPr>
                <w:bCs/>
              </w:rPr>
              <w:t xml:space="preserve"> mohl být úspěšně proveden, a to ať již dle této </w:t>
            </w:r>
            <w:r w:rsidR="00B65959">
              <w:rPr>
                <w:bCs/>
              </w:rPr>
              <w:t xml:space="preserve">Dohody </w:t>
            </w:r>
            <w:r>
              <w:rPr>
                <w:bCs/>
              </w:rPr>
              <w:t xml:space="preserve">nebo </w:t>
            </w:r>
            <w:r w:rsidR="00B65959">
              <w:rPr>
                <w:bCs/>
              </w:rPr>
              <w:t xml:space="preserve">dohody </w:t>
            </w:r>
            <w:r>
              <w:rPr>
                <w:bCs/>
              </w:rPr>
              <w:t>nové s odstraněním případně vytýkaného nedostatku, avšak zakládající práva a povinnosti stejného rozsahu.</w:t>
            </w:r>
          </w:p>
          <w:p w14:paraId="13A88E43" w14:textId="77777777" w:rsidR="00856425" w:rsidRPr="00B65959" w:rsidRDefault="00856425" w:rsidP="00B65959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  <w:rPr>
                <w:bCs/>
              </w:rPr>
            </w:pPr>
            <w:r>
              <w:rPr>
                <w:bCs/>
              </w:rPr>
              <w:t>Správní poplatek za</w:t>
            </w:r>
            <w:r w:rsidR="00B65959">
              <w:rPr>
                <w:bCs/>
              </w:rPr>
              <w:t xml:space="preserve"> vkladové</w:t>
            </w:r>
            <w:r>
              <w:rPr>
                <w:bCs/>
              </w:rPr>
              <w:t xml:space="preserve"> řízení uhradí Oprávněný.</w:t>
            </w:r>
          </w:p>
        </w:tc>
      </w:tr>
      <w:tr w:rsidR="00856425" w14:paraId="310984E9" w14:textId="77777777" w:rsidTr="00856425">
        <w:trPr>
          <w:trHeight w:val="540"/>
        </w:trPr>
        <w:tc>
          <w:tcPr>
            <w:tcW w:w="9214" w:type="dxa"/>
            <w:gridSpan w:val="2"/>
            <w:hideMark/>
          </w:tcPr>
          <w:p w14:paraId="278D095D" w14:textId="77777777" w:rsidR="00856425" w:rsidRDefault="00856425" w:rsidP="00856425">
            <w:pPr>
              <w:pStyle w:val="Odstavecseseznamem"/>
              <w:numPr>
                <w:ilvl w:val="0"/>
                <w:numId w:val="5"/>
              </w:numPr>
              <w:spacing w:before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Závěrečná ustanovení</w:t>
            </w:r>
          </w:p>
          <w:p w14:paraId="68ACF6DF" w14:textId="77777777" w:rsidR="00856425" w:rsidRDefault="00856425" w:rsidP="00856425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</w:pPr>
            <w:r>
              <w:t xml:space="preserve">Tato </w:t>
            </w:r>
            <w:r w:rsidR="00B65959">
              <w:t>Dohoda</w:t>
            </w:r>
            <w:r w:rsidR="000C3811">
              <w:t xml:space="preserve"> nabývá platnosti </w:t>
            </w:r>
            <w:r>
              <w:t xml:space="preserve"> podpisem oběma Stranami.</w:t>
            </w:r>
          </w:p>
          <w:p w14:paraId="4E87AACB" w14:textId="77777777" w:rsidR="00856425" w:rsidRDefault="00856425" w:rsidP="00856425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</w:pPr>
            <w:r>
              <w:t xml:space="preserve">Tato </w:t>
            </w:r>
            <w:r w:rsidR="00B65959">
              <w:t>Dohoda</w:t>
            </w:r>
            <w:r>
              <w:t xml:space="preserve"> se řídí právem České republiky. Spory vznikající z této </w:t>
            </w:r>
            <w:r w:rsidR="00642C0A">
              <w:t>Dohody</w:t>
            </w:r>
            <w:r>
              <w:t xml:space="preserve"> nebo v souvislosti s ní budou rozhodovány pří</w:t>
            </w:r>
            <w:r w:rsidR="00FA7F98">
              <w:t>slušnými soudy České republiky.</w:t>
            </w:r>
          </w:p>
          <w:p w14:paraId="45B00929" w14:textId="77777777" w:rsidR="00856425" w:rsidRDefault="00856425" w:rsidP="00856425">
            <w:pPr>
              <w:pStyle w:val="Odstavecseseznamem"/>
              <w:numPr>
                <w:ilvl w:val="1"/>
                <w:numId w:val="5"/>
              </w:numPr>
              <w:spacing w:before="0" w:line="276" w:lineRule="auto"/>
              <w:jc w:val="both"/>
            </w:pPr>
            <w:r>
              <w:lastRenderedPageBreak/>
              <w:t xml:space="preserve">Tato </w:t>
            </w:r>
            <w:r w:rsidR="00B65959">
              <w:t>Dohoda</w:t>
            </w:r>
            <w:r>
              <w:t xml:space="preserve"> je vyhotovena ve </w:t>
            </w:r>
            <w:r w:rsidR="00DC5627">
              <w:t xml:space="preserve">třech </w:t>
            </w:r>
            <w:r>
              <w:t xml:space="preserve">stejnopisech. Každá ze Stran obdrží po jednom stejnopise a jeden stejnopis bude tvořit přílohu návrhu na vklad </w:t>
            </w:r>
            <w:r w:rsidR="00B65959">
              <w:t xml:space="preserve">změny </w:t>
            </w:r>
            <w:r w:rsidR="00753E79">
              <w:t>Reálného břemene</w:t>
            </w:r>
            <w:r>
              <w:t xml:space="preserve"> v katastru nemovitostí.</w:t>
            </w:r>
          </w:p>
          <w:p w14:paraId="0D5C3474" w14:textId="3837607A" w:rsidR="004B701D" w:rsidRDefault="004B701D" w:rsidP="00703508">
            <w:pPr>
              <w:pStyle w:val="Odstavecseseznamem"/>
              <w:numPr>
                <w:ilvl w:val="1"/>
                <w:numId w:val="5"/>
              </w:numPr>
              <w:jc w:val="both"/>
            </w:pPr>
            <w:r w:rsidRPr="004B701D">
              <w:t xml:space="preserve">Povinný prohlašuje, že uzavření </w:t>
            </w:r>
            <w:r w:rsidR="00703508">
              <w:t>této Dohody</w:t>
            </w:r>
            <w:r w:rsidRPr="004B701D">
              <w:t xml:space="preserve"> bylo řádně schváleno (předem a písemně) Správní radou Povinného ve smyslu ustanovení § 15 odst. 1 písm. </w:t>
            </w:r>
            <w:r w:rsidR="008F40E7">
              <w:t>c</w:t>
            </w:r>
            <w:r w:rsidRPr="004B701D">
              <w:t xml:space="preserve">) zákona č. 111/1998 Sb., o vysokých školách, ve znění pozdějších předpisů, dne </w:t>
            </w:r>
            <w:r w:rsidR="008F40E7">
              <w:t>23. července 2025</w:t>
            </w:r>
            <w:r w:rsidRPr="004B701D">
              <w:t xml:space="preserve">, a že tento předchozí písemný souhlas byl řádně doručen Odboru vysokých škol Ministerstva školství, mládeže a tělovýchovy České republiky dne </w:t>
            </w:r>
            <w:r w:rsidR="008F40E7">
              <w:t>23. července 2025.</w:t>
            </w:r>
          </w:p>
          <w:p w14:paraId="2554EF5A" w14:textId="77777777" w:rsidR="00912FF2" w:rsidRPr="004B701D" w:rsidRDefault="00912FF2" w:rsidP="00703508">
            <w:pPr>
              <w:pStyle w:val="Odstavecseseznamem"/>
              <w:numPr>
                <w:ilvl w:val="1"/>
                <w:numId w:val="5"/>
              </w:numPr>
              <w:jc w:val="both"/>
            </w:pPr>
            <w:r>
              <w:t>Tato Dohoda podléhá uveřejnění v registru smluv podle zákona č. 340/2015 Sb., o registru smluv.</w:t>
            </w:r>
            <w:r w:rsidR="00567E10">
              <w:t xml:space="preserve"> Dnem uveřejnění zároveň tato Dohoda nabývá účinnosti.</w:t>
            </w:r>
          </w:p>
          <w:p w14:paraId="466F25CA" w14:textId="77777777" w:rsidR="0009145B" w:rsidRPr="00197712" w:rsidRDefault="0009145B" w:rsidP="00197712">
            <w:pPr>
              <w:pStyle w:val="Odstavecseseznamem"/>
              <w:spacing w:before="0" w:line="276" w:lineRule="auto"/>
              <w:ind w:left="360"/>
              <w:jc w:val="center"/>
              <w:rPr>
                <w:i/>
              </w:rPr>
            </w:pPr>
          </w:p>
        </w:tc>
      </w:tr>
      <w:tr w:rsidR="00FA7F98" w:rsidRPr="00FA7F98" w14:paraId="75FF6548" w14:textId="77777777" w:rsidTr="00FA7F98">
        <w:trPr>
          <w:trHeight w:val="540"/>
        </w:trPr>
        <w:tc>
          <w:tcPr>
            <w:tcW w:w="4607" w:type="dxa"/>
          </w:tcPr>
          <w:p w14:paraId="553C9FE8" w14:textId="77777777" w:rsidR="00FA7F98" w:rsidRPr="00FA7F98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11CF6924" w14:textId="77777777" w:rsidR="00FA7F98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  <w:r w:rsidRPr="00FA7F98">
              <w:rPr>
                <w:bCs/>
              </w:rPr>
              <w:t>V</w:t>
            </w:r>
            <w:r>
              <w:rPr>
                <w:bCs/>
              </w:rPr>
              <w:t> </w:t>
            </w:r>
            <w:r w:rsidR="00703508">
              <w:rPr>
                <w:bCs/>
              </w:rPr>
              <w:t>Praze</w:t>
            </w:r>
            <w:r>
              <w:rPr>
                <w:bCs/>
              </w:rPr>
              <w:t xml:space="preserve"> dne ………</w:t>
            </w:r>
            <w:r w:rsidR="00703508">
              <w:rPr>
                <w:bCs/>
              </w:rPr>
              <w:t>. 2025</w:t>
            </w:r>
            <w:r>
              <w:rPr>
                <w:bCs/>
              </w:rPr>
              <w:t xml:space="preserve"> </w:t>
            </w:r>
          </w:p>
          <w:p w14:paraId="5D014618" w14:textId="77777777" w:rsidR="00FA7F98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14EAF385" w14:textId="77777777" w:rsidR="00703508" w:rsidRDefault="0070350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148CDEE8" w14:textId="77777777" w:rsidR="00FA7F98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7B50167C" w14:textId="77777777" w:rsidR="00FA7F98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</w:t>
            </w:r>
          </w:p>
          <w:p w14:paraId="4A7B99B1" w14:textId="77777777" w:rsidR="00703508" w:rsidRDefault="00703508" w:rsidP="00B65959">
            <w:pPr>
              <w:spacing w:before="0" w:after="0" w:line="276" w:lineRule="auto"/>
              <w:jc w:val="both"/>
            </w:pPr>
            <w:r w:rsidRPr="00703508">
              <w:t>Vysoká škola chemicko-technologická v Praze</w:t>
            </w:r>
          </w:p>
          <w:p w14:paraId="02C404E1" w14:textId="6CCD6BC0" w:rsidR="00FA7F98" w:rsidRPr="00FA7F98" w:rsidRDefault="00FB3439" w:rsidP="00B65959">
            <w:pPr>
              <w:spacing w:before="0" w:after="0" w:line="276" w:lineRule="auto"/>
              <w:jc w:val="both"/>
              <w:rPr>
                <w:bCs/>
              </w:rPr>
            </w:pPr>
            <w:r>
              <w:t>xxxxx</w:t>
            </w:r>
          </w:p>
        </w:tc>
        <w:tc>
          <w:tcPr>
            <w:tcW w:w="4607" w:type="dxa"/>
            <w:tcBorders>
              <w:left w:val="nil"/>
            </w:tcBorders>
          </w:tcPr>
          <w:p w14:paraId="34FBDC98" w14:textId="77777777" w:rsidR="00FA7F98" w:rsidRPr="00B65959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3D4A772E" w14:textId="77777777" w:rsidR="00FA7F98" w:rsidRPr="00B65959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  <w:r w:rsidRPr="00B65959">
              <w:rPr>
                <w:bCs/>
              </w:rPr>
              <w:t>V </w:t>
            </w:r>
            <w:r w:rsidR="00703508">
              <w:rPr>
                <w:bCs/>
              </w:rPr>
              <w:t>Praze</w:t>
            </w:r>
            <w:r w:rsidRPr="00B65959">
              <w:rPr>
                <w:bCs/>
              </w:rPr>
              <w:t xml:space="preserve"> dne ………</w:t>
            </w:r>
            <w:r w:rsidR="00703508">
              <w:rPr>
                <w:bCs/>
              </w:rPr>
              <w:t xml:space="preserve"> 2025</w:t>
            </w:r>
          </w:p>
          <w:p w14:paraId="6CCB06E3" w14:textId="77777777" w:rsidR="00FA7F98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43D410E0" w14:textId="77777777" w:rsidR="00703508" w:rsidRPr="00B65959" w:rsidRDefault="0070350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3998361F" w14:textId="77777777" w:rsidR="00FA7F98" w:rsidRPr="00B65959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1F610773" w14:textId="77777777" w:rsidR="00FA7F98" w:rsidRPr="00B65959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  <w:r w:rsidRPr="00B65959">
              <w:rPr>
                <w:bCs/>
              </w:rPr>
              <w:t>____________________________</w:t>
            </w:r>
          </w:p>
          <w:p w14:paraId="6867857D" w14:textId="77777777" w:rsidR="00703508" w:rsidRDefault="00703508" w:rsidP="00B65959">
            <w:pPr>
              <w:spacing w:before="0" w:after="0" w:line="276" w:lineRule="auto"/>
              <w:jc w:val="both"/>
              <w:rPr>
                <w:bCs/>
              </w:rPr>
            </w:pPr>
            <w:r w:rsidRPr="00703508">
              <w:rPr>
                <w:bCs/>
              </w:rPr>
              <w:t>Fourth Quadrant s.r.o.</w:t>
            </w:r>
          </w:p>
          <w:p w14:paraId="66790DE2" w14:textId="0DA97236" w:rsidR="00837459" w:rsidRPr="00B65959" w:rsidRDefault="00FB3439" w:rsidP="00B65959">
            <w:pPr>
              <w:spacing w:before="0" w:after="0" w:line="276" w:lineRule="auto"/>
              <w:jc w:val="both"/>
              <w:rPr>
                <w:bCs/>
              </w:rPr>
            </w:pPr>
            <w:r>
              <w:t>xxxxx</w:t>
            </w:r>
          </w:p>
          <w:p w14:paraId="4D169282" w14:textId="77777777" w:rsidR="00837459" w:rsidRPr="00B65959" w:rsidRDefault="00837459" w:rsidP="00B65959">
            <w:pPr>
              <w:tabs>
                <w:tab w:val="left" w:pos="1755"/>
              </w:tabs>
              <w:spacing w:before="0" w:after="0" w:line="276" w:lineRule="auto"/>
              <w:jc w:val="both"/>
              <w:rPr>
                <w:bCs/>
              </w:rPr>
            </w:pPr>
            <w:r w:rsidRPr="00B65959">
              <w:rPr>
                <w:bCs/>
              </w:rPr>
              <w:t>jednate</w:t>
            </w:r>
            <w:r w:rsidR="00B65959">
              <w:rPr>
                <w:bCs/>
              </w:rPr>
              <w:t xml:space="preserve">l </w:t>
            </w:r>
            <w:r w:rsidR="00703508">
              <w:rPr>
                <w:bCs/>
              </w:rPr>
              <w:t>B</w:t>
            </w:r>
          </w:p>
        </w:tc>
      </w:tr>
      <w:tr w:rsidR="00FA7F98" w:rsidRPr="00FA7F98" w14:paraId="10B92D1F" w14:textId="77777777" w:rsidTr="00442E9C">
        <w:trPr>
          <w:trHeight w:val="540"/>
        </w:trPr>
        <w:tc>
          <w:tcPr>
            <w:tcW w:w="4607" w:type="dxa"/>
          </w:tcPr>
          <w:p w14:paraId="61DD761D" w14:textId="77777777" w:rsidR="00FA7F98" w:rsidRPr="00FA7F98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0809133A" w14:textId="77777777" w:rsidR="00FA7F98" w:rsidRPr="00FA7F98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</w:tc>
        <w:tc>
          <w:tcPr>
            <w:tcW w:w="4607" w:type="dxa"/>
            <w:tcBorders>
              <w:left w:val="nil"/>
            </w:tcBorders>
          </w:tcPr>
          <w:p w14:paraId="5F333FA2" w14:textId="77777777" w:rsidR="00FA7F98" w:rsidRPr="00B65959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4C1D0018" w14:textId="77777777" w:rsidR="00FA7F98" w:rsidRPr="00B65959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0F99752F" w14:textId="77777777" w:rsidR="00FA7F98" w:rsidRPr="00B65959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</w:p>
          <w:p w14:paraId="0D314519" w14:textId="77777777" w:rsidR="00FA7F98" w:rsidRPr="00B65959" w:rsidRDefault="00FA7F98" w:rsidP="00B65959">
            <w:pPr>
              <w:spacing w:before="0" w:after="0" w:line="276" w:lineRule="auto"/>
              <w:jc w:val="both"/>
              <w:rPr>
                <w:bCs/>
              </w:rPr>
            </w:pPr>
            <w:r w:rsidRPr="00B65959">
              <w:rPr>
                <w:bCs/>
              </w:rPr>
              <w:t>____________________________</w:t>
            </w:r>
          </w:p>
          <w:p w14:paraId="36348C53" w14:textId="77777777" w:rsidR="00703508" w:rsidRDefault="00703508" w:rsidP="00703508">
            <w:pPr>
              <w:spacing w:before="0" w:after="0" w:line="276" w:lineRule="auto"/>
              <w:jc w:val="both"/>
              <w:rPr>
                <w:bCs/>
              </w:rPr>
            </w:pPr>
            <w:r w:rsidRPr="00703508">
              <w:rPr>
                <w:bCs/>
              </w:rPr>
              <w:t>Fourth Quadrant s.r.o.</w:t>
            </w:r>
          </w:p>
          <w:p w14:paraId="18F8277E" w14:textId="22213C7A" w:rsidR="00837459" w:rsidRPr="00B65959" w:rsidRDefault="00FB3439" w:rsidP="00B65959">
            <w:pPr>
              <w:spacing w:before="0" w:after="0" w:line="276" w:lineRule="auto"/>
              <w:jc w:val="both"/>
              <w:rPr>
                <w:bCs/>
              </w:rPr>
            </w:pPr>
            <w:r>
              <w:rPr>
                <w:bCs/>
              </w:rPr>
              <w:t>xxxxx</w:t>
            </w:r>
          </w:p>
          <w:p w14:paraId="030FD05D" w14:textId="77777777" w:rsidR="00837459" w:rsidRPr="00B65959" w:rsidRDefault="00837459" w:rsidP="00B65959">
            <w:pPr>
              <w:spacing w:before="0" w:after="0" w:line="276" w:lineRule="auto"/>
              <w:jc w:val="both"/>
              <w:rPr>
                <w:bCs/>
              </w:rPr>
            </w:pPr>
            <w:r w:rsidRPr="00B65959">
              <w:rPr>
                <w:bCs/>
              </w:rPr>
              <w:t>jednatel</w:t>
            </w:r>
            <w:r w:rsidR="00B65959">
              <w:rPr>
                <w:bCs/>
              </w:rPr>
              <w:t xml:space="preserve"> </w:t>
            </w:r>
            <w:r w:rsidR="00703508">
              <w:rPr>
                <w:bCs/>
              </w:rPr>
              <w:t>C</w:t>
            </w:r>
          </w:p>
        </w:tc>
      </w:tr>
      <w:tr w:rsidR="00197712" w:rsidRPr="00FA7F98" w14:paraId="33115B94" w14:textId="77777777" w:rsidTr="00442E9C">
        <w:trPr>
          <w:trHeight w:val="540"/>
        </w:trPr>
        <w:tc>
          <w:tcPr>
            <w:tcW w:w="4607" w:type="dxa"/>
          </w:tcPr>
          <w:p w14:paraId="2B04AD9F" w14:textId="77777777" w:rsidR="00197712" w:rsidRPr="00FA7F98" w:rsidRDefault="00197712" w:rsidP="00442E9C">
            <w:pPr>
              <w:spacing w:before="0" w:line="276" w:lineRule="auto"/>
              <w:jc w:val="both"/>
              <w:rPr>
                <w:bCs/>
              </w:rPr>
            </w:pPr>
          </w:p>
        </w:tc>
        <w:tc>
          <w:tcPr>
            <w:tcW w:w="4607" w:type="dxa"/>
            <w:tcBorders>
              <w:left w:val="nil"/>
            </w:tcBorders>
          </w:tcPr>
          <w:p w14:paraId="6D856F72" w14:textId="77777777" w:rsidR="00197712" w:rsidRDefault="00197712" w:rsidP="00442E9C">
            <w:pPr>
              <w:spacing w:before="0" w:line="276" w:lineRule="auto"/>
              <w:jc w:val="both"/>
              <w:rPr>
                <w:bCs/>
              </w:rPr>
            </w:pPr>
          </w:p>
        </w:tc>
      </w:tr>
    </w:tbl>
    <w:p w14:paraId="3BF31DA6" w14:textId="77777777" w:rsidR="00FB2EEF" w:rsidRDefault="00FB2EEF" w:rsidP="00E21356">
      <w:pPr>
        <w:pStyle w:val="Zkladntext"/>
      </w:pPr>
    </w:p>
    <w:sectPr w:rsidR="00FB2EEF" w:rsidSect="007C7603">
      <w:footerReference w:type="default" r:id="rId7"/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5D66" w14:textId="77777777" w:rsidR="00F84660" w:rsidRDefault="00F84660" w:rsidP="00E21356">
      <w:r>
        <w:separator/>
      </w:r>
    </w:p>
  </w:endnote>
  <w:endnote w:type="continuationSeparator" w:id="0">
    <w:p w14:paraId="50529AC0" w14:textId="77777777" w:rsidR="00F84660" w:rsidRDefault="00F84660" w:rsidP="00E2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"/>
      <w:docPartObj>
        <w:docPartGallery w:val="Page Numbers (Bottom of Page)"/>
        <w:docPartUnique/>
      </w:docPartObj>
    </w:sdtPr>
    <w:sdtEndPr>
      <w:rPr>
        <w:rStyle w:val="ZkladntextChar"/>
        <w:rFonts w:ascii="Arial" w:hAnsi="Arial"/>
        <w:lang w:eastAsia="cs-CZ"/>
      </w:rPr>
    </w:sdtEndPr>
    <w:sdtContent>
      <w:p w14:paraId="238AAB53" w14:textId="32956F0B" w:rsidR="00E21356" w:rsidRPr="00E21356" w:rsidRDefault="00861DD7">
        <w:pPr>
          <w:pStyle w:val="Zpat"/>
          <w:rPr>
            <w:rStyle w:val="ZkladntextChar"/>
          </w:rPr>
        </w:pPr>
        <w:r w:rsidRPr="00E21356">
          <w:rPr>
            <w:rStyle w:val="ZkladntextChar"/>
          </w:rPr>
          <w:fldChar w:fldCharType="begin"/>
        </w:r>
        <w:r w:rsidR="00E21356" w:rsidRPr="00E21356">
          <w:rPr>
            <w:rStyle w:val="ZkladntextChar"/>
          </w:rPr>
          <w:instrText>PAGE   \* MERGEFORMAT</w:instrText>
        </w:r>
        <w:r w:rsidRPr="00E21356">
          <w:rPr>
            <w:rStyle w:val="ZkladntextChar"/>
          </w:rPr>
          <w:fldChar w:fldCharType="separate"/>
        </w:r>
        <w:r w:rsidR="00D10893">
          <w:rPr>
            <w:rStyle w:val="ZkladntextChar"/>
            <w:noProof/>
          </w:rPr>
          <w:t>3</w:t>
        </w:r>
        <w:r w:rsidRPr="00E21356">
          <w:rPr>
            <w:rStyle w:val="Zkladntext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0153" w14:textId="77777777" w:rsidR="00F84660" w:rsidRDefault="00F84660" w:rsidP="00E21356">
      <w:r>
        <w:separator/>
      </w:r>
    </w:p>
  </w:footnote>
  <w:footnote w:type="continuationSeparator" w:id="0">
    <w:p w14:paraId="60562253" w14:textId="77777777" w:rsidR="00F84660" w:rsidRDefault="00F84660" w:rsidP="00E2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26EA"/>
    <w:multiLevelType w:val="multilevel"/>
    <w:tmpl w:val="0448A58E"/>
    <w:lvl w:ilvl="0">
      <w:start w:val="1"/>
      <w:numFmt w:val="upperLetter"/>
      <w:pStyle w:val="Nadpi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D9F70B8"/>
    <w:multiLevelType w:val="multilevel"/>
    <w:tmpl w:val="42ECBA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80" w:hanging="45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1342E8"/>
    <w:multiLevelType w:val="hybridMultilevel"/>
    <w:tmpl w:val="18C0CB20"/>
    <w:lvl w:ilvl="0" w:tplc="27EE5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B4379"/>
    <w:multiLevelType w:val="hybridMultilevel"/>
    <w:tmpl w:val="D9E24458"/>
    <w:lvl w:ilvl="0" w:tplc="5382073A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BE1CB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E4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AE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29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41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25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87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9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65"/>
    <w:rsid w:val="0000056B"/>
    <w:rsid w:val="00063838"/>
    <w:rsid w:val="00063D1F"/>
    <w:rsid w:val="0009145B"/>
    <w:rsid w:val="000A433F"/>
    <w:rsid w:val="000B039D"/>
    <w:rsid w:val="000C3811"/>
    <w:rsid w:val="000D1724"/>
    <w:rsid w:val="000E649A"/>
    <w:rsid w:val="000F7F0B"/>
    <w:rsid w:val="001318CC"/>
    <w:rsid w:val="00195304"/>
    <w:rsid w:val="00197712"/>
    <w:rsid w:val="00266955"/>
    <w:rsid w:val="00284187"/>
    <w:rsid w:val="002F4BAC"/>
    <w:rsid w:val="00320C05"/>
    <w:rsid w:val="00344215"/>
    <w:rsid w:val="003749CE"/>
    <w:rsid w:val="00377333"/>
    <w:rsid w:val="00384195"/>
    <w:rsid w:val="003A0AF4"/>
    <w:rsid w:val="0040625F"/>
    <w:rsid w:val="00426FFF"/>
    <w:rsid w:val="00427F04"/>
    <w:rsid w:val="00465586"/>
    <w:rsid w:val="0049096D"/>
    <w:rsid w:val="004B3775"/>
    <w:rsid w:val="004B701D"/>
    <w:rsid w:val="00542C75"/>
    <w:rsid w:val="00567E10"/>
    <w:rsid w:val="00582EB1"/>
    <w:rsid w:val="00592063"/>
    <w:rsid w:val="0059471A"/>
    <w:rsid w:val="005B15B0"/>
    <w:rsid w:val="005B3F59"/>
    <w:rsid w:val="005B45AE"/>
    <w:rsid w:val="005B5BD2"/>
    <w:rsid w:val="005B6417"/>
    <w:rsid w:val="00633665"/>
    <w:rsid w:val="00633935"/>
    <w:rsid w:val="00642C0A"/>
    <w:rsid w:val="006E43CF"/>
    <w:rsid w:val="006F61C9"/>
    <w:rsid w:val="00703508"/>
    <w:rsid w:val="00752720"/>
    <w:rsid w:val="00753E79"/>
    <w:rsid w:val="007C216B"/>
    <w:rsid w:val="007C7603"/>
    <w:rsid w:val="008024F8"/>
    <w:rsid w:val="00837459"/>
    <w:rsid w:val="00840979"/>
    <w:rsid w:val="00856425"/>
    <w:rsid w:val="00861DD7"/>
    <w:rsid w:val="008724B5"/>
    <w:rsid w:val="008C21C2"/>
    <w:rsid w:val="008F40E7"/>
    <w:rsid w:val="009129CD"/>
    <w:rsid w:val="00912FF2"/>
    <w:rsid w:val="009311E3"/>
    <w:rsid w:val="00950DA8"/>
    <w:rsid w:val="00957B4A"/>
    <w:rsid w:val="00960D60"/>
    <w:rsid w:val="009706D1"/>
    <w:rsid w:val="00982FB9"/>
    <w:rsid w:val="009D0BF0"/>
    <w:rsid w:val="00A2668F"/>
    <w:rsid w:val="00A50E63"/>
    <w:rsid w:val="00A51A90"/>
    <w:rsid w:val="00A9043C"/>
    <w:rsid w:val="00AA7038"/>
    <w:rsid w:val="00AC4FC8"/>
    <w:rsid w:val="00AC55DD"/>
    <w:rsid w:val="00AC5EBA"/>
    <w:rsid w:val="00B025B1"/>
    <w:rsid w:val="00B22613"/>
    <w:rsid w:val="00B52563"/>
    <w:rsid w:val="00B60756"/>
    <w:rsid w:val="00B6552B"/>
    <w:rsid w:val="00B65959"/>
    <w:rsid w:val="00B70848"/>
    <w:rsid w:val="00B70BF9"/>
    <w:rsid w:val="00B81FC6"/>
    <w:rsid w:val="00B97330"/>
    <w:rsid w:val="00BD66CD"/>
    <w:rsid w:val="00BE6B80"/>
    <w:rsid w:val="00BF40A1"/>
    <w:rsid w:val="00C064B2"/>
    <w:rsid w:val="00C40D32"/>
    <w:rsid w:val="00C84F72"/>
    <w:rsid w:val="00C91F8D"/>
    <w:rsid w:val="00C9394B"/>
    <w:rsid w:val="00CA50A1"/>
    <w:rsid w:val="00CB6115"/>
    <w:rsid w:val="00CE0FD9"/>
    <w:rsid w:val="00D03F73"/>
    <w:rsid w:val="00D10893"/>
    <w:rsid w:val="00D146A4"/>
    <w:rsid w:val="00D37D81"/>
    <w:rsid w:val="00D70A93"/>
    <w:rsid w:val="00D72A0F"/>
    <w:rsid w:val="00D74AF9"/>
    <w:rsid w:val="00DC5627"/>
    <w:rsid w:val="00E078EA"/>
    <w:rsid w:val="00E200BE"/>
    <w:rsid w:val="00E21356"/>
    <w:rsid w:val="00E4336A"/>
    <w:rsid w:val="00E537F1"/>
    <w:rsid w:val="00EB0ADF"/>
    <w:rsid w:val="00F605D7"/>
    <w:rsid w:val="00F84660"/>
    <w:rsid w:val="00F861C6"/>
    <w:rsid w:val="00FA1D95"/>
    <w:rsid w:val="00FA7F98"/>
    <w:rsid w:val="00FB2EEF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C6F88"/>
  <w15:docId w15:val="{7A42EAF9-FD6E-4386-B987-300D9EC2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425"/>
    <w:pPr>
      <w:spacing w:before="120" w:after="120" w:line="240" w:lineRule="auto"/>
    </w:pPr>
    <w:rPr>
      <w:rFonts w:ascii="Times New Roman" w:hAnsi="Times New Roman" w:cs="Times New Roman"/>
      <w:szCs w:val="20"/>
    </w:rPr>
  </w:style>
  <w:style w:type="paragraph" w:styleId="Nadpis1">
    <w:name w:val="heading 1"/>
    <w:basedOn w:val="Normln"/>
    <w:next w:val="Zkladntextodsazen"/>
    <w:link w:val="Nadpis1Char"/>
    <w:qFormat/>
    <w:rsid w:val="00C84F72"/>
    <w:pPr>
      <w:keepNext/>
      <w:numPr>
        <w:numId w:val="2"/>
      </w:numPr>
      <w:spacing w:before="240" w:after="200"/>
      <w:outlineLvl w:val="0"/>
    </w:pPr>
    <w:rPr>
      <w:b/>
      <w:szCs w:val="22"/>
    </w:rPr>
  </w:style>
  <w:style w:type="paragraph" w:styleId="Nadpis2">
    <w:name w:val="heading 2"/>
    <w:basedOn w:val="Nadpis1"/>
    <w:next w:val="Normln"/>
    <w:link w:val="Nadpis2Char"/>
    <w:qFormat/>
    <w:rsid w:val="00C84F72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link w:val="Nadpis3Char"/>
    <w:qFormat/>
    <w:rsid w:val="00C84F72"/>
    <w:pPr>
      <w:keepNext/>
      <w:spacing w:before="20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4F7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Adresa">
    <w:name w:val="Adresa"/>
    <w:basedOn w:val="Zkladntext"/>
    <w:rsid w:val="00C84F72"/>
    <w:pPr>
      <w:spacing w:after="80"/>
      <w:ind w:left="5103"/>
      <w:jc w:val="left"/>
    </w:pPr>
  </w:style>
  <w:style w:type="paragraph" w:customStyle="1" w:styleId="Adresa2">
    <w:name w:val="Adresa 2"/>
    <w:basedOn w:val="Adresa"/>
    <w:next w:val="Adresa"/>
    <w:rsid w:val="00C84F72"/>
    <w:pPr>
      <w:pBdr>
        <w:bottom w:val="single" w:sz="4" w:space="6" w:color="auto"/>
      </w:pBdr>
      <w:spacing w:after="120"/>
    </w:pPr>
  </w:style>
  <w:style w:type="character" w:customStyle="1" w:styleId="Nadpis1Char">
    <w:name w:val="Nadpis 1 Char"/>
    <w:basedOn w:val="Standardnpsmoodstavce"/>
    <w:link w:val="Nadpis1"/>
    <w:rsid w:val="00C84F72"/>
    <w:rPr>
      <w:rFonts w:ascii="Arial" w:eastAsia="Times New Roman" w:hAnsi="Arial" w:cs="Times New Roman"/>
      <w:b/>
      <w:lang w:eastAsia="cs-CZ"/>
    </w:rPr>
  </w:style>
  <w:style w:type="paragraph" w:styleId="Zkladntextodsazen">
    <w:name w:val="Body Text Indent"/>
    <w:basedOn w:val="Zkladntext"/>
    <w:link w:val="ZkladntextodsazenChar"/>
    <w:rsid w:val="00C84F72"/>
    <w:pPr>
      <w:ind w:firstLine="567"/>
    </w:pPr>
  </w:style>
  <w:style w:type="character" w:customStyle="1" w:styleId="ZkladntextodsazenChar">
    <w:name w:val="Základní text odsazený Char"/>
    <w:basedOn w:val="Standardnpsmoodstavce"/>
    <w:link w:val="Zkladntextodsazen"/>
    <w:rsid w:val="00C84F72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F72"/>
    <w:rPr>
      <w:rFonts w:ascii="Arial" w:eastAsia="Times New Roman" w:hAnsi="Arial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rsid w:val="00C84F72"/>
    <w:rPr>
      <w:rFonts w:ascii="Arial" w:eastAsia="Times New Roman" w:hAnsi="Arial" w:cs="Times New Roman"/>
      <w:szCs w:val="20"/>
      <w:lang w:eastAsia="cs-CZ"/>
    </w:rPr>
  </w:style>
  <w:style w:type="paragraph" w:styleId="Podpis">
    <w:name w:val="Signature"/>
    <w:basedOn w:val="Zkladntext"/>
    <w:next w:val="Zkladntext"/>
    <w:link w:val="PodpisChar"/>
    <w:rsid w:val="00C84F72"/>
    <w:pPr>
      <w:tabs>
        <w:tab w:val="center" w:pos="5670"/>
      </w:tabs>
      <w:spacing w:before="800"/>
      <w:jc w:val="left"/>
    </w:pPr>
  </w:style>
  <w:style w:type="character" w:customStyle="1" w:styleId="PodpisChar">
    <w:name w:val="Podpis Char"/>
    <w:basedOn w:val="Standardnpsmoodstavce"/>
    <w:link w:val="Podpis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Pedmt">
    <w:name w:val="Předmět"/>
    <w:basedOn w:val="Zkladntext"/>
    <w:next w:val="Zkladntext"/>
    <w:rsid w:val="00C84F72"/>
    <w:pPr>
      <w:spacing w:after="360"/>
      <w:ind w:left="851" w:hanging="851"/>
      <w:jc w:val="left"/>
    </w:pPr>
    <w:rPr>
      <w:b/>
      <w:spacing w:val="10"/>
      <w:szCs w:val="22"/>
    </w:rPr>
  </w:style>
  <w:style w:type="paragraph" w:customStyle="1" w:styleId="Plohy">
    <w:name w:val="Přílohy"/>
    <w:basedOn w:val="Zkladntext"/>
    <w:rsid w:val="00C84F72"/>
    <w:pPr>
      <w:tabs>
        <w:tab w:val="left" w:pos="1134"/>
        <w:tab w:val="left" w:pos="1418"/>
      </w:tabs>
      <w:spacing w:after="40"/>
    </w:pPr>
  </w:style>
  <w:style w:type="paragraph" w:styleId="Zhlav">
    <w:name w:val="header"/>
    <w:basedOn w:val="Normln"/>
    <w:link w:val="ZhlavChar"/>
    <w:rsid w:val="00C84F72"/>
  </w:style>
  <w:style w:type="character" w:customStyle="1" w:styleId="ZhlavChar">
    <w:name w:val="Záhlaví Char"/>
    <w:basedOn w:val="Standardnpsmoodstavce"/>
    <w:link w:val="Zhlav"/>
    <w:rsid w:val="00C84F72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4F7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C84F7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naka">
    <w:name w:val="Značka"/>
    <w:basedOn w:val="Zkladntext"/>
    <w:next w:val="Adresa"/>
    <w:rsid w:val="00C84F72"/>
    <w:rPr>
      <w:i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6425"/>
    <w:pPr>
      <w:ind w:left="708"/>
    </w:pPr>
  </w:style>
  <w:style w:type="paragraph" w:customStyle="1" w:styleId="RecitalsCtrlShiftRE">
    <w:name w:val="Recitals (CtrlShift R+E)"/>
    <w:rsid w:val="00856425"/>
    <w:pPr>
      <w:numPr>
        <w:numId w:val="3"/>
      </w:numPr>
      <w:spacing w:after="140" w:line="288" w:lineRule="auto"/>
      <w:jc w:val="both"/>
    </w:pPr>
    <w:rPr>
      <w:rFonts w:ascii="Verdana" w:hAnsi="Verdana" w:cs="Times New Roman"/>
      <w:kern w:val="20"/>
      <w:sz w:val="18"/>
      <w:szCs w:val="24"/>
      <w:lang w:val="en-GB"/>
    </w:rPr>
  </w:style>
  <w:style w:type="character" w:customStyle="1" w:styleId="platne1">
    <w:name w:val="platne1"/>
    <w:basedOn w:val="Standardnpsmoodstavce"/>
    <w:rsid w:val="00856425"/>
  </w:style>
  <w:style w:type="paragraph" w:styleId="Revize">
    <w:name w:val="Revision"/>
    <w:hidden/>
    <w:uiPriority w:val="99"/>
    <w:semiHidden/>
    <w:rsid w:val="00B97330"/>
    <w:pPr>
      <w:spacing w:after="0" w:line="240" w:lineRule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WORD\Prazdny%20dokumen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Prazdny dokument.dotx</Template>
  <TotalTime>31</TotalTime>
  <Pages>3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a spol.</dc:creator>
  <cp:lastModifiedBy>Maurerova Marketa</cp:lastModifiedBy>
  <cp:revision>4</cp:revision>
  <cp:lastPrinted>2025-05-28T15:00:00Z</cp:lastPrinted>
  <dcterms:created xsi:type="dcterms:W3CDTF">2025-08-12T11:34:00Z</dcterms:created>
  <dcterms:modified xsi:type="dcterms:W3CDTF">2025-08-12T12:04:00Z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df191977-e8e5-424e-813b-9223276f23f7</vt:lpwstr>
  </property>
  <property fmtid="{D5CDD505-2E9C-101B-9397-08002B2CF9AE}" pid="3" name="PraetorDocumentNumber">
    <vt:lpwstr>27639714</vt:lpwstr>
  </property>
  <property fmtid="{D5CDD505-2E9C-101B-9397-08002B2CF9AE}" pid="4" name="PraetorDocumentBarCode">
    <vt:lpwstr>27639714</vt:lpwstr>
  </property>
</Properties>
</file>