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002C5AB2" w14:textId="77777777" w:rsidR="006135FA" w:rsidRDefault="006135FA" w:rsidP="00330437">
      <w:pPr>
        <w:pStyle w:val="Styl2popisknzvusmlouvy"/>
      </w:pPr>
      <w:r>
        <w:t xml:space="preserve"> (dále jen „Smlouva“)</w:t>
      </w:r>
    </w:p>
    <w:p w14:paraId="40A02087" w14:textId="4161DE51"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w:t>
      </w:r>
      <w:r w:rsidR="003B7122">
        <w:t> </w:t>
      </w:r>
      <w:r w:rsidR="00CD13D1">
        <w:t>znění pozdějších předpisů</w:t>
      </w:r>
      <w:r w:rsidR="000B305B">
        <w:t xml:space="preserve"> (dále jen „Zákon“)</w:t>
      </w:r>
    </w:p>
    <w:p w14:paraId="5A0CA7EB" w14:textId="2C682B89" w:rsidR="006135FA" w:rsidRPr="003B7122" w:rsidRDefault="006135FA" w:rsidP="00330437">
      <w:pPr>
        <w:pStyle w:val="Styl2popisknzvusmlouvy"/>
        <w:spacing w:after="480"/>
        <w:rPr>
          <w:b/>
        </w:rPr>
      </w:pPr>
      <w:r w:rsidRPr="003B7122">
        <w:rPr>
          <w:b/>
        </w:rPr>
        <w:t xml:space="preserve">č.j. </w:t>
      </w:r>
      <w:r w:rsidR="003B7122" w:rsidRPr="003B7122">
        <w:rPr>
          <w:b/>
        </w:rPr>
        <w:t>S/0011/2025</w:t>
      </w:r>
    </w:p>
    <w:p w14:paraId="704B6A46" w14:textId="77777777" w:rsidR="00A42175" w:rsidRPr="00B772DD" w:rsidRDefault="00A42175" w:rsidP="00A42175">
      <w:pPr>
        <w:pStyle w:val="Styl3-Smluvnstranytun"/>
        <w:rPr>
          <w:highlight w:val="yellow"/>
        </w:rPr>
      </w:pPr>
      <w:r w:rsidRPr="00B772DD">
        <w:t xml:space="preserve">Obchodní akademie, Vyšší odborná škola a Jazyková škola s právem státní jazykové zkoušky Uherské Hradiště </w:t>
      </w:r>
    </w:p>
    <w:p w14:paraId="1838E868" w14:textId="77777777" w:rsidR="00A42175" w:rsidRDefault="00A42175" w:rsidP="00A42175">
      <w:pPr>
        <w:pStyle w:val="Styl3-Smluvnstranytun"/>
        <w:rPr>
          <w:b w:val="0"/>
        </w:rPr>
      </w:pPr>
      <w:r>
        <w:rPr>
          <w:b w:val="0"/>
        </w:rPr>
        <w:t xml:space="preserve">Sídlo: </w:t>
      </w:r>
      <w:r w:rsidRPr="00B772DD">
        <w:rPr>
          <w:b w:val="0"/>
        </w:rPr>
        <w:t>Nádražní 22, 686 01 Uherské Hradiště</w:t>
      </w:r>
    </w:p>
    <w:p w14:paraId="5A38A3B0" w14:textId="77777777" w:rsidR="00A42175" w:rsidRPr="00B772DD" w:rsidRDefault="00A42175" w:rsidP="00A42175">
      <w:pPr>
        <w:pStyle w:val="Styl3-Smluvnstranytun"/>
        <w:rPr>
          <w:b w:val="0"/>
        </w:rPr>
      </w:pPr>
      <w:r>
        <w:rPr>
          <w:b w:val="0"/>
        </w:rPr>
        <w:t xml:space="preserve">IČO: </w:t>
      </w:r>
      <w:r w:rsidRPr="00B772DD">
        <w:rPr>
          <w:b w:val="0"/>
        </w:rPr>
        <w:t>60371731</w:t>
      </w:r>
    </w:p>
    <w:p w14:paraId="49EC82D5" w14:textId="77777777" w:rsidR="00A42175" w:rsidRPr="00B772DD" w:rsidRDefault="00A42175" w:rsidP="00A42175">
      <w:pPr>
        <w:pStyle w:val="Styl3-Smluvnstranytun"/>
        <w:rPr>
          <w:b w:val="0"/>
        </w:rPr>
      </w:pPr>
      <w:r w:rsidRPr="00B772DD">
        <w:rPr>
          <w:b w:val="0"/>
        </w:rPr>
        <w:t>DIČ: CZ60371731</w:t>
      </w:r>
    </w:p>
    <w:p w14:paraId="116414CD" w14:textId="77777777" w:rsidR="00A42175" w:rsidRDefault="00A42175" w:rsidP="00A42175">
      <w:pPr>
        <w:pStyle w:val="Styl3-Smluvnstrany"/>
      </w:pPr>
      <w:r w:rsidRPr="00B772DD">
        <w:t>zastoupený: Mgr. Marek Machalík, ředitel školy</w:t>
      </w:r>
    </w:p>
    <w:p w14:paraId="477EB3C5" w14:textId="77777777" w:rsidR="00A42175" w:rsidRDefault="00A42175" w:rsidP="00A42175">
      <w:pPr>
        <w:pStyle w:val="Styl3-Smluvnstrany"/>
      </w:pPr>
      <w:r>
        <w:t xml:space="preserve">bankovní spojení: Komerční banka a.s., č. </w:t>
      </w:r>
      <w:proofErr w:type="spellStart"/>
      <w:r>
        <w:t>ú.</w:t>
      </w:r>
      <w:proofErr w:type="spellEnd"/>
      <w:r>
        <w:t xml:space="preserve"> </w:t>
      </w:r>
      <w:r w:rsidRPr="00B772DD">
        <w:t>5558970287/0100</w:t>
      </w:r>
    </w:p>
    <w:p w14:paraId="62C3685A" w14:textId="77777777" w:rsidR="00A42175" w:rsidRDefault="00A42175" w:rsidP="00A42175">
      <w:pPr>
        <w:pStyle w:val="Styl3-Smluvnstrany"/>
      </w:pPr>
      <w:r>
        <w:t xml:space="preserve">ID datové schránky: </w:t>
      </w:r>
      <w:r w:rsidRPr="00B772DD">
        <w:t>q8gv352</w:t>
      </w:r>
    </w:p>
    <w:p w14:paraId="7D873216" w14:textId="77777777" w:rsidR="00A42175" w:rsidRDefault="00A42175" w:rsidP="003B7122">
      <w:pPr>
        <w:pStyle w:val="Styl3-Smluvnstrany"/>
        <w:spacing w:after="120"/>
      </w:pPr>
      <w:r>
        <w:t>(dále jen „Kupující“)</w:t>
      </w:r>
    </w:p>
    <w:p w14:paraId="2F15C836" w14:textId="77777777" w:rsidR="00ED33DA" w:rsidRDefault="00ED33DA" w:rsidP="00ED33DA">
      <w:r>
        <w:t>a</w:t>
      </w:r>
    </w:p>
    <w:p w14:paraId="71AE95DB" w14:textId="77777777" w:rsidR="006135FA" w:rsidRPr="003B7122" w:rsidRDefault="006135FA" w:rsidP="003B7122">
      <w:pPr>
        <w:rPr>
          <w:sz w:val="12"/>
        </w:rPr>
      </w:pPr>
    </w:p>
    <w:p w14:paraId="0A492D72" w14:textId="77777777" w:rsidR="001D67D0" w:rsidRDefault="001D67D0" w:rsidP="003B7122">
      <w:pPr>
        <w:pStyle w:val="Styl3-Smluvnstrany"/>
        <w:spacing w:after="0"/>
        <w:rPr>
          <w:b/>
        </w:rPr>
      </w:pPr>
      <w:r w:rsidRPr="008728C2">
        <w:rPr>
          <w:b/>
        </w:rPr>
        <w:t xml:space="preserve">OCC s.r.o. </w:t>
      </w:r>
    </w:p>
    <w:p w14:paraId="346137EB" w14:textId="77777777" w:rsidR="001D67D0" w:rsidRDefault="001D67D0" w:rsidP="001D67D0">
      <w:pPr>
        <w:pStyle w:val="Styl3-Smluvnstrany"/>
      </w:pPr>
      <w:r>
        <w:t xml:space="preserve">Sídlo: </w:t>
      </w:r>
      <w:r w:rsidRPr="008728C2">
        <w:t>Lidická 198/68, 323 00 Plzeň-Bolevec</w:t>
      </w:r>
    </w:p>
    <w:p w14:paraId="10AB137B" w14:textId="77777777" w:rsidR="001D67D0" w:rsidRDefault="001D67D0" w:rsidP="001D67D0">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E1718BF" w14:textId="77777777" w:rsidR="001D67D0" w:rsidRDefault="001D67D0" w:rsidP="001D67D0">
      <w:pPr>
        <w:pStyle w:val="Styl3-Smluvnstrany"/>
      </w:pPr>
      <w:r>
        <w:t>zastoupená:</w:t>
      </w:r>
      <w:r w:rsidRPr="008728C2">
        <w:t xml:space="preserve"> Jan Toman, zplnomocněný zástupce jednatele</w:t>
      </w:r>
    </w:p>
    <w:p w14:paraId="271D20AB" w14:textId="77777777" w:rsidR="001D67D0" w:rsidRDefault="001D67D0" w:rsidP="001D67D0">
      <w:pPr>
        <w:pStyle w:val="Styl3-Smluvnstrany"/>
      </w:pPr>
      <w:r>
        <w:t xml:space="preserve">IČO: </w:t>
      </w:r>
      <w:r w:rsidRPr="008728C2">
        <w:t>27970922</w:t>
      </w:r>
    </w:p>
    <w:p w14:paraId="237B0C53" w14:textId="77777777" w:rsidR="001D67D0" w:rsidRDefault="001D67D0" w:rsidP="001D67D0">
      <w:pPr>
        <w:pStyle w:val="Styl3-Smluvnstrany"/>
      </w:pPr>
      <w:r>
        <w:t>DIČ: CZ</w:t>
      </w:r>
      <w:r w:rsidRPr="008728C2">
        <w:t>27970922</w:t>
      </w:r>
    </w:p>
    <w:p w14:paraId="42949B94" w14:textId="77777777" w:rsidR="001D67D0" w:rsidRDefault="001D67D0" w:rsidP="001D67D0">
      <w:pPr>
        <w:pStyle w:val="Styl3-Smluvnstrany"/>
      </w:pPr>
      <w:r>
        <w:t xml:space="preserve">bankovní spojení: </w:t>
      </w:r>
      <w:r w:rsidRPr="008728C2">
        <w:t>Raiffeisenbank a.s.</w:t>
      </w:r>
      <w:r>
        <w:t xml:space="preserve">, </w:t>
      </w:r>
      <w:r w:rsidRPr="008728C2">
        <w:t>2583258001/5500</w:t>
      </w:r>
    </w:p>
    <w:p w14:paraId="5A2144EC" w14:textId="77777777" w:rsidR="001D67D0" w:rsidRDefault="001D67D0" w:rsidP="001D67D0">
      <w:pPr>
        <w:pStyle w:val="Styl3-Smluvnstrany"/>
      </w:pPr>
      <w:r>
        <w:t xml:space="preserve">ID datové schránky: </w:t>
      </w:r>
      <w:r w:rsidRPr="008728C2">
        <w:t>vpdrhy8</w:t>
      </w:r>
      <w:r>
        <w:t xml:space="preserve"> </w:t>
      </w:r>
    </w:p>
    <w:p w14:paraId="495DE880" w14:textId="77777777" w:rsidR="001D67D0" w:rsidRDefault="001D67D0" w:rsidP="001D67D0">
      <w:pPr>
        <w:pStyle w:val="Styl3-Smluvnstrany"/>
      </w:pPr>
      <w:r>
        <w:t>(dále jen „Prodávající“)</w:t>
      </w:r>
    </w:p>
    <w:p w14:paraId="507B6620" w14:textId="77777777" w:rsidR="006135FA" w:rsidRDefault="006135FA" w:rsidP="00F8331E">
      <w:pPr>
        <w:pStyle w:val="Styl3-Smluvnstrany"/>
      </w:pPr>
    </w:p>
    <w:p w14:paraId="2909BA0F" w14:textId="67D94DC8"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1689CD39" w14:textId="77777777" w:rsidR="003B7122" w:rsidRDefault="003B7122" w:rsidP="007E1039">
      <w:pPr>
        <w:pStyle w:val="Styl3-Smluvnstrany"/>
        <w:jc w:val="center"/>
      </w:pP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68ED57CD"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44E30D5" w14:textId="77777777" w:rsidR="003B7122" w:rsidRPr="003B7122" w:rsidRDefault="003B7122" w:rsidP="003B7122"/>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4D678111" w:rsidR="007C5ED4" w:rsidRDefault="002A6F32" w:rsidP="007C5ED4">
      <w:pPr>
        <w:pStyle w:val="Nadpis3"/>
        <w:ind w:left="1077" w:hanging="357"/>
        <w:rPr>
          <w:lang w:eastAsia="en-US"/>
        </w:rPr>
      </w:pPr>
      <w:r>
        <w:rPr>
          <w:b/>
          <w:lang w:eastAsia="en-US"/>
        </w:rPr>
        <w:t>Počítač I</w:t>
      </w:r>
      <w:r w:rsidR="00C93AF3">
        <w:rPr>
          <w:b/>
          <w:lang w:eastAsia="en-US"/>
        </w:rPr>
        <w:t xml:space="preserve"> </w:t>
      </w:r>
      <w:proofErr w:type="spellStart"/>
      <w:r w:rsidR="001D67D0" w:rsidRPr="00DA6575">
        <w:rPr>
          <w:iCs/>
          <w:lang w:eastAsia="en-US"/>
        </w:rPr>
        <w:t>Lenovo</w:t>
      </w:r>
      <w:proofErr w:type="spellEnd"/>
      <w:r w:rsidR="001D67D0" w:rsidRPr="00DA6575">
        <w:rPr>
          <w:iCs/>
          <w:lang w:eastAsia="en-US"/>
        </w:rPr>
        <w:t xml:space="preserve"> </w:t>
      </w:r>
      <w:proofErr w:type="spellStart"/>
      <w:r w:rsidR="001D67D0" w:rsidRPr="00DA6575">
        <w:rPr>
          <w:iCs/>
          <w:lang w:eastAsia="en-US"/>
        </w:rPr>
        <w:t>ThinkCentre</w:t>
      </w:r>
      <w:proofErr w:type="spellEnd"/>
      <w:r w:rsidR="001D67D0" w:rsidRPr="00DA6575">
        <w:rPr>
          <w:iCs/>
          <w:lang w:eastAsia="en-US"/>
        </w:rPr>
        <w:t xml:space="preserve"> M75s_Gen5 12T9</w:t>
      </w:r>
      <w:r w:rsidR="001D67D0">
        <w:rPr>
          <w:i/>
          <w:lang w:eastAsia="en-US"/>
        </w:rPr>
        <w:t xml:space="preserve"> </w:t>
      </w:r>
      <w:r w:rsidR="007C5ED4">
        <w:rPr>
          <w:lang w:eastAsia="en-US"/>
        </w:rPr>
        <w:t xml:space="preserve">v množství </w:t>
      </w:r>
      <w:r w:rsidR="00A42175" w:rsidRPr="00A42175">
        <w:rPr>
          <w:lang w:eastAsia="en-US"/>
        </w:rPr>
        <w:t>34</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624B0B32" w14:textId="42CA134F" w:rsidR="0006399F" w:rsidRDefault="00DD0D04" w:rsidP="0006399F">
      <w:pPr>
        <w:pStyle w:val="Nadpis3"/>
        <w:rPr>
          <w:lang w:eastAsia="en-US"/>
        </w:rPr>
      </w:pPr>
      <w:r>
        <w:rPr>
          <w:b/>
          <w:lang w:eastAsia="en-US"/>
        </w:rPr>
        <w:lastRenderedPageBreak/>
        <w:t>M</w:t>
      </w:r>
      <w:r w:rsidR="0006399F">
        <w:rPr>
          <w:b/>
          <w:lang w:eastAsia="en-US"/>
        </w:rPr>
        <w:t>onitor</w:t>
      </w:r>
      <w:r w:rsidR="0006399F" w:rsidRPr="007C5ED4">
        <w:rPr>
          <w:b/>
          <w:lang w:eastAsia="en-US"/>
        </w:rPr>
        <w:t xml:space="preserve"> </w:t>
      </w:r>
      <w:r w:rsidR="0006399F" w:rsidRPr="003D7298">
        <w:rPr>
          <w:b/>
          <w:lang w:eastAsia="en-US"/>
        </w:rPr>
        <w:t>I</w:t>
      </w:r>
      <w:r w:rsidR="0006399F" w:rsidRPr="00C93AF3">
        <w:rPr>
          <w:lang w:eastAsia="en-US"/>
        </w:rPr>
        <w:t xml:space="preserve"> </w:t>
      </w:r>
      <w:r w:rsidR="001D67D0" w:rsidRPr="001D67D0">
        <w:rPr>
          <w:lang w:eastAsia="en-US"/>
        </w:rPr>
        <w:t>AOC LCD 24E3QAF 23,8” IPS / 1920x1080</w:t>
      </w:r>
      <w:r w:rsidR="0006399F" w:rsidRPr="007C5ED4">
        <w:rPr>
          <w:lang w:eastAsia="en-US"/>
        </w:rPr>
        <w:t xml:space="preserve"> v množství </w:t>
      </w:r>
      <w:r w:rsidR="00A42175" w:rsidRPr="00A42175">
        <w:rPr>
          <w:lang w:eastAsia="en-US"/>
        </w:rPr>
        <w:t>21</w:t>
      </w:r>
      <w:r w:rsidR="0006399F" w:rsidRPr="007C5ED4">
        <w:rPr>
          <w:lang w:eastAsia="en-US"/>
        </w:rPr>
        <w:t xml:space="preserve"> ks podle technické specifikace uvedené v Příloze č. 1 této Smlouvy</w:t>
      </w:r>
      <w:r w:rsidR="0006399F">
        <w:rPr>
          <w:lang w:eastAsia="en-US"/>
        </w:rPr>
        <w:t>,</w:t>
      </w:r>
    </w:p>
    <w:p w14:paraId="52CF0148" w14:textId="4503BA93" w:rsidR="00C93AF3" w:rsidRPr="00C93AF3" w:rsidRDefault="00DD0D04" w:rsidP="002A6F32">
      <w:pPr>
        <w:pStyle w:val="Nadpis3"/>
        <w:rPr>
          <w:lang w:eastAsia="en-US"/>
        </w:rPr>
      </w:pPr>
      <w:r>
        <w:rPr>
          <w:b/>
          <w:lang w:eastAsia="en-US"/>
        </w:rPr>
        <w:t>P</w:t>
      </w:r>
      <w:r w:rsidR="005D0E98">
        <w:rPr>
          <w:b/>
          <w:lang w:eastAsia="en-US"/>
        </w:rPr>
        <w:t xml:space="preserve">říslušenství II </w:t>
      </w:r>
      <w:r w:rsidR="005D0E98" w:rsidRPr="005D0E98">
        <w:rPr>
          <w:lang w:eastAsia="en-US"/>
        </w:rPr>
        <w:t xml:space="preserve">v množství </w:t>
      </w:r>
      <w:r w:rsidR="00A42175" w:rsidRPr="00A42175">
        <w:rPr>
          <w:lang w:eastAsia="en-US"/>
        </w:rPr>
        <w:t>34</w:t>
      </w:r>
      <w:r w:rsidR="005D0E98" w:rsidRPr="005D0E98">
        <w:rPr>
          <w:lang w:eastAsia="en-US"/>
        </w:rPr>
        <w:t xml:space="preserve"> ks podle technické specifikace uvedené v Příloze č. 1 této Smlouvy</w:t>
      </w:r>
      <w:r w:rsidR="00C93AF3" w:rsidRPr="00C93AF3">
        <w:rPr>
          <w:lang w:eastAsia="en-US"/>
        </w:rPr>
        <w:t>.</w:t>
      </w:r>
    </w:p>
    <w:p w14:paraId="6A711274" w14:textId="776A0550" w:rsidR="006135FA"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a že veškeré součásti Předmětu koupě specifikované v Příloze č. 1 této Smlouvy budou nové a nepoužité.</w:t>
      </w:r>
    </w:p>
    <w:p w14:paraId="395ABC0F" w14:textId="77777777" w:rsidR="003B7122" w:rsidRPr="003B7122" w:rsidRDefault="003B7122" w:rsidP="003B7122">
      <w:pPr>
        <w:rPr>
          <w:lang w:eastAsia="en-US"/>
        </w:rPr>
      </w:pPr>
    </w:p>
    <w:p w14:paraId="0EDDCA2E" w14:textId="3B19806E" w:rsidR="006135FA" w:rsidRDefault="00A42175" w:rsidP="00FD2054">
      <w:pPr>
        <w:pStyle w:val="Nadpis1"/>
        <w:ind w:left="3904"/>
        <w:jc w:val="left"/>
      </w:pPr>
      <w:r>
        <w:t xml:space="preserve"> </w:t>
      </w:r>
      <w:r w:rsidR="006135FA">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5AEF78C4" w:rsidR="000A4C0F" w:rsidRDefault="000A4C0F" w:rsidP="00083F89">
      <w:pPr>
        <w:pStyle w:val="Nadpis2"/>
        <w:tabs>
          <w:tab w:val="num" w:pos="576"/>
        </w:tabs>
        <w:ind w:left="786"/>
      </w:pPr>
      <w:r w:rsidRPr="000A4C0F">
        <w:t>Předmět koupě může být dodán po částech s tím, že Předmět koupě musí být vždy dodán ve</w:t>
      </w:r>
      <w:r w:rsidR="00A42175">
        <w:t> </w:t>
      </w:r>
      <w:r w:rsidRPr="000A4C0F">
        <w:t xml:space="preserve">formě funkčních celků. Pro odstranění nejasností se uvádí, že funkční celek tvoří Předmět koupě uvedený v čl. II. </w:t>
      </w:r>
      <w:r w:rsidR="0006399F">
        <w:t xml:space="preserve">odst. 1 písm. a), b) </w:t>
      </w:r>
      <w:r w:rsidR="00AF6917">
        <w:t>a</w:t>
      </w:r>
      <w:r>
        <w:t xml:space="preserve"> c)</w:t>
      </w:r>
      <w:r w:rsidR="008C3C00">
        <w:t xml:space="preserve"> </w:t>
      </w:r>
      <w:r w:rsidRPr="000A4C0F">
        <w:t>této Smlouvy. Výjimkou z</w:t>
      </w:r>
      <w:r w:rsidR="00A42175">
        <w:t> </w:t>
      </w:r>
      <w:r w:rsidRPr="000A4C0F">
        <w:t>pravidla podle tohoto odstavce jsou případy, kdy dodání funkčního celku není možné z</w:t>
      </w:r>
      <w:r w:rsidR="00A42175">
        <w:t> </w:t>
      </w:r>
      <w:r w:rsidRPr="000A4C0F">
        <w:t>důvodu neodpovídajícího množství jednotlivých částí Předmětu koupě nebo pokud tak Kupující stanovil v Příloze č. 2 Smlouvy</w:t>
      </w:r>
      <w:r>
        <w:t>.</w:t>
      </w:r>
    </w:p>
    <w:p w14:paraId="2FF8D0AB" w14:textId="77777777" w:rsidR="003B7122" w:rsidRPr="003B7122" w:rsidRDefault="003B7122" w:rsidP="003B7122"/>
    <w:p w14:paraId="361CEA3A" w14:textId="77777777" w:rsidR="006135FA" w:rsidRPr="007E1039" w:rsidRDefault="006135FA" w:rsidP="00CC2EDD">
      <w:pPr>
        <w:pStyle w:val="Nadpis1"/>
        <w:ind w:left="3901" w:hanging="357"/>
        <w:jc w:val="left"/>
      </w:pPr>
      <w:r w:rsidRPr="007E1039">
        <w:t>Cena a platební podmínky</w:t>
      </w:r>
    </w:p>
    <w:p w14:paraId="0E527EE7" w14:textId="7D879704"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AF6917" w:rsidRPr="00AF6917">
        <w:rPr>
          <w:b/>
        </w:rPr>
        <w:t>346 840,00 Kč</w:t>
      </w:r>
      <w:r w:rsidR="00AF6917">
        <w:t xml:space="preserve"> </w:t>
      </w:r>
      <w:r w:rsidR="00FB3DC2" w:rsidRPr="00AF6917">
        <w:rPr>
          <w:b/>
        </w:rPr>
        <w:t>(</w:t>
      </w:r>
      <w:r w:rsidR="00AF6917" w:rsidRPr="00AF6917">
        <w:rPr>
          <w:b/>
          <w:lang w:eastAsia="en-US"/>
        </w:rPr>
        <w:t xml:space="preserve">slovy: </w:t>
      </w:r>
      <w:proofErr w:type="spellStart"/>
      <w:proofErr w:type="gramStart"/>
      <w:r w:rsidR="00AF6917" w:rsidRPr="00AF6917">
        <w:rPr>
          <w:b/>
          <w:lang w:eastAsia="en-US"/>
        </w:rPr>
        <w:t>třistačtyřicetšesttisícosmsetčtyřicetkorunčeských</w:t>
      </w:r>
      <w:proofErr w:type="spellEnd"/>
      <w:r w:rsidR="00FB3DC2" w:rsidRPr="00AF6917">
        <w:rPr>
          <w:b/>
          <w:lang w:eastAsia="en-US"/>
        </w:rPr>
        <w:t>)</w:t>
      </w:r>
      <w:r w:rsidRPr="00AF6917">
        <w:rPr>
          <w:b/>
          <w:lang w:eastAsia="en-US"/>
        </w:rPr>
        <w:t xml:space="preserve"> </w:t>
      </w:r>
      <w:r>
        <w:rPr>
          <w:szCs w:val="24"/>
          <w:lang w:eastAsia="en-US"/>
        </w:rPr>
        <w:t xml:space="preserve"> </w:t>
      </w:r>
      <w:r w:rsidRPr="00D3792F">
        <w:rPr>
          <w:szCs w:val="24"/>
          <w:u w:val="single"/>
          <w:lang w:eastAsia="en-US"/>
        </w:rPr>
        <w:t>nezvýšenou</w:t>
      </w:r>
      <w:proofErr w:type="gramEnd"/>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55FF8FC3"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tbl>
      <w:tblPr>
        <w:tblW w:w="9497" w:type="dxa"/>
        <w:tblInd w:w="132" w:type="dxa"/>
        <w:tblCellMar>
          <w:left w:w="70" w:type="dxa"/>
          <w:right w:w="70" w:type="dxa"/>
        </w:tblCellMar>
        <w:tblLook w:val="04A0" w:firstRow="1" w:lastRow="0" w:firstColumn="1" w:lastColumn="0" w:noHBand="0" w:noVBand="1"/>
      </w:tblPr>
      <w:tblGrid>
        <w:gridCol w:w="2126"/>
        <w:gridCol w:w="2694"/>
        <w:gridCol w:w="1559"/>
        <w:gridCol w:w="3118"/>
      </w:tblGrid>
      <w:tr w:rsidR="00AF6917" w14:paraId="3CF34C48" w14:textId="77777777" w:rsidTr="00AF6917">
        <w:trPr>
          <w:trHeight w:val="960"/>
        </w:trPr>
        <w:tc>
          <w:tcPr>
            <w:tcW w:w="212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63628F6" w14:textId="77777777" w:rsidR="00AF6917" w:rsidRDefault="00AF6917">
            <w:pPr>
              <w:jc w:val="center"/>
              <w:rPr>
                <w:b/>
                <w:bCs/>
                <w:color w:val="000000"/>
              </w:rPr>
            </w:pPr>
            <w:r>
              <w:rPr>
                <w:b/>
                <w:bCs/>
                <w:color w:val="000000"/>
              </w:rPr>
              <w:t>Předmět koupě</w:t>
            </w:r>
          </w:p>
        </w:tc>
        <w:tc>
          <w:tcPr>
            <w:tcW w:w="2694" w:type="dxa"/>
            <w:tcBorders>
              <w:top w:val="single" w:sz="8" w:space="0" w:color="auto"/>
              <w:left w:val="nil"/>
              <w:bottom w:val="single" w:sz="8" w:space="0" w:color="auto"/>
              <w:right w:val="single" w:sz="8" w:space="0" w:color="auto"/>
            </w:tcBorders>
            <w:shd w:val="clear" w:color="000000" w:fill="D9D9D9"/>
            <w:vAlign w:val="center"/>
            <w:hideMark/>
          </w:tcPr>
          <w:p w14:paraId="76CE5B87" w14:textId="77777777" w:rsidR="00AF6917" w:rsidRDefault="00AF6917">
            <w:pPr>
              <w:jc w:val="center"/>
              <w:rPr>
                <w:b/>
                <w:bCs/>
                <w:color w:val="000000"/>
              </w:rPr>
            </w:pPr>
            <w:r>
              <w:rPr>
                <w:b/>
                <w:bCs/>
                <w:color w:val="000000"/>
              </w:rPr>
              <w:t xml:space="preserve">Cena bez DPH za 1 ks předmětu koupě </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659A350A" w14:textId="77777777" w:rsidR="00AF6917" w:rsidRDefault="00AF6917">
            <w:pPr>
              <w:jc w:val="center"/>
              <w:rPr>
                <w:b/>
                <w:bCs/>
                <w:color w:val="000000"/>
              </w:rPr>
            </w:pPr>
            <w:r>
              <w:rPr>
                <w:b/>
                <w:bCs/>
                <w:color w:val="000000"/>
              </w:rPr>
              <w:t>Množství                 ks</w:t>
            </w:r>
          </w:p>
        </w:tc>
        <w:tc>
          <w:tcPr>
            <w:tcW w:w="3118" w:type="dxa"/>
            <w:tcBorders>
              <w:top w:val="single" w:sz="8" w:space="0" w:color="auto"/>
              <w:left w:val="nil"/>
              <w:bottom w:val="single" w:sz="8" w:space="0" w:color="auto"/>
              <w:right w:val="single" w:sz="8" w:space="0" w:color="auto"/>
            </w:tcBorders>
            <w:shd w:val="clear" w:color="000000" w:fill="D9D9D9"/>
            <w:vAlign w:val="center"/>
            <w:hideMark/>
          </w:tcPr>
          <w:p w14:paraId="67F1A928" w14:textId="77777777" w:rsidR="00AF6917" w:rsidRDefault="00AF6917">
            <w:pPr>
              <w:jc w:val="center"/>
              <w:rPr>
                <w:b/>
                <w:bCs/>
                <w:color w:val="000000"/>
              </w:rPr>
            </w:pPr>
            <w:r>
              <w:rPr>
                <w:b/>
                <w:bCs/>
                <w:color w:val="000000"/>
              </w:rPr>
              <w:t>Cena celkem bez DPH</w:t>
            </w:r>
          </w:p>
        </w:tc>
      </w:tr>
      <w:tr w:rsidR="00AF6917" w14:paraId="08AD8C57" w14:textId="77777777" w:rsidTr="00AF6917">
        <w:trPr>
          <w:trHeight w:val="330"/>
        </w:trPr>
        <w:tc>
          <w:tcPr>
            <w:tcW w:w="2126" w:type="dxa"/>
            <w:tcBorders>
              <w:top w:val="nil"/>
              <w:left w:val="single" w:sz="8" w:space="0" w:color="auto"/>
              <w:bottom w:val="single" w:sz="8" w:space="0" w:color="auto"/>
              <w:right w:val="single" w:sz="8" w:space="0" w:color="auto"/>
            </w:tcBorders>
            <w:vAlign w:val="center"/>
            <w:hideMark/>
          </w:tcPr>
          <w:p w14:paraId="5CC23D72" w14:textId="77777777" w:rsidR="00AF6917" w:rsidRDefault="00AF6917">
            <w:pPr>
              <w:jc w:val="center"/>
              <w:rPr>
                <w:b/>
                <w:bCs/>
                <w:color w:val="000000"/>
              </w:rPr>
            </w:pPr>
            <w:r>
              <w:rPr>
                <w:b/>
                <w:bCs/>
                <w:color w:val="000000"/>
              </w:rPr>
              <w:t>Počítač I</w:t>
            </w:r>
          </w:p>
        </w:tc>
        <w:tc>
          <w:tcPr>
            <w:tcW w:w="2694" w:type="dxa"/>
            <w:tcBorders>
              <w:top w:val="nil"/>
              <w:left w:val="nil"/>
              <w:bottom w:val="single" w:sz="8" w:space="0" w:color="auto"/>
              <w:right w:val="single" w:sz="8" w:space="0" w:color="auto"/>
            </w:tcBorders>
            <w:vAlign w:val="center"/>
            <w:hideMark/>
          </w:tcPr>
          <w:p w14:paraId="22BC2FB5" w14:textId="247C9B77" w:rsidR="00AF6917" w:rsidRPr="0039576A" w:rsidRDefault="0039576A">
            <w:pPr>
              <w:jc w:val="center"/>
              <w:rPr>
                <w:color w:val="000000"/>
                <w:highlight w:val="black"/>
              </w:rPr>
            </w:pPr>
            <w:proofErr w:type="spellStart"/>
            <w:r>
              <w:rPr>
                <w:color w:val="000000"/>
                <w:highlight w:val="black"/>
              </w:rPr>
              <w:t>xxxxxxxxx</w:t>
            </w:r>
            <w:proofErr w:type="spellEnd"/>
            <w:r w:rsidR="00AF6917" w:rsidRPr="0039576A">
              <w:rPr>
                <w:color w:val="000000"/>
                <w:highlight w:val="black"/>
              </w:rPr>
              <w:t xml:space="preserve"> </w:t>
            </w:r>
          </w:p>
        </w:tc>
        <w:tc>
          <w:tcPr>
            <w:tcW w:w="1559" w:type="dxa"/>
            <w:tcBorders>
              <w:top w:val="nil"/>
              <w:left w:val="nil"/>
              <w:bottom w:val="single" w:sz="8" w:space="0" w:color="auto"/>
              <w:right w:val="single" w:sz="8" w:space="0" w:color="auto"/>
            </w:tcBorders>
            <w:vAlign w:val="center"/>
            <w:hideMark/>
          </w:tcPr>
          <w:p w14:paraId="287EFECF" w14:textId="77777777" w:rsidR="00AF6917" w:rsidRDefault="00AF6917">
            <w:pPr>
              <w:jc w:val="center"/>
              <w:rPr>
                <w:color w:val="000000"/>
              </w:rPr>
            </w:pPr>
            <w:r>
              <w:rPr>
                <w:color w:val="000000"/>
              </w:rPr>
              <w:t>34</w:t>
            </w:r>
          </w:p>
        </w:tc>
        <w:tc>
          <w:tcPr>
            <w:tcW w:w="3118" w:type="dxa"/>
            <w:tcBorders>
              <w:top w:val="nil"/>
              <w:left w:val="nil"/>
              <w:bottom w:val="single" w:sz="8" w:space="0" w:color="auto"/>
              <w:right w:val="single" w:sz="8" w:space="0" w:color="auto"/>
            </w:tcBorders>
            <w:vAlign w:val="center"/>
            <w:hideMark/>
          </w:tcPr>
          <w:p w14:paraId="2B020CB0" w14:textId="54C38F70" w:rsidR="00AF6917" w:rsidRPr="0039576A" w:rsidRDefault="0039576A" w:rsidP="00AF6917">
            <w:pPr>
              <w:jc w:val="right"/>
              <w:rPr>
                <w:iCs/>
                <w:color w:val="000000"/>
                <w:highlight w:val="black"/>
              </w:rPr>
            </w:pPr>
            <w:proofErr w:type="spellStart"/>
            <w:r>
              <w:rPr>
                <w:iCs/>
                <w:color w:val="000000"/>
                <w:highlight w:val="black"/>
                <w:lang w:eastAsia="en-US"/>
              </w:rPr>
              <w:t>xxxxxxxx</w:t>
            </w:r>
            <w:proofErr w:type="spellEnd"/>
            <w:r w:rsidR="00AF6917" w:rsidRPr="0039576A">
              <w:rPr>
                <w:iCs/>
                <w:color w:val="000000"/>
                <w:highlight w:val="black"/>
                <w:lang w:eastAsia="en-US"/>
              </w:rPr>
              <w:t xml:space="preserve"> </w:t>
            </w:r>
          </w:p>
        </w:tc>
      </w:tr>
      <w:tr w:rsidR="00AF6917" w14:paraId="11FAD407" w14:textId="77777777" w:rsidTr="00AF6917">
        <w:trPr>
          <w:trHeight w:val="330"/>
        </w:trPr>
        <w:tc>
          <w:tcPr>
            <w:tcW w:w="2126" w:type="dxa"/>
            <w:tcBorders>
              <w:top w:val="nil"/>
              <w:left w:val="single" w:sz="8" w:space="0" w:color="auto"/>
              <w:bottom w:val="single" w:sz="8" w:space="0" w:color="auto"/>
              <w:right w:val="single" w:sz="8" w:space="0" w:color="auto"/>
            </w:tcBorders>
            <w:vAlign w:val="center"/>
            <w:hideMark/>
          </w:tcPr>
          <w:p w14:paraId="04ED9544" w14:textId="77777777" w:rsidR="00AF6917" w:rsidRDefault="00AF6917">
            <w:pPr>
              <w:jc w:val="center"/>
              <w:rPr>
                <w:b/>
                <w:bCs/>
                <w:color w:val="000000"/>
              </w:rPr>
            </w:pPr>
            <w:r>
              <w:rPr>
                <w:b/>
                <w:bCs/>
                <w:color w:val="000000"/>
              </w:rPr>
              <w:t>Monitor I</w:t>
            </w:r>
          </w:p>
        </w:tc>
        <w:tc>
          <w:tcPr>
            <w:tcW w:w="2694" w:type="dxa"/>
            <w:tcBorders>
              <w:top w:val="nil"/>
              <w:left w:val="nil"/>
              <w:bottom w:val="single" w:sz="8" w:space="0" w:color="auto"/>
              <w:right w:val="single" w:sz="8" w:space="0" w:color="auto"/>
            </w:tcBorders>
            <w:vAlign w:val="center"/>
            <w:hideMark/>
          </w:tcPr>
          <w:p w14:paraId="2983F2E6" w14:textId="4912ECEC" w:rsidR="00AF6917" w:rsidRPr="0039576A" w:rsidRDefault="0039576A">
            <w:pPr>
              <w:jc w:val="center"/>
              <w:rPr>
                <w:color w:val="000000"/>
                <w:highlight w:val="black"/>
              </w:rPr>
            </w:pPr>
            <w:proofErr w:type="spellStart"/>
            <w:r>
              <w:rPr>
                <w:rFonts w:cs="Calibri"/>
                <w:color w:val="000000"/>
                <w:highlight w:val="black"/>
              </w:rPr>
              <w:t>xxxxxxxxx</w:t>
            </w:r>
            <w:proofErr w:type="spellEnd"/>
            <w:r w:rsidR="00AF6917" w:rsidRPr="0039576A">
              <w:rPr>
                <w:rFonts w:cs="Calibri"/>
                <w:color w:val="000000"/>
                <w:highlight w:val="black"/>
              </w:rPr>
              <w:t xml:space="preserve"> </w:t>
            </w:r>
          </w:p>
        </w:tc>
        <w:tc>
          <w:tcPr>
            <w:tcW w:w="1559" w:type="dxa"/>
            <w:tcBorders>
              <w:top w:val="nil"/>
              <w:left w:val="nil"/>
              <w:bottom w:val="single" w:sz="8" w:space="0" w:color="auto"/>
              <w:right w:val="single" w:sz="8" w:space="0" w:color="auto"/>
            </w:tcBorders>
            <w:vAlign w:val="center"/>
            <w:hideMark/>
          </w:tcPr>
          <w:p w14:paraId="460A26F0" w14:textId="77777777" w:rsidR="00AF6917" w:rsidRDefault="00AF6917">
            <w:pPr>
              <w:jc w:val="center"/>
              <w:rPr>
                <w:color w:val="000000"/>
              </w:rPr>
            </w:pPr>
            <w:r>
              <w:rPr>
                <w:color w:val="000000"/>
              </w:rPr>
              <w:t>21</w:t>
            </w:r>
          </w:p>
        </w:tc>
        <w:tc>
          <w:tcPr>
            <w:tcW w:w="3118" w:type="dxa"/>
            <w:tcBorders>
              <w:top w:val="nil"/>
              <w:left w:val="nil"/>
              <w:bottom w:val="single" w:sz="8" w:space="0" w:color="auto"/>
              <w:right w:val="single" w:sz="8" w:space="0" w:color="auto"/>
            </w:tcBorders>
            <w:vAlign w:val="center"/>
            <w:hideMark/>
          </w:tcPr>
          <w:p w14:paraId="0E84A6AC" w14:textId="2092D81A" w:rsidR="00AF6917" w:rsidRPr="0039576A" w:rsidRDefault="0039576A" w:rsidP="00AF6917">
            <w:pPr>
              <w:jc w:val="right"/>
              <w:rPr>
                <w:iCs/>
                <w:color w:val="000000"/>
                <w:highlight w:val="black"/>
              </w:rPr>
            </w:pPr>
            <w:proofErr w:type="spellStart"/>
            <w:r>
              <w:rPr>
                <w:iCs/>
                <w:color w:val="000000"/>
                <w:highlight w:val="black"/>
                <w:lang w:eastAsia="en-US"/>
              </w:rPr>
              <w:t>xxxxxxxx</w:t>
            </w:r>
            <w:proofErr w:type="spellEnd"/>
            <w:r w:rsidR="00AF6917" w:rsidRPr="0039576A">
              <w:rPr>
                <w:iCs/>
                <w:color w:val="000000"/>
                <w:highlight w:val="black"/>
                <w:lang w:eastAsia="en-US"/>
              </w:rPr>
              <w:t xml:space="preserve"> </w:t>
            </w:r>
          </w:p>
        </w:tc>
      </w:tr>
      <w:tr w:rsidR="00AF6917" w14:paraId="14E6AF8F" w14:textId="77777777" w:rsidTr="00AF6917">
        <w:trPr>
          <w:trHeight w:val="330"/>
        </w:trPr>
        <w:tc>
          <w:tcPr>
            <w:tcW w:w="2126" w:type="dxa"/>
            <w:tcBorders>
              <w:top w:val="nil"/>
              <w:left w:val="single" w:sz="8" w:space="0" w:color="auto"/>
              <w:bottom w:val="single" w:sz="8" w:space="0" w:color="auto"/>
              <w:right w:val="single" w:sz="8" w:space="0" w:color="auto"/>
            </w:tcBorders>
            <w:vAlign w:val="center"/>
            <w:hideMark/>
          </w:tcPr>
          <w:p w14:paraId="5EA4C537" w14:textId="77777777" w:rsidR="00AF6917" w:rsidRDefault="00AF6917">
            <w:pPr>
              <w:jc w:val="center"/>
              <w:rPr>
                <w:b/>
                <w:bCs/>
                <w:color w:val="000000"/>
              </w:rPr>
            </w:pPr>
            <w:r>
              <w:rPr>
                <w:b/>
                <w:bCs/>
                <w:color w:val="000000"/>
              </w:rPr>
              <w:t>Příslušenství II</w:t>
            </w:r>
          </w:p>
        </w:tc>
        <w:tc>
          <w:tcPr>
            <w:tcW w:w="2694" w:type="dxa"/>
            <w:tcBorders>
              <w:top w:val="nil"/>
              <w:left w:val="nil"/>
              <w:bottom w:val="single" w:sz="8" w:space="0" w:color="auto"/>
              <w:right w:val="single" w:sz="8" w:space="0" w:color="auto"/>
            </w:tcBorders>
            <w:vAlign w:val="center"/>
            <w:hideMark/>
          </w:tcPr>
          <w:p w14:paraId="722EC36B" w14:textId="725B90E7" w:rsidR="00AF6917" w:rsidRPr="0039576A" w:rsidRDefault="0039576A">
            <w:pPr>
              <w:jc w:val="center"/>
              <w:rPr>
                <w:color w:val="000000"/>
                <w:highlight w:val="black"/>
              </w:rPr>
            </w:pPr>
            <w:proofErr w:type="spellStart"/>
            <w:r>
              <w:rPr>
                <w:rFonts w:cs="Calibri"/>
                <w:color w:val="000000"/>
                <w:highlight w:val="black"/>
              </w:rPr>
              <w:t>xxxxxxxxx</w:t>
            </w:r>
            <w:proofErr w:type="spellEnd"/>
            <w:r w:rsidR="00AF6917" w:rsidRPr="0039576A">
              <w:rPr>
                <w:rFonts w:cs="Calibri"/>
                <w:color w:val="000000"/>
                <w:highlight w:val="black"/>
              </w:rPr>
              <w:t xml:space="preserve"> </w:t>
            </w:r>
          </w:p>
        </w:tc>
        <w:tc>
          <w:tcPr>
            <w:tcW w:w="1559" w:type="dxa"/>
            <w:tcBorders>
              <w:top w:val="nil"/>
              <w:left w:val="nil"/>
              <w:bottom w:val="single" w:sz="8" w:space="0" w:color="auto"/>
              <w:right w:val="single" w:sz="8" w:space="0" w:color="auto"/>
            </w:tcBorders>
            <w:vAlign w:val="center"/>
            <w:hideMark/>
          </w:tcPr>
          <w:p w14:paraId="070BC40E" w14:textId="77777777" w:rsidR="00AF6917" w:rsidRDefault="00AF6917">
            <w:pPr>
              <w:jc w:val="center"/>
              <w:rPr>
                <w:color w:val="000000"/>
              </w:rPr>
            </w:pPr>
            <w:r>
              <w:rPr>
                <w:color w:val="000000"/>
              </w:rPr>
              <w:t>34</w:t>
            </w:r>
          </w:p>
        </w:tc>
        <w:tc>
          <w:tcPr>
            <w:tcW w:w="3118" w:type="dxa"/>
            <w:tcBorders>
              <w:top w:val="nil"/>
              <w:left w:val="nil"/>
              <w:bottom w:val="single" w:sz="8" w:space="0" w:color="auto"/>
              <w:right w:val="single" w:sz="8" w:space="0" w:color="auto"/>
            </w:tcBorders>
            <w:vAlign w:val="center"/>
            <w:hideMark/>
          </w:tcPr>
          <w:p w14:paraId="696CFB04" w14:textId="4EF875B2" w:rsidR="00AF6917" w:rsidRPr="0039576A" w:rsidRDefault="0039576A" w:rsidP="00AF6917">
            <w:pPr>
              <w:jc w:val="right"/>
              <w:rPr>
                <w:iCs/>
                <w:color w:val="000000"/>
                <w:highlight w:val="black"/>
              </w:rPr>
            </w:pPr>
            <w:r>
              <w:rPr>
                <w:iCs/>
                <w:color w:val="000000"/>
                <w:highlight w:val="black"/>
                <w:lang w:eastAsia="en-US"/>
              </w:rPr>
              <w:t>xxxxxxxx</w:t>
            </w:r>
            <w:bookmarkStart w:id="0" w:name="_GoBack"/>
            <w:bookmarkEnd w:id="0"/>
            <w:r w:rsidR="00AF6917" w:rsidRPr="0039576A">
              <w:rPr>
                <w:iCs/>
                <w:color w:val="000000"/>
                <w:highlight w:val="black"/>
                <w:lang w:eastAsia="en-US"/>
              </w:rPr>
              <w:t xml:space="preserve"> </w:t>
            </w:r>
          </w:p>
        </w:tc>
      </w:tr>
      <w:tr w:rsidR="00AF6917" w14:paraId="7D0D731A" w14:textId="77777777" w:rsidTr="00AF6917">
        <w:trPr>
          <w:trHeight w:val="330"/>
        </w:trPr>
        <w:tc>
          <w:tcPr>
            <w:tcW w:w="2126" w:type="dxa"/>
            <w:tcBorders>
              <w:top w:val="nil"/>
              <w:left w:val="single" w:sz="8" w:space="0" w:color="auto"/>
              <w:bottom w:val="single" w:sz="8" w:space="0" w:color="auto"/>
              <w:right w:val="single" w:sz="8" w:space="0" w:color="auto"/>
            </w:tcBorders>
            <w:vAlign w:val="center"/>
            <w:hideMark/>
          </w:tcPr>
          <w:p w14:paraId="70E9B206" w14:textId="6F69E60D" w:rsidR="00AF6917" w:rsidRDefault="00AF6917">
            <w:pPr>
              <w:jc w:val="center"/>
              <w:rPr>
                <w:b/>
                <w:bCs/>
                <w:color w:val="000000"/>
              </w:rPr>
            </w:pPr>
            <w:r>
              <w:rPr>
                <w:b/>
                <w:bCs/>
                <w:color w:val="000000"/>
              </w:rPr>
              <w:t>Kupní cena</w:t>
            </w:r>
          </w:p>
        </w:tc>
        <w:tc>
          <w:tcPr>
            <w:tcW w:w="7371" w:type="dxa"/>
            <w:gridSpan w:val="3"/>
            <w:tcBorders>
              <w:top w:val="single" w:sz="8" w:space="0" w:color="auto"/>
              <w:left w:val="nil"/>
              <w:bottom w:val="single" w:sz="8" w:space="0" w:color="auto"/>
              <w:right w:val="single" w:sz="8" w:space="0" w:color="000000"/>
            </w:tcBorders>
            <w:vAlign w:val="center"/>
            <w:hideMark/>
          </w:tcPr>
          <w:p w14:paraId="505F8F68" w14:textId="77777777" w:rsidR="00AF6917" w:rsidRPr="00F86B75" w:rsidRDefault="00AF6917" w:rsidP="00AF6917">
            <w:pPr>
              <w:jc w:val="right"/>
              <w:rPr>
                <w:b/>
                <w:iCs/>
                <w:color w:val="000000"/>
              </w:rPr>
            </w:pPr>
            <w:r w:rsidRPr="00F86B75">
              <w:rPr>
                <w:b/>
                <w:iCs/>
                <w:color w:val="000000"/>
                <w:lang w:eastAsia="en-US"/>
              </w:rPr>
              <w:t xml:space="preserve">                                                                             346 840,00 Kč </w:t>
            </w:r>
          </w:p>
        </w:tc>
      </w:tr>
    </w:tbl>
    <w:p w14:paraId="2814DB43" w14:textId="77777777" w:rsidR="00397EC7" w:rsidRPr="0062299B" w:rsidRDefault="00397EC7" w:rsidP="00BE7107">
      <w:pPr>
        <w:rPr>
          <w:lang w:eastAsia="en-US"/>
        </w:rPr>
      </w:pPr>
    </w:p>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A42175">
      <w:pPr>
        <w:pStyle w:val="Nadpis2"/>
        <w:tabs>
          <w:tab w:val="num" w:pos="576"/>
        </w:tabs>
        <w:ind w:left="786"/>
      </w:pPr>
      <w:r>
        <w:lastRenderedPageBreak/>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7C886E99" w14:textId="3AD6BE07" w:rsidR="006135FA" w:rsidRDefault="006135FA" w:rsidP="0056725D">
      <w:pPr>
        <w:pStyle w:val="Nadpis2"/>
        <w:tabs>
          <w:tab w:val="num" w:pos="576"/>
        </w:tabs>
        <w:ind w:left="786"/>
      </w:pPr>
      <w:r>
        <w:t>Faktura bude obsahovat náležitosti obchodní listiny dle § 435 Občanskéh</w:t>
      </w:r>
      <w:r w:rsidR="00B0461E">
        <w:t>o</w:t>
      </w:r>
      <w:r>
        <w:t xml:space="preserve"> zákoníku a</w:t>
      </w:r>
      <w:r w:rsidR="003B7122">
        <w:t> </w:t>
      </w:r>
      <w:r>
        <w:t>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156B92E8" w14:textId="145B256C" w:rsidR="003B7122" w:rsidRDefault="00DC76F6" w:rsidP="0060278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lastRenderedPageBreak/>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lastRenderedPageBreak/>
        <w:t>Vlastnické právo</w:t>
      </w:r>
    </w:p>
    <w:p w14:paraId="48A79A4F" w14:textId="299098CC" w:rsidR="006135FA"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2B42A479" w14:textId="77777777" w:rsidR="003B7122" w:rsidRPr="003B7122" w:rsidRDefault="003B7122" w:rsidP="003B7122"/>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07D6B75F" w:rsidR="006135FA" w:rsidRDefault="006135FA" w:rsidP="003B7122">
      <w:pPr>
        <w:pStyle w:val="Nadpis2"/>
        <w:tabs>
          <w:tab w:val="num" w:pos="576"/>
        </w:tabs>
        <w:ind w:left="786" w:hanging="357"/>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3456DC2" w14:textId="77777777" w:rsidR="003B7122" w:rsidRPr="003B7122" w:rsidRDefault="003B7122" w:rsidP="003B7122"/>
    <w:p w14:paraId="50B5439D" w14:textId="77777777" w:rsidR="006135FA" w:rsidRDefault="006135FA" w:rsidP="003B7122">
      <w:pPr>
        <w:pStyle w:val="Nadpis1"/>
        <w:spacing w:before="120"/>
        <w:ind w:left="3904" w:hanging="357"/>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1" w:name="_Hlk11739006"/>
      <w:r w:rsidR="00CF5EC4">
        <w:t>tj. ode dne podpisu příslušného dodacího listu bez ohledu na případné výhrady</w:t>
      </w:r>
      <w:bookmarkEnd w:id="1"/>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7B0E17E7" w:rsidR="006135FA" w:rsidRPr="00D91CA3" w:rsidRDefault="006135FA" w:rsidP="00D91CA3">
      <w:pPr>
        <w:pStyle w:val="Nadpis2"/>
        <w:tabs>
          <w:tab w:val="num" w:pos="576"/>
        </w:tabs>
        <w:ind w:left="786"/>
      </w:pPr>
      <w:r w:rsidRPr="00D91CA3">
        <w:t>Vada</w:t>
      </w:r>
      <w:r w:rsidR="00C975FA" w:rsidRPr="00D91CA3">
        <w:t xml:space="preserve"> </w:t>
      </w:r>
      <w:r w:rsidR="001D67D0">
        <w:t xml:space="preserve">bude nahlášena prostřednictvím Kontaktní osoby v pracovní době Kupujícího ústně na tel. č. </w:t>
      </w:r>
      <w:r w:rsidR="001D67D0" w:rsidRPr="00FE4DF8">
        <w:rPr>
          <w:i/>
        </w:rPr>
        <w:t xml:space="preserve">222264451 </w:t>
      </w:r>
      <w:r w:rsidR="001D67D0">
        <w:t>a nejpozději bezprostředně poté i písemně prostřednictvím e</w:t>
      </w:r>
      <w:r w:rsidR="001D67D0">
        <w:noBreakHyphen/>
        <w:t xml:space="preserve">mailové zprávy zaslané na adresu </w:t>
      </w:r>
      <w:r w:rsidR="001D67D0" w:rsidRPr="00FE4DF8">
        <w:rPr>
          <w:i/>
        </w:rPr>
        <w:t>praha@opencc.eu</w:t>
      </w:r>
      <w:r w:rsidR="001D67D0" w:rsidRPr="00FE4DF8">
        <w:t>.</w:t>
      </w:r>
      <w:r w:rsidR="001D67D0">
        <w:t xml:space="preserve"> Vadu lze nahlásit prostřednictvím Kontaktní osoby i po pracovní době Kupujícího, a to pouze písemně prostřednictvím e-mailové zprávy zaslané na adresu </w:t>
      </w:r>
      <w:r w:rsidR="001D67D0" w:rsidRPr="00FE4DF8">
        <w:rPr>
          <w:i/>
        </w:rPr>
        <w:t>praha@opencc.eu</w:t>
      </w:r>
      <w:r w:rsidR="001D67D0" w:rsidRPr="00FE4DF8">
        <w:t>.</w:t>
      </w:r>
      <w:r w:rsidR="001D67D0">
        <w:t xml:space="preserve"> Pro vadu nahlášenou po pracovní době je rozhodným časem prokazujícím nahlášení vady považován čas v 8,00 hod. následujícího pracovního dne po dni </w:t>
      </w:r>
      <w:r w:rsidRPr="00D91CA3">
        <w:t xml:space="preserve">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 xml:space="preserve">Smluvní strany se dohodly, že v případě nahrazení vadného pevného disku novým pevným </w:t>
      </w:r>
      <w:r w:rsidRPr="005868A2">
        <w:lastRenderedPageBreak/>
        <w:t>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t>Mlčenlivost</w:t>
      </w:r>
    </w:p>
    <w:p w14:paraId="63408419" w14:textId="0F0F4470"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w:t>
      </w:r>
      <w:r w:rsidR="00AF6917">
        <w:t> </w:t>
      </w:r>
      <w:r w:rsidRPr="005D10B7">
        <w:t xml:space="preserve">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0DD3E75D" w:rsidR="006135FA" w:rsidRDefault="006135FA" w:rsidP="0020674C">
      <w:pPr>
        <w:pStyle w:val="Nadpis3"/>
      </w:pPr>
      <w:r w:rsidRPr="005D10B7">
        <w:t>které je Kupující povinen poskytnout třetím osobám podle zákona č. 106/1999 Sb., o</w:t>
      </w:r>
      <w:r w:rsidR="00AF6917">
        <w:t> </w:t>
      </w:r>
      <w:r w:rsidRPr="005D10B7">
        <w:t>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27B54033"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w:t>
      </w:r>
      <w:r w:rsidR="00AF6917">
        <w:t> </w:t>
      </w:r>
      <w:r w:rsidRPr="005D10B7">
        <w:t>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39C74E35"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w:t>
      </w:r>
      <w:r w:rsidR="00AF6917">
        <w:t> </w:t>
      </w:r>
      <w:r w:rsidRPr="00894F6E">
        <w:t xml:space="preserve">respektováním práv </w:t>
      </w:r>
      <w:r>
        <w:t>Kupujícího</w:t>
      </w:r>
      <w:r w:rsidRPr="00894F6E">
        <w:t xml:space="preserve"> nejméně ve stejném rozsahu, v jakém je v tomto </w:t>
      </w:r>
      <w:r>
        <w:t>smluvním</w:t>
      </w:r>
      <w:r w:rsidRPr="00894F6E">
        <w:t xml:space="preserve"> vztahu zavázán sám.</w:t>
      </w:r>
    </w:p>
    <w:p w14:paraId="742B7CF6" w14:textId="2FA8563C" w:rsidR="006135FA" w:rsidRDefault="006135FA" w:rsidP="0056725D">
      <w:pPr>
        <w:pStyle w:val="Nadpis2"/>
        <w:tabs>
          <w:tab w:val="num" w:pos="576"/>
        </w:tabs>
        <w:ind w:left="786"/>
      </w:pPr>
      <w:r w:rsidRPr="00894F6E">
        <w:t>Povinnost zachování mlčenlivosti trvá i po ukončení smluvního vztahu po dobu 5 let od skončení záruční doby.</w:t>
      </w:r>
    </w:p>
    <w:p w14:paraId="6800F57D" w14:textId="77777777" w:rsidR="003B7122" w:rsidRPr="003B7122" w:rsidRDefault="003B7122" w:rsidP="003B7122"/>
    <w:p w14:paraId="4365E034" w14:textId="77777777" w:rsidR="006135FA" w:rsidRDefault="006135FA" w:rsidP="003B7122">
      <w:pPr>
        <w:pStyle w:val="Nadpis1"/>
        <w:spacing w:before="120"/>
        <w:ind w:left="3901" w:hanging="357"/>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0F8593F0"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28912F1" w14:textId="77777777" w:rsidR="003B7122" w:rsidRPr="003B7122" w:rsidRDefault="003B7122" w:rsidP="003B7122"/>
    <w:p w14:paraId="1CD1342D" w14:textId="77777777" w:rsidR="006135FA" w:rsidRDefault="006135FA" w:rsidP="00FA3CB7">
      <w:pPr>
        <w:pStyle w:val="Nadpis1"/>
        <w:ind w:left="4111" w:hanging="567"/>
        <w:jc w:val="left"/>
      </w:pPr>
      <w:r>
        <w:lastRenderedPageBreak/>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3A973588" w:rsidR="00AD5505"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55ED6697" w14:textId="77777777" w:rsidR="003B7122" w:rsidRPr="003B7122" w:rsidRDefault="003B7122" w:rsidP="003B7122"/>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lastRenderedPageBreak/>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60A5255C" w14:textId="77777777" w:rsidR="003B7122" w:rsidRDefault="003B7122" w:rsidP="003B7122">
      <w:pPr>
        <w:pStyle w:val="Nadpis1"/>
        <w:numPr>
          <w:ilvl w:val="0"/>
          <w:numId w:val="0"/>
        </w:numPr>
        <w:ind w:left="3904"/>
        <w:jc w:val="left"/>
      </w:pPr>
    </w:p>
    <w:p w14:paraId="3FF0D034" w14:textId="08708B85" w:rsidR="006135FA" w:rsidRPr="005C0F87" w:rsidRDefault="006135FA" w:rsidP="00FD2054">
      <w:pPr>
        <w:pStyle w:val="Nadpis1"/>
        <w:ind w:left="3904"/>
        <w:jc w:val="left"/>
      </w:pPr>
      <w:r w:rsidRPr="005C0F87">
        <w:t>Závěrečná ustanovení</w:t>
      </w:r>
    </w:p>
    <w:p w14:paraId="1470388E" w14:textId="20AE4C4C" w:rsidR="006135FA"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2" w:name="_Hlk11741667"/>
      <w:r w:rsidR="00CF5EC4" w:rsidRPr="00CF5EC4">
        <w:t xml:space="preserve"> </w:t>
      </w:r>
      <w:r w:rsidR="00CF5EC4" w:rsidRPr="00807D39">
        <w:t>a oznámení o změně bankovních údajů</w:t>
      </w:r>
      <w:bookmarkEnd w:id="2"/>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59B1CB23" w14:textId="77777777" w:rsidR="003B7122" w:rsidRPr="003B7122" w:rsidRDefault="003B7122" w:rsidP="003B7122">
      <w:pPr>
        <w:rPr>
          <w:sz w:val="6"/>
        </w:rPr>
      </w:pPr>
    </w:p>
    <w:p w14:paraId="1655928E" w14:textId="77777777" w:rsidR="00A42175" w:rsidRDefault="00A42175" w:rsidP="00A42175">
      <w:pPr>
        <w:pStyle w:val="Nadpis3"/>
      </w:pPr>
      <w:r>
        <w:t>Kupující:</w:t>
      </w:r>
      <w:r>
        <w:rPr>
          <w:i/>
        </w:rPr>
        <w:t xml:space="preserve"> </w:t>
      </w:r>
      <w:r w:rsidRPr="00B772DD">
        <w:rPr>
          <w:i/>
        </w:rPr>
        <w:t>Obchodní akademie, Vyšší odborná škola a Jazyková škola s právem státní jazykové zkoušky Uherské Hradiště</w:t>
      </w:r>
      <w:r>
        <w:rPr>
          <w:i/>
        </w:rPr>
        <w:t xml:space="preserve"> </w:t>
      </w:r>
    </w:p>
    <w:p w14:paraId="6BE400F0" w14:textId="77777777" w:rsidR="00A42175" w:rsidRDefault="00A42175" w:rsidP="00A42175">
      <w:pPr>
        <w:pStyle w:val="Nadpis2bezslovn"/>
        <w:ind w:left="1080"/>
        <w:rPr>
          <w:highlight w:val="magenta"/>
        </w:rPr>
      </w:pPr>
      <w:r>
        <w:t>Jméno: Mgr. Marek Machalík, ředitel školy</w:t>
      </w:r>
    </w:p>
    <w:p w14:paraId="2504EF99" w14:textId="77777777" w:rsidR="00A42175" w:rsidRDefault="00A42175" w:rsidP="00A42175">
      <w:pPr>
        <w:pStyle w:val="Nadpis2bezslovn"/>
        <w:ind w:left="1080"/>
      </w:pPr>
      <w:r>
        <w:t>Adresa: Nádražní 22, 686 01 Uherské Hradiště</w:t>
      </w:r>
    </w:p>
    <w:p w14:paraId="49689686" w14:textId="77777777" w:rsidR="00A42175" w:rsidRDefault="00A42175" w:rsidP="00A42175">
      <w:pPr>
        <w:pStyle w:val="Nadpis2bezslovn"/>
        <w:ind w:left="1080"/>
      </w:pPr>
      <w:r>
        <w:t>E-mail: info@oauh.cz</w:t>
      </w:r>
    </w:p>
    <w:p w14:paraId="08DCB698" w14:textId="14CADB27" w:rsidR="00A42175" w:rsidRDefault="00A42175" w:rsidP="00A42175">
      <w:pPr>
        <w:pStyle w:val="Nadpis2bezslovn"/>
        <w:ind w:left="1080"/>
      </w:pPr>
      <w:r>
        <w:t xml:space="preserve">Datová schránka: </w:t>
      </w:r>
      <w:r w:rsidRPr="00B772DD">
        <w:t>q8gv352</w:t>
      </w:r>
    </w:p>
    <w:p w14:paraId="45462E0D" w14:textId="77777777" w:rsidR="003B7122" w:rsidRPr="003B7122" w:rsidRDefault="003B7122" w:rsidP="00A42175">
      <w:pPr>
        <w:pStyle w:val="Nadpis2bezslovn"/>
        <w:ind w:left="1080"/>
        <w:rPr>
          <w:sz w:val="6"/>
        </w:rPr>
      </w:pPr>
    </w:p>
    <w:p w14:paraId="3190BDEF" w14:textId="77777777" w:rsidR="001D67D0" w:rsidRDefault="001D67D0" w:rsidP="001D67D0">
      <w:pPr>
        <w:pStyle w:val="Nadpis3"/>
      </w:pPr>
      <w:r>
        <w:t>Prodávající:</w:t>
      </w:r>
      <w:r>
        <w:rPr>
          <w:i/>
        </w:rPr>
        <w:t xml:space="preserve"> </w:t>
      </w:r>
      <w:r w:rsidRPr="00FE4DF8">
        <w:rPr>
          <w:i/>
        </w:rPr>
        <w:t>OCC s.r.o.</w:t>
      </w:r>
    </w:p>
    <w:p w14:paraId="18D33971" w14:textId="77777777" w:rsidR="001D67D0" w:rsidRDefault="001D67D0" w:rsidP="001D67D0">
      <w:pPr>
        <w:pStyle w:val="Nadpis2bezslovn"/>
        <w:ind w:left="1080"/>
        <w:rPr>
          <w:i/>
        </w:rPr>
      </w:pPr>
      <w:r>
        <w:t xml:space="preserve">Jméno: </w:t>
      </w:r>
      <w:r w:rsidRPr="00FE4DF8">
        <w:t>Jan Toman</w:t>
      </w:r>
    </w:p>
    <w:p w14:paraId="7A4F5FB1" w14:textId="77777777" w:rsidR="001D67D0" w:rsidRDefault="001D67D0" w:rsidP="001D67D0">
      <w:pPr>
        <w:pStyle w:val="Nadpis2bezslovn"/>
        <w:ind w:left="1080"/>
      </w:pPr>
      <w:r>
        <w:t xml:space="preserve">Adresa: </w:t>
      </w:r>
      <w:r w:rsidRPr="00FE4DF8">
        <w:t>Lidická 198/68, 323 00 Plzeň-Bolevec</w:t>
      </w:r>
    </w:p>
    <w:p w14:paraId="5216F99E" w14:textId="77777777" w:rsidR="001D67D0" w:rsidRDefault="001D67D0" w:rsidP="001D67D0">
      <w:pPr>
        <w:pStyle w:val="Nadpis2bezslovn"/>
        <w:ind w:left="1080"/>
      </w:pPr>
      <w:r>
        <w:t>E-mail: jtoman@opencc.eu</w:t>
      </w:r>
    </w:p>
    <w:p w14:paraId="56730707" w14:textId="30617C1E" w:rsidR="001D67D0" w:rsidRDefault="001D67D0" w:rsidP="001D67D0">
      <w:pPr>
        <w:pStyle w:val="Nadpis2bezslovn"/>
        <w:ind w:left="1080"/>
      </w:pPr>
      <w:r>
        <w:t xml:space="preserve">Datová schránka: </w:t>
      </w:r>
      <w:r w:rsidRPr="00FE4DF8">
        <w:t>vpdrhy8</w:t>
      </w:r>
    </w:p>
    <w:p w14:paraId="26E36B1C" w14:textId="77777777" w:rsidR="003B7122" w:rsidRPr="003B7122" w:rsidRDefault="003B7122" w:rsidP="001D67D0">
      <w:pPr>
        <w:pStyle w:val="Nadpis2bezslovn"/>
        <w:ind w:left="1080"/>
        <w:rPr>
          <w:sz w:val="10"/>
        </w:rPr>
      </w:pP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15819863" w:rsidR="006135FA" w:rsidRPr="005C0F87" w:rsidRDefault="006135FA" w:rsidP="00BE7107">
      <w:pPr>
        <w:pStyle w:val="Nadpis3"/>
        <w:keepNext/>
        <w:keepLines/>
      </w:pPr>
      <w:r w:rsidRPr="005C0F87">
        <w:t xml:space="preserve">Kontaktní osobou Kupujícího je </w:t>
      </w:r>
      <w:r w:rsidR="00A42175" w:rsidRPr="00A42175">
        <w:t>Mgr. Jaroslav Hodl</w:t>
      </w:r>
      <w:r w:rsidR="00A42175" w:rsidRPr="00A42175">
        <w:rPr>
          <w:i/>
        </w:rPr>
        <w:t>,</w:t>
      </w:r>
      <w:r w:rsidRPr="00A42175">
        <w:t xml:space="preserve"> e-mail</w:t>
      </w:r>
      <w:r w:rsidR="00A42175">
        <w:t>:</w:t>
      </w:r>
      <w:r w:rsidRPr="00A42175">
        <w:t xml:space="preserve"> </w:t>
      </w:r>
      <w:hyperlink r:id="rId8" w:history="1">
        <w:r w:rsidR="00A42175" w:rsidRPr="00A42175">
          <w:rPr>
            <w:rStyle w:val="Hypertextovodkaz"/>
          </w:rPr>
          <w:t>hodl@oauh.cz</w:t>
        </w:r>
      </w:hyperlink>
      <w:r w:rsidR="00A42175" w:rsidRPr="00A42175">
        <w:t xml:space="preserve">, telefon: </w:t>
      </w:r>
      <w:r w:rsidR="00160703">
        <w:t>731 231 192</w:t>
      </w:r>
      <w:r w:rsidRPr="00A42175">
        <w:t xml:space="preserve"> a další zaměstnanci Kupu</w:t>
      </w:r>
      <w:r w:rsidRPr="005C0F87">
        <w:t xml:space="preserve">jícího jím písemně pověření. </w:t>
      </w:r>
    </w:p>
    <w:p w14:paraId="559374DA" w14:textId="2DEAEABA" w:rsidR="006135FA" w:rsidRDefault="006135FA" w:rsidP="008535B1">
      <w:pPr>
        <w:pStyle w:val="Nadpis3"/>
        <w:keepNext/>
        <w:keepLines/>
      </w:pPr>
      <w:r w:rsidRPr="005C0F87">
        <w:t xml:space="preserve">Kontaktní osobou Prodávajícího je: </w:t>
      </w:r>
      <w:r w:rsidR="001D67D0" w:rsidRPr="00050663">
        <w:rPr>
          <w:iCs/>
        </w:rPr>
        <w:t xml:space="preserve">František Dlouhý, </w:t>
      </w:r>
      <w:r w:rsidR="00A42175">
        <w:rPr>
          <w:iCs/>
        </w:rPr>
        <w:t xml:space="preserve">e-mail: </w:t>
      </w:r>
      <w:hyperlink r:id="rId9" w:history="1">
        <w:r w:rsidR="00A42175" w:rsidRPr="009F1473">
          <w:rPr>
            <w:rStyle w:val="Hypertextovodkaz"/>
            <w:iCs/>
          </w:rPr>
          <w:t>fdlouhy@opencc.eu</w:t>
        </w:r>
      </w:hyperlink>
      <w:r w:rsidR="001D67D0" w:rsidRPr="00050663">
        <w:rPr>
          <w:iCs/>
        </w:rPr>
        <w:t xml:space="preserve">, </w:t>
      </w:r>
      <w:r w:rsidR="00A42175">
        <w:rPr>
          <w:iCs/>
        </w:rPr>
        <w:t xml:space="preserve">telefon: </w:t>
      </w:r>
      <w:r w:rsidR="001D67D0" w:rsidRPr="00050663">
        <w:rPr>
          <w:iCs/>
        </w:rPr>
        <w:t>732440373</w:t>
      </w:r>
      <w:r w:rsidRPr="00050663">
        <w:rPr>
          <w:iCs/>
        </w:rPr>
        <w:t>,</w:t>
      </w:r>
      <w:r w:rsidRPr="005C0F87">
        <w:t xml:space="preserve"> a další zaměstnanci či jiné osoby jím písemně pověření. </w:t>
      </w:r>
    </w:p>
    <w:p w14:paraId="283BA53B" w14:textId="77777777" w:rsidR="003B7122" w:rsidRPr="003B7122" w:rsidRDefault="003B7122" w:rsidP="003B7122">
      <w:pPr>
        <w:rPr>
          <w:sz w:val="10"/>
        </w:rPr>
      </w:pPr>
    </w:p>
    <w:p w14:paraId="14F6B4A7" w14:textId="133EA31A" w:rsidR="006135FA" w:rsidRDefault="006135FA" w:rsidP="0056725D">
      <w:pPr>
        <w:pStyle w:val="Nadpis2"/>
        <w:tabs>
          <w:tab w:val="num" w:pos="576"/>
        </w:tabs>
        <w:ind w:left="786"/>
      </w:pPr>
      <w:r w:rsidRPr="005C0F87">
        <w:lastRenderedPageBreak/>
        <w:t>Ke změně Smlouvy</w:t>
      </w:r>
      <w:r w:rsidR="008B37AA">
        <w:t>, ukonč</w:t>
      </w:r>
      <w:r>
        <w:t xml:space="preserve">ení Smlouvy, nebo změně bankovních údajů je za Kupujícího </w:t>
      </w:r>
      <w:r w:rsidRPr="00E05187">
        <w:t xml:space="preserve">oprávněn </w:t>
      </w:r>
      <w:r w:rsidR="00A42175" w:rsidRPr="00A42175">
        <w:t>Mgr. Marek Machalík</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6503C7AD" w14:textId="77777777" w:rsidR="003B7122" w:rsidRPr="003B7122" w:rsidRDefault="003B7122" w:rsidP="003B7122">
      <w:pPr>
        <w:rPr>
          <w:sz w:val="8"/>
        </w:rPr>
      </w:pPr>
    </w:p>
    <w:p w14:paraId="577D1BE5" w14:textId="5D1030A1" w:rsidR="006135FA"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51268932" w14:textId="77777777" w:rsidR="003B7122" w:rsidRPr="003B7122" w:rsidRDefault="003B7122" w:rsidP="003B7122">
      <w:pPr>
        <w:rPr>
          <w:sz w:val="10"/>
        </w:rPr>
      </w:pPr>
    </w:p>
    <w:p w14:paraId="75A406FD" w14:textId="4E6A34E8" w:rsidR="006135FA"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5B7C77C7" w14:textId="77777777" w:rsidR="003B7122" w:rsidRPr="003B7122" w:rsidRDefault="003B7122" w:rsidP="003B7122">
      <w:pPr>
        <w:rPr>
          <w:sz w:val="10"/>
        </w:rPr>
      </w:pPr>
    </w:p>
    <w:p w14:paraId="30AD2035" w14:textId="510C02C8" w:rsid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w:t>
      </w:r>
      <w:r w:rsidR="00A42175">
        <w:t> </w:t>
      </w:r>
      <w:r w:rsidRPr="00455DB4">
        <w:t>dubna 2016 obecného na</w:t>
      </w:r>
      <w:r>
        <w:t>řízení o ochraně osobních údajů</w:t>
      </w:r>
      <w:r w:rsidR="00293654">
        <w:t xml:space="preserve"> a zákonem č. 110/2019, o</w:t>
      </w:r>
      <w:r w:rsidR="00A42175">
        <w:t> </w:t>
      </w:r>
      <w:r w:rsidR="00293654">
        <w:t>zpracování osobních údajů, v platném znění</w:t>
      </w:r>
      <w:r>
        <w:t>.</w:t>
      </w:r>
    </w:p>
    <w:p w14:paraId="54D3854D" w14:textId="77777777" w:rsidR="003B7122" w:rsidRPr="003B7122" w:rsidRDefault="003B7122" w:rsidP="003B7122">
      <w:pPr>
        <w:rPr>
          <w:sz w:val="10"/>
        </w:rPr>
      </w:pPr>
    </w:p>
    <w:p w14:paraId="7CB95450" w14:textId="51ADC239" w:rsidR="006135FA"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1200EA17" w14:textId="77777777" w:rsidR="003B7122" w:rsidRPr="003B7122" w:rsidRDefault="003B7122" w:rsidP="003B7122">
      <w:pPr>
        <w:rPr>
          <w:sz w:val="10"/>
        </w:rPr>
      </w:pPr>
    </w:p>
    <w:p w14:paraId="6CE470B4" w14:textId="48211E9D" w:rsidR="006135FA"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39A057F5" w14:textId="77777777" w:rsidR="003B7122" w:rsidRPr="003B7122" w:rsidRDefault="003B7122" w:rsidP="003B7122">
      <w:pPr>
        <w:rPr>
          <w:sz w:val="10"/>
        </w:rPr>
      </w:pPr>
    </w:p>
    <w:p w14:paraId="12C49C1C" w14:textId="575B338F" w:rsidR="006135FA"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w:t>
      </w:r>
      <w:r w:rsidR="00C22081">
        <w:t> </w:t>
      </w:r>
      <w:r w:rsidRPr="005C0F87">
        <w:t>podepsáno Smluvní stranou, která takové vzdání se činí.</w:t>
      </w:r>
    </w:p>
    <w:p w14:paraId="60D5E1D1" w14:textId="77777777" w:rsidR="003B7122" w:rsidRPr="003B7122" w:rsidRDefault="003B7122" w:rsidP="003B7122">
      <w:pPr>
        <w:rPr>
          <w:sz w:val="10"/>
        </w:rPr>
      </w:pPr>
    </w:p>
    <w:p w14:paraId="1BA5953F" w14:textId="08450C36" w:rsidR="006135FA"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5BF21BB4" w14:textId="77777777" w:rsidR="003B7122" w:rsidRPr="003B7122" w:rsidRDefault="003B7122" w:rsidP="003B7122">
      <w:pPr>
        <w:rPr>
          <w:sz w:val="10"/>
        </w:rPr>
      </w:pPr>
    </w:p>
    <w:p w14:paraId="3A5B58C5" w14:textId="721DA90C" w:rsidR="006135FA" w:rsidRDefault="006135FA" w:rsidP="0056725D">
      <w:pPr>
        <w:pStyle w:val="Nadpis2"/>
        <w:tabs>
          <w:tab w:val="num" w:pos="576"/>
        </w:tabs>
        <w:ind w:left="786"/>
      </w:pPr>
      <w:r w:rsidRPr="005C0F87">
        <w:t>Smluvní strany se dohodly, že všechny spory vyplývající z této Smlouvy nebo spory o</w:t>
      </w:r>
      <w:r w:rsidR="002C35A5">
        <w:t> </w:t>
      </w:r>
      <w:r w:rsidRPr="005C0F87">
        <w:t>existenci této Smlouvy (včetně otázky vzniku a platnosti této Smlouvy) budou rozhodovány s konečnou platností před věcně a místně příslušným soudem České republiky.</w:t>
      </w:r>
    </w:p>
    <w:p w14:paraId="76EB1755" w14:textId="77777777" w:rsidR="003B7122" w:rsidRPr="003B7122" w:rsidRDefault="003B7122" w:rsidP="003B7122">
      <w:pPr>
        <w:rPr>
          <w:sz w:val="10"/>
        </w:rPr>
      </w:pPr>
    </w:p>
    <w:p w14:paraId="5D6950F6" w14:textId="33EB2053" w:rsidR="00C56D68" w:rsidRDefault="00C56D68" w:rsidP="00C56D68">
      <w:pPr>
        <w:pStyle w:val="Nadpis2"/>
        <w:tabs>
          <w:tab w:val="num" w:pos="576"/>
        </w:tabs>
        <w:ind w:left="786"/>
      </w:pPr>
      <w:r>
        <w:t xml:space="preserve">Tato Smlouva je vyhotovena </w:t>
      </w:r>
      <w:r w:rsidRPr="00A0199C">
        <w:t>v 1 vyhotovení v českém jazyce s platností originálu s</w:t>
      </w:r>
      <w:r w:rsidR="002C35A5">
        <w:t> </w:t>
      </w:r>
      <w:r w:rsidRPr="00A0199C">
        <w:t>elektronickými podpisy obou Smluvních stran</w:t>
      </w:r>
      <w:r w:rsidR="00171845">
        <w:t>.</w:t>
      </w:r>
    </w:p>
    <w:p w14:paraId="5E43E126" w14:textId="77777777" w:rsidR="003B7122" w:rsidRPr="003B7122" w:rsidRDefault="003B7122" w:rsidP="003B7122">
      <w:pPr>
        <w:rPr>
          <w:sz w:val="10"/>
        </w:rPr>
      </w:pPr>
    </w:p>
    <w:p w14:paraId="2C53CD94" w14:textId="44043954" w:rsidR="006135FA" w:rsidRDefault="006135FA" w:rsidP="0056725D">
      <w:pPr>
        <w:pStyle w:val="Nadpis2"/>
        <w:tabs>
          <w:tab w:val="num" w:pos="576"/>
        </w:tabs>
        <w:ind w:left="786"/>
      </w:pPr>
      <w:r w:rsidRPr="005C0F87">
        <w:lastRenderedPageBreak/>
        <w:t>Změny nebo doplňky této Smlouvy včetně jejích příloh musí být vyhotoveny písemně a</w:t>
      </w:r>
      <w:r w:rsidR="002C35A5">
        <w:t> </w:t>
      </w:r>
      <w:r w:rsidRPr="005C0F87">
        <w:t xml:space="preserve">podepsány oběma Smluvními stranami s podpisy Smluvních stran na jedné listině. </w:t>
      </w:r>
    </w:p>
    <w:p w14:paraId="32F4FC35" w14:textId="77777777" w:rsidR="003B7122" w:rsidRPr="003B7122" w:rsidRDefault="003B7122" w:rsidP="003B7122">
      <w:pPr>
        <w:rPr>
          <w:sz w:val="10"/>
        </w:rPr>
      </w:pP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Příloha č. 1:  Technická specifikace</w:t>
      </w:r>
    </w:p>
    <w:p w14:paraId="6C7728DE" w14:textId="7B7C45B5" w:rsidR="008A593E" w:rsidRDefault="008A593E" w:rsidP="00871F8F">
      <w:pPr>
        <w:ind w:firstLine="708"/>
      </w:pPr>
      <w:r>
        <w:t xml:space="preserve">Příloha č. </w:t>
      </w:r>
      <w:proofErr w:type="gramStart"/>
      <w:r>
        <w:t>2</w:t>
      </w:r>
      <w:r w:rsidR="000D1736">
        <w:t xml:space="preserve">: </w:t>
      </w:r>
      <w:r>
        <w:t xml:space="preserve"> Seznam</w:t>
      </w:r>
      <w:proofErr w:type="gramEnd"/>
      <w:r>
        <w:t xml:space="preserve"> odběrných míst</w:t>
      </w:r>
    </w:p>
    <w:p w14:paraId="698B2364" w14:textId="77777777" w:rsidR="003B7122" w:rsidRPr="00900D84" w:rsidRDefault="003B7122" w:rsidP="00871F8F">
      <w:pPr>
        <w:ind w:firstLine="708"/>
      </w:pPr>
    </w:p>
    <w:p w14:paraId="3267C655"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5AFD4A37" w14:textId="2721E747" w:rsidR="002045E1" w:rsidRDefault="002045E1" w:rsidP="002045E1"/>
    <w:p w14:paraId="5AB26243" w14:textId="77777777" w:rsidR="003B7122" w:rsidRPr="002045E1" w:rsidRDefault="003B7122" w:rsidP="002045E1"/>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2843BA88" w:rsidR="006135FA" w:rsidRPr="005C0F87" w:rsidRDefault="006135FA" w:rsidP="0086374F">
            <w:pPr>
              <w:jc w:val="center"/>
            </w:pPr>
            <w:r w:rsidRPr="005C0F87">
              <w:t>V</w:t>
            </w:r>
            <w:r w:rsidR="00A42175">
              <w:t> Uherském Hradišti</w:t>
            </w:r>
            <w:r w:rsidRPr="005C0F87">
              <w:t xml:space="preserve"> dne _____</w:t>
            </w:r>
            <w:r w:rsidR="00160703">
              <w:t>_</w:t>
            </w:r>
          </w:p>
        </w:tc>
        <w:tc>
          <w:tcPr>
            <w:tcW w:w="4606" w:type="dxa"/>
          </w:tcPr>
          <w:p w14:paraId="372256FA" w14:textId="2BCEA80B" w:rsidR="006135FA" w:rsidRDefault="006135FA" w:rsidP="0086374F">
            <w:pPr>
              <w:jc w:val="center"/>
            </w:pPr>
            <w:r w:rsidRPr="005C0F87">
              <w:t>V</w:t>
            </w:r>
            <w:r w:rsidR="00160703">
              <w:t xml:space="preserve"> Plzni</w:t>
            </w:r>
            <w:r w:rsidRPr="005C0F87">
              <w:t xml:space="preserve"> dne _____</w:t>
            </w:r>
          </w:p>
          <w:p w14:paraId="3F0EDA1B" w14:textId="77777777" w:rsidR="003B7122" w:rsidRDefault="003B7122" w:rsidP="0086374F">
            <w:pPr>
              <w:jc w:val="center"/>
            </w:pPr>
          </w:p>
          <w:p w14:paraId="3F9BDC19" w14:textId="3B6F7CAD" w:rsidR="003B7122" w:rsidRPr="005C0F87" w:rsidRDefault="003B7122" w:rsidP="0086374F">
            <w:pPr>
              <w:jc w:val="center"/>
            </w:pPr>
          </w:p>
        </w:tc>
      </w:tr>
      <w:tr w:rsidR="003B7122" w:rsidRPr="005C0F87" w14:paraId="03FA21AF" w14:textId="77777777" w:rsidTr="0086374F">
        <w:trPr>
          <w:trHeight w:val="1192"/>
        </w:trPr>
        <w:tc>
          <w:tcPr>
            <w:tcW w:w="4606" w:type="dxa"/>
          </w:tcPr>
          <w:p w14:paraId="53A3DD1C" w14:textId="77777777" w:rsidR="003B7122" w:rsidRPr="005C0F87" w:rsidRDefault="003B7122" w:rsidP="0086374F">
            <w:pPr>
              <w:jc w:val="center"/>
            </w:pPr>
          </w:p>
        </w:tc>
        <w:tc>
          <w:tcPr>
            <w:tcW w:w="4606" w:type="dxa"/>
          </w:tcPr>
          <w:p w14:paraId="506669EA" w14:textId="77777777" w:rsidR="003B7122" w:rsidRPr="005C0F87" w:rsidRDefault="003B7122" w:rsidP="0086374F">
            <w:pPr>
              <w:jc w:val="center"/>
            </w:pPr>
          </w:p>
        </w:tc>
      </w:tr>
      <w:tr w:rsidR="006135FA" w:rsidRPr="003B7122" w14:paraId="35A5FEB8" w14:textId="77777777" w:rsidTr="00EF18B3">
        <w:trPr>
          <w:trHeight w:val="238"/>
        </w:trPr>
        <w:tc>
          <w:tcPr>
            <w:tcW w:w="4606" w:type="dxa"/>
          </w:tcPr>
          <w:p w14:paraId="0C62711E" w14:textId="77777777" w:rsidR="006135FA" w:rsidRPr="003B7122" w:rsidRDefault="006135FA" w:rsidP="0086374F">
            <w:pPr>
              <w:jc w:val="center"/>
              <w:rPr>
                <w:sz w:val="16"/>
              </w:rPr>
            </w:pPr>
            <w:r w:rsidRPr="003B7122">
              <w:rPr>
                <w:sz w:val="16"/>
              </w:rPr>
              <w:t>______________________</w:t>
            </w:r>
          </w:p>
        </w:tc>
        <w:tc>
          <w:tcPr>
            <w:tcW w:w="4606" w:type="dxa"/>
          </w:tcPr>
          <w:p w14:paraId="379A4DC3" w14:textId="77777777" w:rsidR="006135FA" w:rsidRPr="003B7122" w:rsidRDefault="006135FA" w:rsidP="0086374F">
            <w:pPr>
              <w:jc w:val="center"/>
              <w:rPr>
                <w:sz w:val="16"/>
              </w:rPr>
            </w:pPr>
            <w:r w:rsidRPr="003B7122">
              <w:rPr>
                <w:sz w:val="16"/>
              </w:rPr>
              <w:t>______________________</w:t>
            </w:r>
          </w:p>
        </w:tc>
      </w:tr>
      <w:tr w:rsidR="00A42175" w14:paraId="7FCFB06A" w14:textId="77777777" w:rsidTr="00A42175">
        <w:trPr>
          <w:trHeight w:val="567"/>
        </w:trPr>
        <w:tc>
          <w:tcPr>
            <w:tcW w:w="4606" w:type="dxa"/>
          </w:tcPr>
          <w:p w14:paraId="2B42F4DA" w14:textId="77777777" w:rsidR="00A42175" w:rsidRDefault="00A42175" w:rsidP="00A42175">
            <w:pPr>
              <w:jc w:val="center"/>
            </w:pPr>
            <w:r>
              <w:t>Kupující</w:t>
            </w:r>
          </w:p>
          <w:p w14:paraId="42B82464" w14:textId="77777777" w:rsidR="00A42175" w:rsidRDefault="00A42175" w:rsidP="00A42175">
            <w:pPr>
              <w:jc w:val="center"/>
              <w:rPr>
                <w:b/>
              </w:rPr>
            </w:pPr>
            <w:r>
              <w:rPr>
                <w:b/>
              </w:rPr>
              <w:t>Mgr. Marek Machalík</w:t>
            </w:r>
          </w:p>
          <w:p w14:paraId="2D58D7F6" w14:textId="77777777" w:rsidR="00A42175" w:rsidRPr="00B772DD" w:rsidRDefault="00A42175" w:rsidP="00A42175">
            <w:pPr>
              <w:jc w:val="center"/>
            </w:pPr>
            <w:r w:rsidRPr="00B772DD">
              <w:t>ředitel školy</w:t>
            </w:r>
          </w:p>
          <w:p w14:paraId="4461C4B8" w14:textId="77777777" w:rsidR="00A42175" w:rsidRDefault="00A42175" w:rsidP="00A42175">
            <w:pPr>
              <w:jc w:val="center"/>
            </w:pPr>
          </w:p>
        </w:tc>
        <w:tc>
          <w:tcPr>
            <w:tcW w:w="4606" w:type="dxa"/>
          </w:tcPr>
          <w:p w14:paraId="75C4A434" w14:textId="77777777" w:rsidR="00A42175" w:rsidRDefault="00A42175" w:rsidP="00A42175">
            <w:pPr>
              <w:jc w:val="center"/>
            </w:pPr>
            <w:r>
              <w:t>Prodávající</w:t>
            </w:r>
          </w:p>
          <w:p w14:paraId="13DC452C" w14:textId="77777777" w:rsidR="00A42175" w:rsidRPr="00B772DD" w:rsidRDefault="00A42175" w:rsidP="00A42175">
            <w:pPr>
              <w:jc w:val="center"/>
              <w:rPr>
                <w:b/>
              </w:rPr>
            </w:pPr>
            <w:r w:rsidRPr="00B772DD">
              <w:rPr>
                <w:b/>
              </w:rPr>
              <w:t>Jan Toman</w:t>
            </w:r>
          </w:p>
          <w:p w14:paraId="04565A37" w14:textId="77777777" w:rsidR="00A42175" w:rsidRDefault="00A42175" w:rsidP="00A42175">
            <w:pPr>
              <w:jc w:val="center"/>
            </w:pPr>
            <w:r>
              <w:t>zplnomocněný zástupce jednatele</w:t>
            </w:r>
          </w:p>
        </w:tc>
      </w:tr>
      <w:tr w:rsidR="00A42175" w:rsidRPr="00C15D8A" w14:paraId="7991F8FB" w14:textId="77777777" w:rsidTr="0086374F">
        <w:trPr>
          <w:trHeight w:val="567"/>
        </w:trPr>
        <w:tc>
          <w:tcPr>
            <w:tcW w:w="4606" w:type="dxa"/>
          </w:tcPr>
          <w:p w14:paraId="296332EC" w14:textId="375BA0A2" w:rsidR="00A42175" w:rsidRPr="005C0F87" w:rsidRDefault="00A42175" w:rsidP="005B421F">
            <w:pPr>
              <w:jc w:val="center"/>
            </w:pPr>
          </w:p>
        </w:tc>
        <w:tc>
          <w:tcPr>
            <w:tcW w:w="4606" w:type="dxa"/>
          </w:tcPr>
          <w:p w14:paraId="5EE7B184" w14:textId="6B8DBB69" w:rsidR="00A42175" w:rsidRPr="00C15D8A" w:rsidRDefault="00A42175" w:rsidP="001D67D0">
            <w:pPr>
              <w:jc w:val="center"/>
            </w:pPr>
          </w:p>
        </w:tc>
      </w:tr>
    </w:tbl>
    <w:p w14:paraId="7009A1D4" w14:textId="569DB753" w:rsidR="006135FA" w:rsidRDefault="006135FA" w:rsidP="008A5116">
      <w:pPr>
        <w:rPr>
          <w:b/>
        </w:rPr>
      </w:pPr>
    </w:p>
    <w:p w14:paraId="7B8EBDCC" w14:textId="2E14225D" w:rsidR="009B6443" w:rsidRDefault="009B6443" w:rsidP="008A5116">
      <w:pPr>
        <w:rPr>
          <w:b/>
        </w:rPr>
      </w:pPr>
    </w:p>
    <w:p w14:paraId="557708F3" w14:textId="529F30D6" w:rsidR="009B6443" w:rsidRDefault="009B6443" w:rsidP="008A5116">
      <w:pPr>
        <w:rPr>
          <w:b/>
        </w:rPr>
      </w:pPr>
    </w:p>
    <w:p w14:paraId="4021646C" w14:textId="5C16658A" w:rsidR="009B6443" w:rsidRDefault="009B6443" w:rsidP="008A5116">
      <w:pPr>
        <w:rPr>
          <w:b/>
        </w:rPr>
      </w:pPr>
    </w:p>
    <w:p w14:paraId="624244F5" w14:textId="235C6570" w:rsidR="009B6443" w:rsidRDefault="009B6443" w:rsidP="008A5116">
      <w:pPr>
        <w:rPr>
          <w:b/>
        </w:rPr>
      </w:pPr>
    </w:p>
    <w:p w14:paraId="2AAC4BE3" w14:textId="2EE800E8" w:rsidR="009B6443" w:rsidRDefault="009B6443" w:rsidP="008A5116">
      <w:pPr>
        <w:rPr>
          <w:b/>
        </w:rPr>
      </w:pPr>
    </w:p>
    <w:p w14:paraId="15779C06" w14:textId="28A9608E" w:rsidR="009B6443" w:rsidRDefault="009B6443" w:rsidP="008A5116">
      <w:pPr>
        <w:rPr>
          <w:b/>
        </w:rPr>
      </w:pPr>
    </w:p>
    <w:p w14:paraId="04EA0147" w14:textId="056934E0" w:rsidR="009B6443" w:rsidRDefault="009B6443" w:rsidP="008A5116">
      <w:pPr>
        <w:rPr>
          <w:b/>
        </w:rPr>
      </w:pPr>
    </w:p>
    <w:p w14:paraId="301E379D" w14:textId="12484B65" w:rsidR="009B6443" w:rsidRDefault="009B6443" w:rsidP="008A5116">
      <w:pPr>
        <w:rPr>
          <w:b/>
        </w:rPr>
      </w:pPr>
    </w:p>
    <w:p w14:paraId="7A810E7F" w14:textId="44160FCE" w:rsidR="009B6443" w:rsidRDefault="009B6443" w:rsidP="008A5116">
      <w:pPr>
        <w:rPr>
          <w:b/>
        </w:rPr>
      </w:pPr>
    </w:p>
    <w:p w14:paraId="1D691A72" w14:textId="64283B43" w:rsidR="009B6443" w:rsidRDefault="009B6443" w:rsidP="008A5116">
      <w:pPr>
        <w:rPr>
          <w:b/>
        </w:rPr>
      </w:pPr>
    </w:p>
    <w:p w14:paraId="76766DDA" w14:textId="38612F58" w:rsidR="009B6443" w:rsidRDefault="009B6443" w:rsidP="008A5116">
      <w:pPr>
        <w:rPr>
          <w:b/>
        </w:rPr>
      </w:pPr>
    </w:p>
    <w:p w14:paraId="03621339" w14:textId="6488136C" w:rsidR="009B6443" w:rsidRDefault="009B6443" w:rsidP="008A5116">
      <w:pPr>
        <w:rPr>
          <w:b/>
        </w:rPr>
      </w:pPr>
    </w:p>
    <w:p w14:paraId="535E0C65" w14:textId="5A0E69B0" w:rsidR="009B6443" w:rsidRDefault="009B6443" w:rsidP="008A5116">
      <w:pPr>
        <w:rPr>
          <w:b/>
        </w:rPr>
      </w:pPr>
    </w:p>
    <w:p w14:paraId="75F96D76" w14:textId="7CE9309D" w:rsidR="009B6443" w:rsidRDefault="009B6443" w:rsidP="008A5116">
      <w:pPr>
        <w:rPr>
          <w:b/>
        </w:rPr>
      </w:pPr>
    </w:p>
    <w:p w14:paraId="18FAF4D8" w14:textId="6E8FB50B" w:rsidR="009B6443" w:rsidRDefault="009B6443" w:rsidP="008A5116">
      <w:pPr>
        <w:rPr>
          <w:b/>
        </w:rPr>
      </w:pPr>
    </w:p>
    <w:p w14:paraId="1A215824" w14:textId="0C3F1B59" w:rsidR="009B6443" w:rsidRDefault="009B6443" w:rsidP="008A5116">
      <w:pPr>
        <w:rPr>
          <w:b/>
        </w:rPr>
      </w:pPr>
    </w:p>
    <w:p w14:paraId="6C08D6A2" w14:textId="2A1EF2A0" w:rsidR="009B6443" w:rsidRDefault="009B6443" w:rsidP="008A5116">
      <w:pPr>
        <w:rPr>
          <w:b/>
        </w:rPr>
      </w:pPr>
    </w:p>
    <w:p w14:paraId="004E9BA7" w14:textId="62B5F9A2" w:rsidR="009B6443" w:rsidRDefault="009B6443" w:rsidP="008A5116">
      <w:pPr>
        <w:rPr>
          <w:b/>
        </w:rPr>
      </w:pPr>
    </w:p>
    <w:p w14:paraId="7A369CE2" w14:textId="1C2D7AF2" w:rsidR="009B6443" w:rsidRDefault="009B6443" w:rsidP="008A5116">
      <w:pPr>
        <w:rPr>
          <w:b/>
        </w:rPr>
      </w:pPr>
    </w:p>
    <w:p w14:paraId="17D25EAC" w14:textId="7C86AE45" w:rsidR="009B6443" w:rsidRDefault="009B6443" w:rsidP="008A5116">
      <w:pPr>
        <w:rPr>
          <w:b/>
        </w:rPr>
      </w:pPr>
    </w:p>
    <w:p w14:paraId="55D87956" w14:textId="6CB3C436" w:rsidR="009B6443" w:rsidRDefault="009B6443" w:rsidP="008A5116">
      <w:pPr>
        <w:rPr>
          <w:b/>
        </w:rPr>
      </w:pPr>
    </w:p>
    <w:p w14:paraId="477B4201" w14:textId="5E9FF9E7" w:rsidR="009B6443" w:rsidRDefault="009B6443" w:rsidP="008A5116">
      <w:pPr>
        <w:rPr>
          <w:b/>
        </w:rPr>
      </w:pPr>
    </w:p>
    <w:p w14:paraId="3A42EF15" w14:textId="34DABC24" w:rsidR="009B6443" w:rsidRDefault="009B6443" w:rsidP="008A5116">
      <w:pPr>
        <w:rPr>
          <w:b/>
        </w:rPr>
      </w:pPr>
    </w:p>
    <w:p w14:paraId="46707DCE" w14:textId="2E102D15" w:rsidR="00AF6917" w:rsidRDefault="00AF6917">
      <w:pPr>
        <w:rPr>
          <w:b/>
        </w:rPr>
      </w:pPr>
      <w:r>
        <w:rPr>
          <w:b/>
        </w:rPr>
        <w:br w:type="page"/>
      </w:r>
    </w:p>
    <w:p w14:paraId="11AF06DE" w14:textId="77777777" w:rsidR="00A1602B" w:rsidRDefault="00A1602B" w:rsidP="00A1602B">
      <w:pPr>
        <w:jc w:val="center"/>
        <w:rPr>
          <w:b/>
          <w:color w:val="000000"/>
        </w:rPr>
      </w:pPr>
      <w:bookmarkStart w:id="3" w:name="RANGE!A1:D73"/>
      <w:r>
        <w:rPr>
          <w:b/>
          <w:color w:val="000000"/>
        </w:rPr>
        <w:lastRenderedPageBreak/>
        <w:t>Příloha č. 1 Technická specifikace</w:t>
      </w:r>
      <w:bookmarkEnd w:id="3"/>
    </w:p>
    <w:p w14:paraId="5869033A" w14:textId="4FADAD13" w:rsidR="00A1602B" w:rsidRDefault="00A1602B" w:rsidP="008A5116">
      <w:pPr>
        <w:rPr>
          <w:b/>
        </w:rPr>
      </w:pPr>
    </w:p>
    <w:tbl>
      <w:tblPr>
        <w:tblW w:w="5000" w:type="pct"/>
        <w:tblCellMar>
          <w:left w:w="70" w:type="dxa"/>
          <w:right w:w="70" w:type="dxa"/>
        </w:tblCellMar>
        <w:tblLook w:val="04A0" w:firstRow="1" w:lastRow="0" w:firstColumn="1" w:lastColumn="0" w:noHBand="0" w:noVBand="1"/>
      </w:tblPr>
      <w:tblGrid>
        <w:gridCol w:w="2214"/>
        <w:gridCol w:w="2206"/>
        <w:gridCol w:w="1643"/>
        <w:gridCol w:w="3555"/>
      </w:tblGrid>
      <w:tr w:rsidR="00A1602B" w14:paraId="70C51EB2" w14:textId="77777777" w:rsidTr="001E6EE1">
        <w:trPr>
          <w:trHeight w:val="375"/>
        </w:trPr>
        <w:tc>
          <w:tcPr>
            <w:tcW w:w="2298" w:type="pct"/>
            <w:gridSpan w:val="2"/>
            <w:tcBorders>
              <w:top w:val="single" w:sz="8" w:space="0" w:color="auto"/>
              <w:left w:val="single" w:sz="8" w:space="0" w:color="auto"/>
              <w:bottom w:val="nil"/>
              <w:right w:val="nil"/>
            </w:tcBorders>
            <w:noWrap/>
            <w:vAlign w:val="center"/>
            <w:hideMark/>
          </w:tcPr>
          <w:p w14:paraId="7E92A8E2"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2702" w:type="pct"/>
            <w:gridSpan w:val="2"/>
            <w:tcBorders>
              <w:top w:val="single" w:sz="8" w:space="0" w:color="auto"/>
              <w:left w:val="single" w:sz="8" w:space="0" w:color="auto"/>
              <w:bottom w:val="nil"/>
              <w:right w:val="single" w:sz="8" w:space="0" w:color="000000"/>
            </w:tcBorders>
            <w:noWrap/>
            <w:vAlign w:val="center"/>
            <w:hideMark/>
          </w:tcPr>
          <w:p w14:paraId="5B65F06B"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A1602B" w14:paraId="045EA958" w14:textId="77777777" w:rsidTr="001E6EE1">
        <w:trPr>
          <w:trHeight w:val="300"/>
        </w:trPr>
        <w:tc>
          <w:tcPr>
            <w:tcW w:w="2298"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5378D1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2702"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F2CCA6D" w14:textId="77777777" w:rsidR="00A1602B" w:rsidRDefault="00A1602B">
            <w:pPr>
              <w:jc w:val="center"/>
              <w:rPr>
                <w:rFonts w:ascii="Calibri" w:hAnsi="Calibri" w:cs="Calibri"/>
                <w:b/>
                <w:bCs/>
                <w:color w:val="000000"/>
                <w:sz w:val="22"/>
                <w:szCs w:val="22"/>
              </w:rPr>
            </w:pPr>
            <w:proofErr w:type="spellStart"/>
            <w:r>
              <w:rPr>
                <w:rFonts w:ascii="Calibri" w:hAnsi="Calibri" w:cs="Calibri"/>
                <w:b/>
                <w:bCs/>
                <w:color w:val="000000"/>
                <w:sz w:val="22"/>
                <w:szCs w:val="22"/>
              </w:rPr>
              <w:t>Lenovo</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ThinkCentre</w:t>
            </w:r>
            <w:proofErr w:type="spellEnd"/>
            <w:r>
              <w:rPr>
                <w:rFonts w:ascii="Calibri" w:hAnsi="Calibri" w:cs="Calibri"/>
                <w:b/>
                <w:bCs/>
                <w:color w:val="000000"/>
                <w:sz w:val="22"/>
                <w:szCs w:val="22"/>
              </w:rPr>
              <w:t xml:space="preserve"> M75s_Gen5 12T9</w:t>
            </w:r>
          </w:p>
        </w:tc>
      </w:tr>
      <w:tr w:rsidR="00A1602B" w14:paraId="5D4438D8" w14:textId="77777777" w:rsidTr="001E6EE1">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3E933E1B"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31C260EF"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090D837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667979D8"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2EF62ACF" w14:textId="77777777" w:rsidTr="001E6EE1">
        <w:trPr>
          <w:trHeight w:val="300"/>
        </w:trPr>
        <w:tc>
          <w:tcPr>
            <w:tcW w:w="1151" w:type="pct"/>
            <w:tcBorders>
              <w:top w:val="single" w:sz="4" w:space="0" w:color="auto"/>
              <w:left w:val="single" w:sz="8" w:space="0" w:color="auto"/>
              <w:bottom w:val="single" w:sz="4" w:space="0" w:color="auto"/>
              <w:right w:val="single" w:sz="4" w:space="0" w:color="auto"/>
            </w:tcBorders>
            <w:noWrap/>
            <w:vAlign w:val="center"/>
            <w:hideMark/>
          </w:tcPr>
          <w:p w14:paraId="1D45AD75" w14:textId="77777777" w:rsidR="00A1602B" w:rsidRDefault="00A1602B">
            <w:pPr>
              <w:rPr>
                <w:rFonts w:ascii="Calibri" w:hAnsi="Calibri" w:cs="Calibri"/>
                <w:color w:val="000000"/>
                <w:sz w:val="22"/>
                <w:szCs w:val="22"/>
              </w:rPr>
            </w:pPr>
            <w:r>
              <w:rPr>
                <w:rFonts w:ascii="Calibri" w:hAnsi="Calibri" w:cs="Calibri"/>
                <w:color w:val="000000"/>
                <w:sz w:val="22"/>
                <w:szCs w:val="22"/>
              </w:rPr>
              <w:t>Konstrukční provedení:</w:t>
            </w:r>
          </w:p>
        </w:tc>
        <w:tc>
          <w:tcPr>
            <w:tcW w:w="1147" w:type="pct"/>
            <w:tcBorders>
              <w:top w:val="single" w:sz="4" w:space="0" w:color="auto"/>
              <w:left w:val="nil"/>
              <w:bottom w:val="single" w:sz="4" w:space="0" w:color="auto"/>
              <w:right w:val="nil"/>
            </w:tcBorders>
            <w:vAlign w:val="center"/>
            <w:hideMark/>
          </w:tcPr>
          <w:p w14:paraId="151C2611" w14:textId="77777777" w:rsidR="00A1602B" w:rsidRDefault="00A1602B">
            <w:pPr>
              <w:rPr>
                <w:rFonts w:ascii="Calibri" w:hAnsi="Calibri" w:cs="Calibri"/>
                <w:color w:val="000000"/>
                <w:sz w:val="22"/>
                <w:szCs w:val="22"/>
              </w:rPr>
            </w:pPr>
            <w:proofErr w:type="spellStart"/>
            <w:r>
              <w:rPr>
                <w:rFonts w:ascii="Calibri" w:hAnsi="Calibri" w:cs="Calibri"/>
                <w:color w:val="000000"/>
                <w:sz w:val="22"/>
                <w:szCs w:val="22"/>
              </w:rPr>
              <w:t>Small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Factor</w:t>
            </w:r>
            <w:proofErr w:type="spellEnd"/>
            <w:r>
              <w:rPr>
                <w:rFonts w:ascii="Calibri" w:hAnsi="Calibri" w:cs="Calibri"/>
                <w:color w:val="000000"/>
                <w:sz w:val="22"/>
                <w:szCs w:val="22"/>
              </w:rPr>
              <w:t xml:space="preserve"> (SFF)</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73ED155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6959A40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1D36AD6" w14:textId="77777777" w:rsidTr="001E6EE1">
        <w:trPr>
          <w:trHeight w:val="600"/>
        </w:trPr>
        <w:tc>
          <w:tcPr>
            <w:tcW w:w="1151" w:type="pct"/>
            <w:tcBorders>
              <w:top w:val="nil"/>
              <w:left w:val="single" w:sz="8" w:space="0" w:color="auto"/>
              <w:bottom w:val="single" w:sz="4" w:space="0" w:color="auto"/>
              <w:right w:val="single" w:sz="4" w:space="0" w:color="auto"/>
            </w:tcBorders>
            <w:noWrap/>
            <w:vAlign w:val="center"/>
            <w:hideMark/>
          </w:tcPr>
          <w:p w14:paraId="34D51C9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6EB7B5EF" w14:textId="77777777" w:rsidR="00A1602B" w:rsidRDefault="00A160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B782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0CE34F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53CC6D2" w14:textId="77777777" w:rsidTr="001E6EE1">
        <w:trPr>
          <w:trHeight w:val="1200"/>
        </w:trPr>
        <w:tc>
          <w:tcPr>
            <w:tcW w:w="1151" w:type="pct"/>
            <w:tcBorders>
              <w:top w:val="nil"/>
              <w:left w:val="single" w:sz="8" w:space="0" w:color="auto"/>
              <w:bottom w:val="single" w:sz="4" w:space="0" w:color="auto"/>
              <w:right w:val="single" w:sz="4" w:space="0" w:color="auto"/>
            </w:tcBorders>
            <w:noWrap/>
            <w:vAlign w:val="center"/>
            <w:hideMark/>
          </w:tcPr>
          <w:p w14:paraId="76B64B9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A7DB984" w14:textId="77777777" w:rsidR="00A1602B" w:rsidRDefault="00A160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442CD8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D28B7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9CAEAA" w14:textId="77777777" w:rsidTr="001E6EE1">
        <w:trPr>
          <w:trHeight w:val="900"/>
        </w:trPr>
        <w:tc>
          <w:tcPr>
            <w:tcW w:w="1151" w:type="pct"/>
            <w:vMerge w:val="restart"/>
            <w:tcBorders>
              <w:top w:val="nil"/>
              <w:left w:val="single" w:sz="8" w:space="0" w:color="auto"/>
              <w:bottom w:val="single" w:sz="4" w:space="0" w:color="000000"/>
              <w:right w:val="single" w:sz="4" w:space="0" w:color="auto"/>
            </w:tcBorders>
            <w:noWrap/>
            <w:vAlign w:val="center"/>
            <w:hideMark/>
          </w:tcPr>
          <w:p w14:paraId="27A42C6C" w14:textId="77777777" w:rsidR="00A1602B" w:rsidRDefault="00A1602B">
            <w:pPr>
              <w:rPr>
                <w:rFonts w:ascii="Calibri" w:hAnsi="Calibri" w:cs="Calibri"/>
                <w:color w:val="000000"/>
                <w:sz w:val="22"/>
                <w:szCs w:val="22"/>
              </w:rPr>
            </w:pPr>
            <w:r>
              <w:rPr>
                <w:rFonts w:ascii="Calibri" w:hAnsi="Calibri" w:cs="Calibri"/>
                <w:color w:val="000000"/>
                <w:sz w:val="22"/>
                <w:szCs w:val="22"/>
              </w:rPr>
              <w:t>Procesor:</w:t>
            </w:r>
          </w:p>
        </w:tc>
        <w:tc>
          <w:tcPr>
            <w:tcW w:w="1147" w:type="pct"/>
            <w:tcBorders>
              <w:top w:val="nil"/>
              <w:left w:val="nil"/>
              <w:bottom w:val="single" w:sz="4" w:space="0" w:color="auto"/>
              <w:right w:val="nil"/>
            </w:tcBorders>
            <w:vAlign w:val="center"/>
            <w:hideMark/>
          </w:tcPr>
          <w:p w14:paraId="604905AC" w14:textId="77777777" w:rsidR="00A1602B" w:rsidRDefault="00A1602B">
            <w:pPr>
              <w:rPr>
                <w:rFonts w:ascii="Calibri" w:hAnsi="Calibri" w:cs="Calibri"/>
                <w:sz w:val="22"/>
                <w:szCs w:val="22"/>
              </w:rPr>
            </w:pPr>
            <w:r>
              <w:rPr>
                <w:rFonts w:ascii="Calibri" w:hAnsi="Calibri" w:cs="Calibri"/>
                <w:sz w:val="22"/>
                <w:szCs w:val="22"/>
              </w:rPr>
              <w:t xml:space="preserve">Minimální hodnota dle </w:t>
            </w:r>
            <w:proofErr w:type="spellStart"/>
            <w:r>
              <w:rPr>
                <w:rFonts w:ascii="Calibri" w:hAnsi="Calibri" w:cs="Calibri"/>
                <w:sz w:val="22"/>
                <w:szCs w:val="22"/>
              </w:rPr>
              <w:t>PassMark</w:t>
            </w:r>
            <w:proofErr w:type="spellEnd"/>
            <w:r>
              <w:rPr>
                <w:rFonts w:ascii="Calibri" w:hAnsi="Calibri" w:cs="Calibri"/>
                <w:sz w:val="22"/>
                <w:szCs w:val="22"/>
              </w:rPr>
              <w:t xml:space="preserve"> - 20000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C6B7A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nil"/>
              <w:right w:val="single" w:sz="8" w:space="0" w:color="auto"/>
            </w:tcBorders>
            <w:shd w:val="clear" w:color="000000" w:fill="FFFF00"/>
            <w:vAlign w:val="center"/>
            <w:hideMark/>
          </w:tcPr>
          <w:p w14:paraId="7248DEEA" w14:textId="77777777" w:rsidR="00A1602B" w:rsidRDefault="00A1602B">
            <w:pPr>
              <w:jc w:val="cente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8500G </w:t>
            </w:r>
            <w:proofErr w:type="spellStart"/>
            <w:r>
              <w:rPr>
                <w:rFonts w:ascii="Calibri" w:hAnsi="Calibri" w:cs="Calibri"/>
                <w:sz w:val="22"/>
                <w:szCs w:val="22"/>
              </w:rPr>
              <w:t>Processor</w:t>
            </w:r>
            <w:proofErr w:type="spellEnd"/>
            <w:r>
              <w:rPr>
                <w:rFonts w:ascii="Calibri" w:hAnsi="Calibri" w:cs="Calibri"/>
                <w:sz w:val="22"/>
                <w:szCs w:val="22"/>
              </w:rPr>
              <w:t xml:space="preserve">  21611 bodů</w:t>
            </w:r>
          </w:p>
        </w:tc>
      </w:tr>
      <w:tr w:rsidR="00A1602B" w14:paraId="3E14964F" w14:textId="77777777" w:rsidTr="001E6EE1">
        <w:trPr>
          <w:trHeight w:val="900"/>
        </w:trPr>
        <w:tc>
          <w:tcPr>
            <w:tcW w:w="1151" w:type="pct"/>
            <w:vMerge/>
            <w:tcBorders>
              <w:top w:val="nil"/>
              <w:left w:val="single" w:sz="8" w:space="0" w:color="auto"/>
              <w:bottom w:val="single" w:sz="4" w:space="0" w:color="000000"/>
              <w:right w:val="single" w:sz="4" w:space="0" w:color="auto"/>
            </w:tcBorders>
            <w:vAlign w:val="center"/>
            <w:hideMark/>
          </w:tcPr>
          <w:p w14:paraId="45E5B31B" w14:textId="77777777" w:rsidR="00A1602B" w:rsidRDefault="00A1602B">
            <w:pPr>
              <w:rPr>
                <w:rFonts w:ascii="Calibri" w:hAnsi="Calibri" w:cs="Calibri"/>
                <w:color w:val="000000"/>
                <w:sz w:val="22"/>
                <w:szCs w:val="22"/>
              </w:rPr>
            </w:pPr>
          </w:p>
        </w:tc>
        <w:tc>
          <w:tcPr>
            <w:tcW w:w="1147" w:type="pct"/>
            <w:tcBorders>
              <w:top w:val="nil"/>
              <w:left w:val="nil"/>
              <w:bottom w:val="single" w:sz="4" w:space="0" w:color="auto"/>
              <w:right w:val="nil"/>
            </w:tcBorders>
            <w:vAlign w:val="center"/>
            <w:hideMark/>
          </w:tcPr>
          <w:p w14:paraId="1814FCAF" w14:textId="77777777" w:rsidR="00A1602B" w:rsidRDefault="00A1602B">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2E924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DAF6DD0"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40A40477" w14:textId="77777777" w:rsidTr="001E6EE1">
        <w:trPr>
          <w:trHeight w:val="300"/>
        </w:trPr>
        <w:tc>
          <w:tcPr>
            <w:tcW w:w="1151" w:type="pct"/>
            <w:tcBorders>
              <w:top w:val="nil"/>
              <w:left w:val="single" w:sz="8" w:space="0" w:color="auto"/>
              <w:bottom w:val="single" w:sz="4" w:space="0" w:color="auto"/>
              <w:right w:val="single" w:sz="4" w:space="0" w:color="auto"/>
            </w:tcBorders>
            <w:noWrap/>
            <w:vAlign w:val="center"/>
            <w:hideMark/>
          </w:tcPr>
          <w:p w14:paraId="36D7350F"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paměť:</w:t>
            </w:r>
          </w:p>
        </w:tc>
        <w:tc>
          <w:tcPr>
            <w:tcW w:w="1147" w:type="pct"/>
            <w:tcBorders>
              <w:top w:val="nil"/>
              <w:left w:val="nil"/>
              <w:bottom w:val="single" w:sz="4" w:space="0" w:color="auto"/>
              <w:right w:val="nil"/>
            </w:tcBorders>
            <w:vAlign w:val="center"/>
            <w:hideMark/>
          </w:tcPr>
          <w:p w14:paraId="791B4A8D" w14:textId="17E48725" w:rsidR="00A1602B" w:rsidRDefault="00A1602B">
            <w:pPr>
              <w:rPr>
                <w:rFonts w:ascii="Calibri" w:hAnsi="Calibri" w:cs="Calibri"/>
                <w:sz w:val="22"/>
                <w:szCs w:val="22"/>
              </w:rPr>
            </w:pPr>
            <w:r>
              <w:rPr>
                <w:rFonts w:ascii="Calibri" w:hAnsi="Calibri" w:cs="Calibri"/>
                <w:sz w:val="22"/>
                <w:szCs w:val="22"/>
              </w:rPr>
              <w:t xml:space="preserve">Minimálně </w:t>
            </w:r>
            <w:r w:rsidR="001E6EE1">
              <w:rPr>
                <w:rFonts w:ascii="Calibri" w:hAnsi="Calibri" w:cs="Calibri"/>
                <w:sz w:val="22"/>
                <w:szCs w:val="22"/>
              </w:rPr>
              <w:t>32</w:t>
            </w:r>
            <w:r>
              <w:rPr>
                <w:rFonts w:ascii="Calibri" w:hAnsi="Calibri" w:cs="Calibri"/>
                <w:sz w:val="22"/>
                <w:szCs w:val="22"/>
              </w:rPr>
              <w:t xml:space="preserve"> GB DDR5</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07F5B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776A35EF" w14:textId="31AE7C4E" w:rsidR="00A1602B" w:rsidRDefault="001E6EE1">
            <w:pPr>
              <w:jc w:val="center"/>
              <w:rPr>
                <w:rFonts w:ascii="Calibri" w:hAnsi="Calibri" w:cs="Calibri"/>
                <w:sz w:val="22"/>
                <w:szCs w:val="22"/>
              </w:rPr>
            </w:pPr>
            <w:r>
              <w:rPr>
                <w:rFonts w:ascii="Calibri" w:hAnsi="Calibri" w:cs="Calibri"/>
                <w:sz w:val="22"/>
                <w:szCs w:val="22"/>
              </w:rPr>
              <w:t>32</w:t>
            </w:r>
            <w:r w:rsidR="00A1602B">
              <w:rPr>
                <w:rFonts w:ascii="Calibri" w:hAnsi="Calibri" w:cs="Calibri"/>
                <w:sz w:val="22"/>
                <w:szCs w:val="22"/>
              </w:rPr>
              <w:t xml:space="preserve"> GB DDR5-</w:t>
            </w:r>
            <w:r>
              <w:rPr>
                <w:rFonts w:ascii="Calibri" w:hAnsi="Calibri" w:cs="Calibri"/>
                <w:sz w:val="22"/>
                <w:szCs w:val="22"/>
              </w:rPr>
              <w:t>5200MHz (UDIMM) - (2 x 16 GB)</w:t>
            </w:r>
          </w:p>
        </w:tc>
      </w:tr>
      <w:tr w:rsidR="00A1602B" w14:paraId="10217F9D" w14:textId="77777777" w:rsidTr="001E6EE1">
        <w:trPr>
          <w:trHeight w:val="600"/>
        </w:trPr>
        <w:tc>
          <w:tcPr>
            <w:tcW w:w="1151" w:type="pct"/>
            <w:tcBorders>
              <w:top w:val="nil"/>
              <w:left w:val="single" w:sz="8" w:space="0" w:color="auto"/>
              <w:bottom w:val="single" w:sz="4" w:space="0" w:color="auto"/>
              <w:right w:val="single" w:sz="4" w:space="0" w:color="auto"/>
            </w:tcBorders>
            <w:noWrap/>
            <w:vAlign w:val="center"/>
            <w:hideMark/>
          </w:tcPr>
          <w:p w14:paraId="4DE084EF" w14:textId="77777777" w:rsidR="00A1602B" w:rsidRDefault="00A1602B">
            <w:pPr>
              <w:rPr>
                <w:rFonts w:ascii="Calibri" w:hAnsi="Calibri" w:cs="Calibri"/>
                <w:color w:val="000000"/>
                <w:sz w:val="22"/>
                <w:szCs w:val="22"/>
              </w:rPr>
            </w:pPr>
            <w:r>
              <w:rPr>
                <w:rFonts w:ascii="Calibri" w:hAnsi="Calibri" w:cs="Calibri"/>
                <w:color w:val="000000"/>
                <w:sz w:val="22"/>
                <w:szCs w:val="22"/>
              </w:rPr>
              <w:t>SSD:</w:t>
            </w:r>
          </w:p>
        </w:tc>
        <w:tc>
          <w:tcPr>
            <w:tcW w:w="1147" w:type="pct"/>
            <w:tcBorders>
              <w:top w:val="nil"/>
              <w:left w:val="nil"/>
              <w:bottom w:val="single" w:sz="4" w:space="0" w:color="auto"/>
              <w:right w:val="nil"/>
            </w:tcBorders>
            <w:vAlign w:val="center"/>
            <w:hideMark/>
          </w:tcPr>
          <w:p w14:paraId="395890E1" w14:textId="77777777" w:rsidR="00A1602B" w:rsidRDefault="00A1602B">
            <w:pPr>
              <w:rPr>
                <w:rFonts w:ascii="Calibri" w:hAnsi="Calibri" w:cs="Calibri"/>
                <w:sz w:val="22"/>
                <w:szCs w:val="22"/>
              </w:rPr>
            </w:pPr>
            <w:r>
              <w:rPr>
                <w:rFonts w:ascii="Calibri" w:hAnsi="Calibri" w:cs="Calibri"/>
                <w:sz w:val="22"/>
                <w:szCs w:val="22"/>
              </w:rPr>
              <w:t xml:space="preserve">Minimálně 1x s kapacitou minimálně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5BAC93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9C68678" w14:textId="77777777" w:rsidR="00A1602B" w:rsidRDefault="00A1602B">
            <w:pPr>
              <w:jc w:val="cente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A1602B" w14:paraId="5D87B1C8" w14:textId="77777777" w:rsidTr="001E6EE1">
        <w:trPr>
          <w:trHeight w:val="300"/>
        </w:trPr>
        <w:tc>
          <w:tcPr>
            <w:tcW w:w="1151" w:type="pct"/>
            <w:tcBorders>
              <w:top w:val="nil"/>
              <w:left w:val="single" w:sz="8" w:space="0" w:color="auto"/>
              <w:bottom w:val="single" w:sz="4" w:space="0" w:color="auto"/>
              <w:right w:val="single" w:sz="4" w:space="0" w:color="auto"/>
            </w:tcBorders>
            <w:noWrap/>
            <w:vAlign w:val="center"/>
            <w:hideMark/>
          </w:tcPr>
          <w:p w14:paraId="7029719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0F7999B" w14:textId="77777777" w:rsidR="00A1602B" w:rsidRDefault="00A1602B">
            <w:pPr>
              <w:rPr>
                <w:rFonts w:ascii="Calibri" w:hAnsi="Calibri" w:cs="Calibri"/>
                <w:sz w:val="22"/>
                <w:szCs w:val="22"/>
              </w:rPr>
            </w:pPr>
            <w:r>
              <w:rPr>
                <w:rFonts w:ascii="Calibri" w:hAnsi="Calibri" w:cs="Calibri"/>
                <w:sz w:val="22"/>
                <w:szCs w:val="22"/>
              </w:rPr>
              <w:t>Rychlost čtení / zápis min. 2000 MB/s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5CC8A9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2ED1D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9359D5" w14:textId="77777777" w:rsidTr="001E6EE1">
        <w:trPr>
          <w:trHeight w:val="900"/>
        </w:trPr>
        <w:tc>
          <w:tcPr>
            <w:tcW w:w="1151" w:type="pct"/>
            <w:tcBorders>
              <w:top w:val="nil"/>
              <w:left w:val="single" w:sz="8" w:space="0" w:color="auto"/>
              <w:bottom w:val="single" w:sz="4" w:space="0" w:color="auto"/>
              <w:right w:val="single" w:sz="4" w:space="0" w:color="auto"/>
            </w:tcBorders>
            <w:noWrap/>
            <w:vAlign w:val="center"/>
            <w:hideMark/>
          </w:tcPr>
          <w:p w14:paraId="39BC32D4" w14:textId="77777777" w:rsidR="00A1602B" w:rsidRDefault="00A1602B">
            <w:pPr>
              <w:rPr>
                <w:rFonts w:ascii="Calibri" w:hAnsi="Calibri" w:cs="Calibri"/>
                <w:color w:val="000000"/>
                <w:sz w:val="22"/>
                <w:szCs w:val="22"/>
              </w:rPr>
            </w:pPr>
            <w:r>
              <w:rPr>
                <w:rFonts w:ascii="Calibri" w:hAnsi="Calibri" w:cs="Calibri"/>
                <w:color w:val="000000"/>
                <w:sz w:val="22"/>
                <w:szCs w:val="22"/>
              </w:rPr>
              <w:t>Grafický adaptér:</w:t>
            </w:r>
          </w:p>
        </w:tc>
        <w:tc>
          <w:tcPr>
            <w:tcW w:w="1147" w:type="pct"/>
            <w:tcBorders>
              <w:top w:val="nil"/>
              <w:left w:val="nil"/>
              <w:bottom w:val="single" w:sz="4" w:space="0" w:color="auto"/>
              <w:right w:val="nil"/>
            </w:tcBorders>
            <w:vAlign w:val="center"/>
            <w:hideMark/>
          </w:tcPr>
          <w:p w14:paraId="03F6D2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Integrovaná grafická karta podporující </w:t>
            </w:r>
            <w:proofErr w:type="spellStart"/>
            <w:r>
              <w:rPr>
                <w:rFonts w:ascii="Calibri" w:hAnsi="Calibri" w:cs="Calibri"/>
                <w:color w:val="000000"/>
                <w:sz w:val="22"/>
                <w:szCs w:val="22"/>
              </w:rPr>
              <w:t>vícemonitorové</w:t>
            </w:r>
            <w:proofErr w:type="spellEnd"/>
            <w:r>
              <w:rPr>
                <w:rFonts w:ascii="Calibri" w:hAnsi="Calibri" w:cs="Calibri"/>
                <w:color w:val="000000"/>
                <w:sz w:val="22"/>
                <w:szCs w:val="22"/>
              </w:rPr>
              <w:t xml:space="preserve"> zobrazení 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EF43AA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A7BE1D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4DC447" w14:textId="77777777" w:rsidTr="001E6EE1">
        <w:trPr>
          <w:trHeight w:val="600"/>
        </w:trPr>
        <w:tc>
          <w:tcPr>
            <w:tcW w:w="1151" w:type="pct"/>
            <w:tcBorders>
              <w:top w:val="nil"/>
              <w:left w:val="single" w:sz="8" w:space="0" w:color="auto"/>
              <w:bottom w:val="single" w:sz="4" w:space="0" w:color="auto"/>
              <w:right w:val="single" w:sz="4" w:space="0" w:color="auto"/>
            </w:tcBorders>
            <w:noWrap/>
            <w:vAlign w:val="center"/>
            <w:hideMark/>
          </w:tcPr>
          <w:p w14:paraId="08EA15BA" w14:textId="77777777" w:rsidR="00A1602B" w:rsidRDefault="00A1602B">
            <w:pPr>
              <w:rPr>
                <w:rFonts w:ascii="Calibri" w:hAnsi="Calibri" w:cs="Calibri"/>
                <w:color w:val="000000"/>
                <w:sz w:val="22"/>
                <w:szCs w:val="22"/>
              </w:rPr>
            </w:pPr>
            <w:r>
              <w:rPr>
                <w:rFonts w:ascii="Calibri" w:hAnsi="Calibri" w:cs="Calibri"/>
                <w:color w:val="000000"/>
                <w:sz w:val="22"/>
                <w:szCs w:val="22"/>
              </w:rPr>
              <w:t>Audio:</w:t>
            </w:r>
          </w:p>
        </w:tc>
        <w:tc>
          <w:tcPr>
            <w:tcW w:w="1147" w:type="pct"/>
            <w:tcBorders>
              <w:top w:val="nil"/>
              <w:left w:val="nil"/>
              <w:bottom w:val="single" w:sz="4" w:space="0" w:color="auto"/>
              <w:right w:val="nil"/>
            </w:tcBorders>
            <w:vAlign w:val="center"/>
            <w:hideMark/>
          </w:tcPr>
          <w:p w14:paraId="17502FC7"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45A96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D80B28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2E2757E" w14:textId="77777777" w:rsidTr="001E6EE1">
        <w:trPr>
          <w:trHeight w:val="2700"/>
        </w:trPr>
        <w:tc>
          <w:tcPr>
            <w:tcW w:w="1151" w:type="pct"/>
            <w:tcBorders>
              <w:top w:val="nil"/>
              <w:left w:val="single" w:sz="8" w:space="0" w:color="auto"/>
              <w:bottom w:val="single" w:sz="4" w:space="0" w:color="auto"/>
              <w:right w:val="single" w:sz="4" w:space="0" w:color="auto"/>
            </w:tcBorders>
            <w:noWrap/>
            <w:vAlign w:val="center"/>
            <w:hideMark/>
          </w:tcPr>
          <w:p w14:paraId="1B6FAC77"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Typ a počet rozhraní:</w:t>
            </w:r>
          </w:p>
        </w:tc>
        <w:tc>
          <w:tcPr>
            <w:tcW w:w="1147" w:type="pct"/>
            <w:tcBorders>
              <w:top w:val="nil"/>
              <w:left w:val="nil"/>
              <w:bottom w:val="single" w:sz="4" w:space="0" w:color="auto"/>
              <w:right w:val="nil"/>
            </w:tcBorders>
            <w:vAlign w:val="center"/>
            <w:hideMark/>
          </w:tcPr>
          <w:p w14:paraId="26380E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 xml:space="preserve">/s, min. jeden z nich USB-C, min. 2 x USB-A + na zadní straně skříně min. 1x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F8F149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F16A5C6" w14:textId="77777777" w:rsidR="00A1602B" w:rsidRDefault="00A1602B">
            <w:pPr>
              <w:jc w:val="center"/>
              <w:rPr>
                <w:rFonts w:ascii="Calibri" w:hAnsi="Calibri" w:cs="Calibri"/>
                <w:sz w:val="22"/>
                <w:szCs w:val="22"/>
              </w:rPr>
            </w:pPr>
            <w:r>
              <w:rPr>
                <w:rFonts w:ascii="Calibri" w:hAnsi="Calibri" w:cs="Calibri"/>
                <w:sz w:val="22"/>
                <w:szCs w:val="22"/>
              </w:rPr>
              <w:t xml:space="preserve">Přední strana: 1x USB-C® (USB 5Gbps / USB 3.2 Gen 1), </w:t>
            </w:r>
            <w:proofErr w:type="spellStart"/>
            <w:r>
              <w:rPr>
                <w:rFonts w:ascii="Calibri" w:hAnsi="Calibri" w:cs="Calibri"/>
                <w:sz w:val="22"/>
                <w:szCs w:val="22"/>
              </w:rPr>
              <w:t>with</w:t>
            </w:r>
            <w:proofErr w:type="spellEnd"/>
            <w:r>
              <w:rPr>
                <w:rFonts w:ascii="Calibri" w:hAnsi="Calibri" w:cs="Calibri"/>
                <w:sz w:val="22"/>
                <w:szCs w:val="22"/>
              </w:rPr>
              <w:t xml:space="preserve"> 15W </w:t>
            </w:r>
            <w:proofErr w:type="spellStart"/>
            <w:r>
              <w:rPr>
                <w:rFonts w:ascii="Calibri" w:hAnsi="Calibri" w:cs="Calibri"/>
                <w:sz w:val="22"/>
                <w:szCs w:val="22"/>
              </w:rPr>
              <w:t>charging</w:t>
            </w:r>
            <w:proofErr w:type="spellEnd"/>
            <w:r>
              <w:rPr>
                <w:rFonts w:ascii="Calibri" w:hAnsi="Calibri" w:cs="Calibri"/>
                <w:sz w:val="22"/>
                <w:szCs w:val="22"/>
              </w:rPr>
              <w:br/>
              <w:t>4x USB-A (USB 5Gbps / USB 3.2 Gen 1)</w:t>
            </w:r>
            <w:r>
              <w:rPr>
                <w:rFonts w:ascii="Calibri" w:hAnsi="Calibri" w:cs="Calibri"/>
                <w:sz w:val="22"/>
                <w:szCs w:val="22"/>
              </w:rPr>
              <w:br/>
              <w:t>Zadní strana: 4x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2x USB-A (USB 5Gbps / USB 3.2 Gen 1)</w:t>
            </w:r>
          </w:p>
        </w:tc>
      </w:tr>
      <w:tr w:rsidR="00A1602B" w14:paraId="285823FA" w14:textId="77777777" w:rsidTr="001E6EE1">
        <w:trPr>
          <w:trHeight w:val="900"/>
        </w:trPr>
        <w:tc>
          <w:tcPr>
            <w:tcW w:w="1151" w:type="pct"/>
            <w:tcBorders>
              <w:top w:val="nil"/>
              <w:left w:val="single" w:sz="8" w:space="0" w:color="auto"/>
              <w:bottom w:val="single" w:sz="4" w:space="0" w:color="auto"/>
              <w:right w:val="single" w:sz="4" w:space="0" w:color="auto"/>
            </w:tcBorders>
            <w:noWrap/>
            <w:vAlign w:val="center"/>
            <w:hideMark/>
          </w:tcPr>
          <w:p w14:paraId="24C2577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EA13668" w14:textId="77777777" w:rsidR="00A1602B" w:rsidRDefault="00A1602B">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min.1x digitální konektor HDMI</w:t>
            </w:r>
            <w:r>
              <w:rPr>
                <w:rFonts w:ascii="Calibri" w:hAnsi="Calibri" w:cs="Calibri"/>
                <w:sz w:val="22"/>
                <w:szCs w:val="22"/>
              </w:rPr>
              <w:br/>
              <w:t>(s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9B1220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B723B42" w14:textId="77777777" w:rsidR="00A1602B" w:rsidRDefault="00A1602B">
            <w:pPr>
              <w:jc w:val="center"/>
              <w:rPr>
                <w:rFonts w:ascii="Calibri" w:hAnsi="Calibri" w:cs="Calibri"/>
                <w:sz w:val="22"/>
                <w:szCs w:val="22"/>
              </w:rPr>
            </w:pPr>
            <w:r>
              <w:rPr>
                <w:rFonts w:ascii="Calibri" w:hAnsi="Calibri" w:cs="Calibri"/>
                <w:sz w:val="22"/>
                <w:szCs w:val="22"/>
              </w:rPr>
              <w:t>1x HDMI® 2.1 TMDS</w:t>
            </w:r>
            <w:r>
              <w:rPr>
                <w:rFonts w:ascii="Calibri" w:hAnsi="Calibri" w:cs="Calibri"/>
                <w:sz w:val="22"/>
                <w:szCs w:val="22"/>
              </w:rPr>
              <w:br/>
              <w:t xml:space="preserve">2x </w:t>
            </w:r>
            <w:proofErr w:type="spellStart"/>
            <w:r>
              <w:rPr>
                <w:rFonts w:ascii="Calibri" w:hAnsi="Calibri" w:cs="Calibri"/>
                <w:sz w:val="22"/>
                <w:szCs w:val="22"/>
              </w:rPr>
              <w:t>DisplayPort</w:t>
            </w:r>
            <w:proofErr w:type="spellEnd"/>
            <w:r>
              <w:rPr>
                <w:rFonts w:ascii="Calibri" w:hAnsi="Calibri" w:cs="Calibri"/>
                <w:sz w:val="22"/>
                <w:szCs w:val="22"/>
              </w:rPr>
              <w:t>™ 1.4a (HBR2, DSC)</w:t>
            </w:r>
            <w:r>
              <w:rPr>
                <w:rFonts w:ascii="Calibri" w:hAnsi="Calibri" w:cs="Calibri"/>
                <w:sz w:val="22"/>
                <w:szCs w:val="22"/>
              </w:rPr>
              <w:br/>
              <w:t>podpora 4K/60Hz</w:t>
            </w:r>
          </w:p>
        </w:tc>
      </w:tr>
      <w:tr w:rsidR="00A1602B" w14:paraId="1FD21789" w14:textId="77777777" w:rsidTr="001E6EE1">
        <w:trPr>
          <w:trHeight w:val="300"/>
        </w:trPr>
        <w:tc>
          <w:tcPr>
            <w:tcW w:w="1151" w:type="pct"/>
            <w:tcBorders>
              <w:top w:val="nil"/>
              <w:left w:val="single" w:sz="8" w:space="0" w:color="auto"/>
              <w:bottom w:val="single" w:sz="4" w:space="0" w:color="auto"/>
              <w:right w:val="single" w:sz="4" w:space="0" w:color="auto"/>
            </w:tcBorders>
            <w:noWrap/>
            <w:vAlign w:val="center"/>
            <w:hideMark/>
          </w:tcPr>
          <w:p w14:paraId="5868EEDB"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CA03ADF" w14:textId="77777777" w:rsidR="00A1602B" w:rsidRDefault="00A1602B">
            <w:pPr>
              <w:rPr>
                <w:rFonts w:ascii="Calibri" w:hAnsi="Calibri" w:cs="Calibri"/>
                <w:color w:val="000000"/>
                <w:sz w:val="22"/>
                <w:szCs w:val="22"/>
              </w:rPr>
            </w:pPr>
            <w:r>
              <w:rPr>
                <w:rFonts w:ascii="Calibri" w:hAnsi="Calibri" w:cs="Calibri"/>
                <w:color w:val="000000"/>
                <w:sz w:val="22"/>
                <w:szCs w:val="22"/>
              </w:rPr>
              <w:t>1x RJ-45, 100/1000 Mbps, podpora WOL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F6B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6D5B6C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CC508D7" w14:textId="77777777" w:rsidTr="001E6EE1">
        <w:trPr>
          <w:trHeight w:val="1200"/>
        </w:trPr>
        <w:tc>
          <w:tcPr>
            <w:tcW w:w="1151" w:type="pct"/>
            <w:tcBorders>
              <w:top w:val="nil"/>
              <w:left w:val="single" w:sz="8" w:space="0" w:color="auto"/>
              <w:bottom w:val="single" w:sz="4" w:space="0" w:color="auto"/>
              <w:right w:val="single" w:sz="4" w:space="0" w:color="auto"/>
            </w:tcBorders>
            <w:noWrap/>
            <w:vAlign w:val="center"/>
            <w:hideMark/>
          </w:tcPr>
          <w:p w14:paraId="59DDA66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2746A4A0" w14:textId="77777777" w:rsidR="00A1602B" w:rsidRDefault="00A160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265FB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7330EA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B360A03" w14:textId="77777777" w:rsidTr="001E6EE1">
        <w:trPr>
          <w:trHeight w:val="600"/>
        </w:trPr>
        <w:tc>
          <w:tcPr>
            <w:tcW w:w="1151" w:type="pct"/>
            <w:tcBorders>
              <w:top w:val="nil"/>
              <w:left w:val="single" w:sz="8" w:space="0" w:color="auto"/>
              <w:bottom w:val="single" w:sz="4" w:space="0" w:color="auto"/>
              <w:right w:val="single" w:sz="4" w:space="0" w:color="auto"/>
            </w:tcBorders>
            <w:noWrap/>
            <w:vAlign w:val="center"/>
            <w:hideMark/>
          </w:tcPr>
          <w:p w14:paraId="7DF0C51E"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systém:</w:t>
            </w:r>
          </w:p>
        </w:tc>
        <w:tc>
          <w:tcPr>
            <w:tcW w:w="1147" w:type="pct"/>
            <w:tcBorders>
              <w:top w:val="nil"/>
              <w:left w:val="nil"/>
              <w:bottom w:val="single" w:sz="4" w:space="0" w:color="auto"/>
              <w:right w:val="nil"/>
            </w:tcBorders>
            <w:vAlign w:val="center"/>
            <w:hideMark/>
          </w:tcPr>
          <w:p w14:paraId="18C705C3" w14:textId="39DD173A" w:rsidR="00A1602B" w:rsidRDefault="001E6EE1">
            <w:pPr>
              <w:rPr>
                <w:rFonts w:ascii="Calibri" w:hAnsi="Calibri" w:cs="Calibri"/>
                <w:sz w:val="22"/>
                <w:szCs w:val="22"/>
              </w:rPr>
            </w:pPr>
            <w:r>
              <w:rPr>
                <w:rFonts w:ascii="Calibri" w:hAnsi="Calibri" w:cs="Calibri"/>
                <w:color w:val="000000"/>
                <w:sz w:val="22"/>
                <w:szCs w:val="22"/>
              </w:rPr>
              <w:t>Licence operačního systému Microsoft Windows 11 v rámci programu pro vzdělávací instituce EDU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34D90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4772E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7704201" w14:textId="77777777" w:rsidTr="001E6EE1">
        <w:trPr>
          <w:trHeight w:val="900"/>
        </w:trPr>
        <w:tc>
          <w:tcPr>
            <w:tcW w:w="1151" w:type="pct"/>
            <w:tcBorders>
              <w:top w:val="nil"/>
              <w:left w:val="single" w:sz="8" w:space="0" w:color="auto"/>
              <w:bottom w:val="single" w:sz="4" w:space="0" w:color="auto"/>
              <w:right w:val="single" w:sz="4" w:space="0" w:color="auto"/>
            </w:tcBorders>
            <w:noWrap/>
            <w:vAlign w:val="center"/>
            <w:hideMark/>
          </w:tcPr>
          <w:p w14:paraId="632B213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8A5BB82" w14:textId="77777777" w:rsidR="00A1602B" w:rsidRDefault="00A1602B">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17281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6AE21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A830D7C" w14:textId="77777777" w:rsidTr="001E6EE1">
        <w:trPr>
          <w:trHeight w:val="900"/>
        </w:trPr>
        <w:tc>
          <w:tcPr>
            <w:tcW w:w="1151" w:type="pct"/>
            <w:tcBorders>
              <w:top w:val="nil"/>
              <w:left w:val="single" w:sz="8" w:space="0" w:color="auto"/>
              <w:bottom w:val="single" w:sz="4" w:space="0" w:color="auto"/>
              <w:right w:val="single" w:sz="4" w:space="0" w:color="auto"/>
            </w:tcBorders>
            <w:noWrap/>
            <w:vAlign w:val="center"/>
            <w:hideMark/>
          </w:tcPr>
          <w:p w14:paraId="58A0FC4D" w14:textId="77777777" w:rsidR="00A1602B" w:rsidRDefault="00A1602B">
            <w:pPr>
              <w:rPr>
                <w:rFonts w:ascii="Calibri" w:hAnsi="Calibri" w:cs="Calibri"/>
                <w:color w:val="000000"/>
                <w:sz w:val="22"/>
                <w:szCs w:val="22"/>
              </w:rPr>
            </w:pPr>
            <w:r>
              <w:rPr>
                <w:rFonts w:ascii="Calibri" w:hAnsi="Calibri" w:cs="Calibri"/>
                <w:color w:val="000000"/>
                <w:sz w:val="22"/>
                <w:szCs w:val="22"/>
              </w:rPr>
              <w:t>BIOS:</w:t>
            </w:r>
          </w:p>
        </w:tc>
        <w:tc>
          <w:tcPr>
            <w:tcW w:w="1147" w:type="pct"/>
            <w:tcBorders>
              <w:top w:val="nil"/>
              <w:left w:val="nil"/>
              <w:bottom w:val="single" w:sz="4" w:space="0" w:color="auto"/>
              <w:right w:val="nil"/>
            </w:tcBorders>
            <w:vAlign w:val="center"/>
            <w:hideMark/>
          </w:tcPr>
          <w:p w14:paraId="32FBEAF1"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570F8A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9FF844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8DD461" w14:textId="77777777" w:rsidTr="001E6EE1">
        <w:trPr>
          <w:trHeight w:val="900"/>
        </w:trPr>
        <w:tc>
          <w:tcPr>
            <w:tcW w:w="1151" w:type="pct"/>
            <w:tcBorders>
              <w:top w:val="nil"/>
              <w:left w:val="single" w:sz="8" w:space="0" w:color="auto"/>
              <w:bottom w:val="single" w:sz="4" w:space="0" w:color="auto"/>
              <w:right w:val="single" w:sz="4" w:space="0" w:color="auto"/>
            </w:tcBorders>
            <w:noWrap/>
            <w:vAlign w:val="center"/>
            <w:hideMark/>
          </w:tcPr>
          <w:p w14:paraId="50A9188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21EBBA7"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011A9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0A1217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51F33CE8" w14:textId="77777777" w:rsidTr="001E6EE1">
        <w:trPr>
          <w:trHeight w:val="600"/>
        </w:trPr>
        <w:tc>
          <w:tcPr>
            <w:tcW w:w="1151" w:type="pct"/>
            <w:tcBorders>
              <w:top w:val="nil"/>
              <w:left w:val="single" w:sz="8" w:space="0" w:color="auto"/>
              <w:bottom w:val="single" w:sz="4" w:space="0" w:color="auto"/>
              <w:right w:val="single" w:sz="4" w:space="0" w:color="auto"/>
            </w:tcBorders>
            <w:noWrap/>
            <w:vAlign w:val="center"/>
            <w:hideMark/>
          </w:tcPr>
          <w:p w14:paraId="0C197AB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8855A21" w14:textId="77777777" w:rsidR="00A1602B" w:rsidRDefault="00A160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DF7EC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F105E0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7E5B3CC" w14:textId="77777777" w:rsidTr="001E6EE1">
        <w:trPr>
          <w:trHeight w:val="1200"/>
        </w:trPr>
        <w:tc>
          <w:tcPr>
            <w:tcW w:w="1151" w:type="pct"/>
            <w:tcBorders>
              <w:top w:val="nil"/>
              <w:left w:val="single" w:sz="8" w:space="0" w:color="auto"/>
              <w:bottom w:val="single" w:sz="4" w:space="0" w:color="auto"/>
              <w:right w:val="single" w:sz="4" w:space="0" w:color="auto"/>
            </w:tcBorders>
            <w:noWrap/>
            <w:vAlign w:val="center"/>
            <w:hideMark/>
          </w:tcPr>
          <w:p w14:paraId="7B746360"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 </w:t>
            </w:r>
          </w:p>
        </w:tc>
        <w:tc>
          <w:tcPr>
            <w:tcW w:w="1147" w:type="pct"/>
            <w:tcBorders>
              <w:top w:val="nil"/>
              <w:left w:val="nil"/>
              <w:bottom w:val="single" w:sz="4" w:space="0" w:color="auto"/>
              <w:right w:val="nil"/>
            </w:tcBorders>
            <w:vAlign w:val="center"/>
            <w:hideMark/>
          </w:tcPr>
          <w:p w14:paraId="3B154493"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4880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51453F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DE8828C" w14:textId="77777777" w:rsidTr="001E6EE1">
        <w:trPr>
          <w:trHeight w:val="300"/>
        </w:trPr>
        <w:tc>
          <w:tcPr>
            <w:tcW w:w="1151" w:type="pct"/>
            <w:tcBorders>
              <w:top w:val="nil"/>
              <w:left w:val="single" w:sz="8" w:space="0" w:color="auto"/>
              <w:bottom w:val="single" w:sz="4" w:space="0" w:color="auto"/>
              <w:right w:val="single" w:sz="4" w:space="0" w:color="auto"/>
            </w:tcBorders>
            <w:noWrap/>
            <w:vAlign w:val="center"/>
            <w:hideMark/>
          </w:tcPr>
          <w:p w14:paraId="322F7233"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w:t>
            </w:r>
          </w:p>
        </w:tc>
        <w:tc>
          <w:tcPr>
            <w:tcW w:w="1147" w:type="pct"/>
            <w:tcBorders>
              <w:top w:val="nil"/>
              <w:left w:val="nil"/>
              <w:bottom w:val="single" w:sz="4" w:space="0" w:color="auto"/>
              <w:right w:val="nil"/>
            </w:tcBorders>
            <w:vAlign w:val="center"/>
            <w:hideMark/>
          </w:tcPr>
          <w:p w14:paraId="613CE73E" w14:textId="77777777" w:rsidR="00A1602B" w:rsidRDefault="00A1602B">
            <w:pPr>
              <w:rPr>
                <w:rFonts w:ascii="Calibri" w:hAnsi="Calibri" w:cs="Calibri"/>
                <w:color w:val="000000"/>
                <w:sz w:val="22"/>
                <w:szCs w:val="22"/>
              </w:rPr>
            </w:pPr>
            <w:r>
              <w:rPr>
                <w:rFonts w:ascii="Calibri" w:hAnsi="Calibri" w:cs="Calibri"/>
                <w:color w:val="000000"/>
                <w:sz w:val="22"/>
                <w:szCs w:val="22"/>
              </w:rPr>
              <w:t>Technologie TPM 2.0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8011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436305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7714663" w14:textId="77777777" w:rsidTr="001E6EE1">
        <w:trPr>
          <w:trHeight w:val="600"/>
        </w:trPr>
        <w:tc>
          <w:tcPr>
            <w:tcW w:w="1151" w:type="pct"/>
            <w:tcBorders>
              <w:top w:val="nil"/>
              <w:left w:val="single" w:sz="8" w:space="0" w:color="auto"/>
              <w:bottom w:val="single" w:sz="4" w:space="0" w:color="auto"/>
              <w:right w:val="single" w:sz="4" w:space="0" w:color="auto"/>
            </w:tcBorders>
            <w:noWrap/>
            <w:vAlign w:val="center"/>
            <w:hideMark/>
          </w:tcPr>
          <w:p w14:paraId="2BE4F6A6" w14:textId="77777777" w:rsidR="00A1602B" w:rsidRDefault="00A1602B">
            <w:pPr>
              <w:rPr>
                <w:rFonts w:ascii="Calibri" w:hAnsi="Calibri" w:cs="Calibri"/>
                <w:color w:val="000000"/>
                <w:sz w:val="22"/>
                <w:szCs w:val="22"/>
              </w:rPr>
            </w:pPr>
            <w:r>
              <w:rPr>
                <w:rFonts w:ascii="Calibri" w:hAnsi="Calibri" w:cs="Calibri"/>
                <w:color w:val="000000"/>
                <w:sz w:val="22"/>
                <w:szCs w:val="22"/>
              </w:rPr>
              <w:t>Ostatní:</w:t>
            </w:r>
          </w:p>
        </w:tc>
        <w:tc>
          <w:tcPr>
            <w:tcW w:w="1147" w:type="pct"/>
            <w:tcBorders>
              <w:top w:val="nil"/>
              <w:left w:val="nil"/>
              <w:bottom w:val="single" w:sz="4" w:space="0" w:color="auto"/>
              <w:right w:val="nil"/>
            </w:tcBorders>
            <w:vAlign w:val="center"/>
            <w:hideMark/>
          </w:tcPr>
          <w:p w14:paraId="09D70437"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Soulad s direktivou </w:t>
            </w:r>
            <w:proofErr w:type="spellStart"/>
            <w:r>
              <w:rPr>
                <w:rFonts w:ascii="Calibri" w:hAnsi="Calibri" w:cs="Calibri"/>
                <w:color w:val="000000"/>
                <w:sz w:val="22"/>
                <w:szCs w:val="22"/>
              </w:rPr>
              <w:t>RoHS</w:t>
            </w:r>
            <w:proofErr w:type="spellEnd"/>
            <w:r>
              <w:rPr>
                <w:rFonts w:ascii="Calibri" w:hAnsi="Calibri" w:cs="Calibri"/>
                <w:color w:val="000000"/>
                <w:sz w:val="22"/>
                <w:szCs w:val="22"/>
              </w:rPr>
              <w:t xml:space="preserve">, certifikát min. EPEAT Bronze, </w:t>
            </w:r>
            <w:proofErr w:type="spellStart"/>
            <w:r>
              <w:rPr>
                <w:rFonts w:ascii="Calibri" w:hAnsi="Calibri" w:cs="Calibri"/>
                <w:color w:val="000000"/>
                <w:sz w:val="22"/>
                <w:szCs w:val="22"/>
              </w:rPr>
              <w:t>EnergyStar</w:t>
            </w:r>
            <w:proofErr w:type="spellEnd"/>
            <w:r>
              <w:rPr>
                <w:rFonts w:ascii="Calibri" w:hAnsi="Calibri" w:cs="Calibri"/>
                <w:color w:val="000000"/>
                <w:sz w:val="22"/>
                <w:szCs w:val="22"/>
              </w:rPr>
              <w:t xml:space="preserve"> min. 6.0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977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3FACC0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A067C77" w14:textId="77777777" w:rsidTr="001E6EE1">
        <w:trPr>
          <w:trHeight w:val="300"/>
        </w:trPr>
        <w:tc>
          <w:tcPr>
            <w:tcW w:w="1151" w:type="pct"/>
            <w:tcBorders>
              <w:top w:val="nil"/>
              <w:left w:val="single" w:sz="8" w:space="0" w:color="auto"/>
              <w:bottom w:val="nil"/>
              <w:right w:val="nil"/>
            </w:tcBorders>
            <w:noWrap/>
            <w:vAlign w:val="center"/>
            <w:hideMark/>
          </w:tcPr>
          <w:p w14:paraId="5FA61FC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single" w:sz="4" w:space="0" w:color="auto"/>
              <w:bottom w:val="nil"/>
              <w:right w:val="nil"/>
            </w:tcBorders>
            <w:vAlign w:val="center"/>
            <w:hideMark/>
          </w:tcPr>
          <w:p w14:paraId="031CF626" w14:textId="77777777" w:rsidR="00A1602B" w:rsidRDefault="00A1602B">
            <w:pPr>
              <w:rPr>
                <w:rFonts w:ascii="Calibri" w:hAnsi="Calibri" w:cs="Calibri"/>
                <w:color w:val="000000"/>
                <w:sz w:val="22"/>
                <w:szCs w:val="22"/>
              </w:rPr>
            </w:pPr>
            <w:r>
              <w:rPr>
                <w:rFonts w:ascii="Calibri" w:hAnsi="Calibri" w:cs="Calibri"/>
                <w:color w:val="000000"/>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91BCAC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A3EE5E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298F490" w14:textId="77777777" w:rsidTr="001E6EE1">
        <w:trPr>
          <w:trHeight w:val="1200"/>
        </w:trPr>
        <w:tc>
          <w:tcPr>
            <w:tcW w:w="1151" w:type="pct"/>
            <w:tcBorders>
              <w:top w:val="single" w:sz="4" w:space="0" w:color="auto"/>
              <w:left w:val="single" w:sz="4" w:space="0" w:color="auto"/>
              <w:bottom w:val="single" w:sz="4" w:space="0" w:color="auto"/>
              <w:right w:val="single" w:sz="4" w:space="0" w:color="auto"/>
            </w:tcBorders>
            <w:noWrap/>
            <w:vAlign w:val="center"/>
            <w:hideMark/>
          </w:tcPr>
          <w:p w14:paraId="55E1BC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single" w:sz="4" w:space="0" w:color="auto"/>
              <w:left w:val="nil"/>
              <w:bottom w:val="single" w:sz="4" w:space="0" w:color="auto"/>
              <w:right w:val="single" w:sz="8" w:space="0" w:color="auto"/>
            </w:tcBorders>
            <w:vAlign w:val="center"/>
            <w:hideMark/>
          </w:tcPr>
          <w:p w14:paraId="500D049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na svých stránkách nabízí Driver </w:t>
            </w:r>
            <w:proofErr w:type="spellStart"/>
            <w:r>
              <w:rPr>
                <w:rFonts w:ascii="Calibri" w:hAnsi="Calibri" w:cs="Calibri"/>
                <w:color w:val="000000"/>
                <w:sz w:val="22"/>
                <w:szCs w:val="22"/>
              </w:rPr>
              <w:t>Pack</w:t>
            </w:r>
            <w:proofErr w:type="spellEnd"/>
            <w:r>
              <w:rPr>
                <w:rFonts w:ascii="Calibri" w:hAnsi="Calibri" w:cs="Calibri"/>
                <w:color w:val="000000"/>
                <w:sz w:val="22"/>
                <w:szCs w:val="22"/>
              </w:rPr>
              <w:t xml:space="preserve"> (balíček obsahující všechny ovladače pro danou modelovou řadu) pro operační systém Windows 11 x64</w:t>
            </w:r>
          </w:p>
        </w:tc>
        <w:tc>
          <w:tcPr>
            <w:tcW w:w="854" w:type="pct"/>
            <w:tcBorders>
              <w:top w:val="nil"/>
              <w:left w:val="nil"/>
              <w:bottom w:val="single" w:sz="4" w:space="0" w:color="auto"/>
              <w:right w:val="single" w:sz="4" w:space="0" w:color="auto"/>
            </w:tcBorders>
            <w:shd w:val="clear" w:color="000000" w:fill="FFFF00"/>
            <w:vAlign w:val="center"/>
            <w:hideMark/>
          </w:tcPr>
          <w:p w14:paraId="1E75C1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68DA25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B595F60" w14:textId="77777777" w:rsidTr="001E6EE1">
        <w:trPr>
          <w:trHeight w:val="2100"/>
        </w:trPr>
        <w:tc>
          <w:tcPr>
            <w:tcW w:w="1151" w:type="pct"/>
            <w:tcBorders>
              <w:top w:val="nil"/>
              <w:left w:val="single" w:sz="4" w:space="0" w:color="auto"/>
              <w:bottom w:val="single" w:sz="4" w:space="0" w:color="auto"/>
              <w:right w:val="single" w:sz="4" w:space="0" w:color="auto"/>
            </w:tcBorders>
            <w:noWrap/>
            <w:vAlign w:val="center"/>
            <w:hideMark/>
          </w:tcPr>
          <w:p w14:paraId="60EB0ACF"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000000" w:fill="FFFFFF"/>
            <w:vAlign w:val="center"/>
            <w:hideMark/>
          </w:tcPr>
          <w:p w14:paraId="340A8084"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u nabízené techniky podporuje </w:t>
            </w:r>
            <w:proofErr w:type="spellStart"/>
            <w:r>
              <w:rPr>
                <w:rFonts w:ascii="Calibri" w:hAnsi="Calibri" w:cs="Calibri"/>
                <w:color w:val="000000"/>
                <w:sz w:val="22"/>
                <w:szCs w:val="22"/>
              </w:rPr>
              <w:t>Enterprise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prostřednictvím nástroje Microsoft </w:t>
            </w:r>
            <w:proofErr w:type="spellStart"/>
            <w:r>
              <w:rPr>
                <w:rFonts w:ascii="Calibri" w:hAnsi="Calibri" w:cs="Calibri"/>
                <w:color w:val="000000"/>
                <w:sz w:val="22"/>
                <w:szCs w:val="22"/>
              </w:rPr>
              <w:t>Configuration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Manager</w:t>
            </w:r>
            <w:proofErr w:type="spellEnd"/>
            <w:r>
              <w:rPr>
                <w:rFonts w:ascii="Calibri" w:hAnsi="Calibri" w:cs="Calibri"/>
                <w:color w:val="000000"/>
                <w:sz w:val="22"/>
                <w:szCs w:val="22"/>
              </w:rPr>
              <w:t xml:space="preserve"> (MCM) a sady Microsoft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Toolkit</w:t>
            </w:r>
            <w:proofErr w:type="spellEnd"/>
            <w:r>
              <w:rPr>
                <w:rFonts w:ascii="Calibri" w:hAnsi="Calibri" w:cs="Calibri"/>
                <w:color w:val="000000"/>
                <w:sz w:val="22"/>
                <w:szCs w:val="22"/>
              </w:rPr>
              <w:t xml:space="preserve"> (MDT), a k tomu nabízí volně dostupnou příslušnou dokumentaci</w:t>
            </w:r>
          </w:p>
        </w:tc>
        <w:tc>
          <w:tcPr>
            <w:tcW w:w="854" w:type="pct"/>
            <w:tcBorders>
              <w:top w:val="nil"/>
              <w:left w:val="nil"/>
              <w:bottom w:val="single" w:sz="4" w:space="0" w:color="auto"/>
              <w:right w:val="single" w:sz="4" w:space="0" w:color="auto"/>
            </w:tcBorders>
            <w:shd w:val="clear" w:color="000000" w:fill="FFFF00"/>
            <w:vAlign w:val="center"/>
            <w:hideMark/>
          </w:tcPr>
          <w:p w14:paraId="11F10F3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7E15A7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D761333" w14:textId="77777777" w:rsidTr="001E6EE1">
        <w:trPr>
          <w:trHeight w:val="300"/>
        </w:trPr>
        <w:tc>
          <w:tcPr>
            <w:tcW w:w="1151" w:type="pct"/>
            <w:tcBorders>
              <w:top w:val="nil"/>
              <w:left w:val="single" w:sz="8" w:space="0" w:color="auto"/>
              <w:bottom w:val="single" w:sz="4" w:space="0" w:color="auto"/>
              <w:right w:val="single" w:sz="4" w:space="0" w:color="auto"/>
            </w:tcBorders>
            <w:noWrap/>
            <w:vAlign w:val="center"/>
            <w:hideMark/>
          </w:tcPr>
          <w:p w14:paraId="3EACCA48"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05D8EEEC"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52812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6E311EC3"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31CCA28B" w14:textId="77777777" w:rsidTr="001E6EE1">
        <w:trPr>
          <w:trHeight w:val="1800"/>
        </w:trPr>
        <w:tc>
          <w:tcPr>
            <w:tcW w:w="1151" w:type="pct"/>
            <w:tcBorders>
              <w:top w:val="nil"/>
              <w:left w:val="single" w:sz="8" w:space="0" w:color="auto"/>
              <w:bottom w:val="single" w:sz="4" w:space="0" w:color="auto"/>
              <w:right w:val="single" w:sz="4" w:space="0" w:color="auto"/>
            </w:tcBorders>
            <w:noWrap/>
            <w:vAlign w:val="center"/>
            <w:hideMark/>
          </w:tcPr>
          <w:p w14:paraId="65CB8F2D"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4D4090BB"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0FD38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6EE178"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379D461E" w14:textId="77777777" w:rsidTr="001E6EE1">
        <w:trPr>
          <w:trHeight w:val="600"/>
        </w:trPr>
        <w:tc>
          <w:tcPr>
            <w:tcW w:w="1151" w:type="pct"/>
            <w:tcBorders>
              <w:top w:val="nil"/>
              <w:left w:val="single" w:sz="8" w:space="0" w:color="auto"/>
              <w:bottom w:val="single" w:sz="4" w:space="0" w:color="auto"/>
              <w:right w:val="single" w:sz="4" w:space="0" w:color="auto"/>
            </w:tcBorders>
            <w:noWrap/>
            <w:vAlign w:val="center"/>
            <w:hideMark/>
          </w:tcPr>
          <w:p w14:paraId="1284823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0836786" w14:textId="77777777" w:rsidR="00A1602B" w:rsidRDefault="00A160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C272B5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5B764A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4B07FDE" w14:textId="77777777" w:rsidTr="001E6EE1">
        <w:trPr>
          <w:trHeight w:val="1200"/>
        </w:trPr>
        <w:tc>
          <w:tcPr>
            <w:tcW w:w="1151" w:type="pct"/>
            <w:tcBorders>
              <w:top w:val="nil"/>
              <w:left w:val="single" w:sz="8" w:space="0" w:color="auto"/>
              <w:bottom w:val="single" w:sz="4" w:space="0" w:color="auto"/>
              <w:right w:val="single" w:sz="4" w:space="0" w:color="auto"/>
            </w:tcBorders>
            <w:noWrap/>
            <w:vAlign w:val="center"/>
            <w:hideMark/>
          </w:tcPr>
          <w:p w14:paraId="2797B28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1A7F541"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Podpora poskytovaná prostřednictvím telefonní linky musí být dostupná v pracovní dny </w:t>
            </w:r>
            <w:r>
              <w:rPr>
                <w:rFonts w:ascii="Calibri" w:hAnsi="Calibri" w:cs="Calibri"/>
                <w:color w:val="000000"/>
                <w:sz w:val="22"/>
                <w:szCs w:val="22"/>
              </w:rPr>
              <w:lastRenderedPageBreak/>
              <w:t>minimálně v době od 9:00 do 16:00 hod.</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37871C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5EB22E8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8E9786C" w14:textId="77777777" w:rsidTr="001E6EE1">
        <w:trPr>
          <w:trHeight w:val="900"/>
        </w:trPr>
        <w:tc>
          <w:tcPr>
            <w:tcW w:w="1151" w:type="pct"/>
            <w:tcBorders>
              <w:top w:val="nil"/>
              <w:left w:val="single" w:sz="8" w:space="0" w:color="auto"/>
              <w:bottom w:val="single" w:sz="4" w:space="0" w:color="auto"/>
              <w:right w:val="single" w:sz="4" w:space="0" w:color="auto"/>
            </w:tcBorders>
            <w:noWrap/>
            <w:vAlign w:val="center"/>
            <w:hideMark/>
          </w:tcPr>
          <w:p w14:paraId="3226696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6A74528" w14:textId="77777777" w:rsidR="00A1602B" w:rsidRDefault="00A1602B">
            <w:pPr>
              <w:rPr>
                <w:rFonts w:ascii="Calibri" w:hAnsi="Calibri" w:cs="Calibri"/>
                <w:color w:val="000000"/>
                <w:sz w:val="22"/>
                <w:szCs w:val="22"/>
              </w:rPr>
            </w:pPr>
            <w:r>
              <w:rPr>
                <w:rFonts w:ascii="Calibri" w:hAnsi="Calibri" w:cs="Calibri"/>
                <w:color w:val="000000"/>
                <w:sz w:val="22"/>
                <w:szCs w:val="22"/>
              </w:rPr>
              <w:t>Podpora prostřednictvím Internetu musí umožňovat stahování ovladačů a manuálů z internetu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A14B8B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00271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D6E401B" w14:textId="77777777" w:rsidTr="001E6EE1">
        <w:trPr>
          <w:trHeight w:val="900"/>
        </w:trPr>
        <w:tc>
          <w:tcPr>
            <w:tcW w:w="1151" w:type="pct"/>
            <w:tcBorders>
              <w:top w:val="nil"/>
              <w:left w:val="single" w:sz="8" w:space="0" w:color="auto"/>
              <w:bottom w:val="single" w:sz="4" w:space="0" w:color="auto"/>
              <w:right w:val="single" w:sz="4" w:space="0" w:color="auto"/>
            </w:tcBorders>
            <w:noWrap/>
            <w:vAlign w:val="center"/>
            <w:hideMark/>
          </w:tcPr>
          <w:p w14:paraId="5FBDAEDC"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AEA0FC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Při výměně SSD či celého zařízení zůstává původní SSD majetkem kupujícího (neodváží se)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06C27A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03ADE4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0653A6E" w14:textId="77777777" w:rsidTr="001E6EE1">
        <w:trPr>
          <w:trHeight w:val="315"/>
        </w:trPr>
        <w:tc>
          <w:tcPr>
            <w:tcW w:w="1151" w:type="pct"/>
            <w:tcBorders>
              <w:top w:val="nil"/>
              <w:left w:val="single" w:sz="8" w:space="0" w:color="auto"/>
              <w:bottom w:val="nil"/>
              <w:right w:val="nil"/>
            </w:tcBorders>
            <w:noWrap/>
            <w:vAlign w:val="center"/>
            <w:hideMark/>
          </w:tcPr>
          <w:p w14:paraId="199E1E6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nil"/>
              <w:right w:val="nil"/>
            </w:tcBorders>
            <w:vAlign w:val="center"/>
            <w:hideMark/>
          </w:tcPr>
          <w:p w14:paraId="62004F85" w14:textId="77777777" w:rsidR="00A1602B" w:rsidRDefault="00A1602B">
            <w:pPr>
              <w:rPr>
                <w:rFonts w:ascii="Calibri" w:hAnsi="Calibri" w:cs="Calibri"/>
                <w:color w:val="000000"/>
                <w:sz w:val="22"/>
                <w:szCs w:val="22"/>
              </w:rPr>
            </w:pPr>
          </w:p>
        </w:tc>
        <w:tc>
          <w:tcPr>
            <w:tcW w:w="854" w:type="pct"/>
            <w:tcBorders>
              <w:top w:val="nil"/>
              <w:left w:val="nil"/>
              <w:bottom w:val="nil"/>
              <w:right w:val="nil"/>
            </w:tcBorders>
            <w:vAlign w:val="center"/>
            <w:hideMark/>
          </w:tcPr>
          <w:p w14:paraId="40F78AD1" w14:textId="77777777" w:rsidR="00A1602B" w:rsidRDefault="00A1602B">
            <w:pPr>
              <w:rPr>
                <w:sz w:val="20"/>
                <w:szCs w:val="20"/>
              </w:rPr>
            </w:pPr>
          </w:p>
        </w:tc>
        <w:tc>
          <w:tcPr>
            <w:tcW w:w="1848" w:type="pct"/>
            <w:tcBorders>
              <w:top w:val="nil"/>
              <w:left w:val="nil"/>
              <w:bottom w:val="nil"/>
              <w:right w:val="nil"/>
            </w:tcBorders>
            <w:vAlign w:val="center"/>
            <w:hideMark/>
          </w:tcPr>
          <w:p w14:paraId="7395442C" w14:textId="77777777" w:rsidR="00A1602B" w:rsidRDefault="00A1602B">
            <w:pPr>
              <w:jc w:val="center"/>
              <w:rPr>
                <w:sz w:val="20"/>
                <w:szCs w:val="20"/>
              </w:rPr>
            </w:pPr>
          </w:p>
        </w:tc>
      </w:tr>
      <w:tr w:rsidR="00A1602B" w14:paraId="32E72919" w14:textId="77777777" w:rsidTr="001E6EE1">
        <w:trPr>
          <w:trHeight w:val="315"/>
        </w:trPr>
        <w:tc>
          <w:tcPr>
            <w:tcW w:w="1151" w:type="pct"/>
            <w:tcBorders>
              <w:top w:val="nil"/>
              <w:left w:val="nil"/>
              <w:bottom w:val="nil"/>
              <w:right w:val="nil"/>
            </w:tcBorders>
            <w:noWrap/>
            <w:vAlign w:val="bottom"/>
            <w:hideMark/>
          </w:tcPr>
          <w:p w14:paraId="7D546B90" w14:textId="77777777" w:rsidR="00A1602B" w:rsidRDefault="00A1602B">
            <w:pPr>
              <w:rPr>
                <w:rFonts w:ascii="Calibri" w:hAnsi="Calibri" w:cs="Calibri"/>
                <w:sz w:val="22"/>
                <w:szCs w:val="22"/>
              </w:rPr>
            </w:pPr>
          </w:p>
        </w:tc>
        <w:tc>
          <w:tcPr>
            <w:tcW w:w="1147" w:type="pct"/>
            <w:tcBorders>
              <w:top w:val="nil"/>
              <w:left w:val="nil"/>
              <w:bottom w:val="nil"/>
              <w:right w:val="nil"/>
            </w:tcBorders>
            <w:noWrap/>
            <w:vAlign w:val="bottom"/>
            <w:hideMark/>
          </w:tcPr>
          <w:p w14:paraId="2AAF7444" w14:textId="77777777" w:rsidR="00A1602B" w:rsidRDefault="00A1602B">
            <w:pPr>
              <w:rPr>
                <w:sz w:val="20"/>
                <w:szCs w:val="20"/>
              </w:rPr>
            </w:pPr>
          </w:p>
        </w:tc>
        <w:tc>
          <w:tcPr>
            <w:tcW w:w="854" w:type="pct"/>
            <w:tcBorders>
              <w:top w:val="nil"/>
              <w:left w:val="nil"/>
              <w:bottom w:val="nil"/>
              <w:right w:val="nil"/>
            </w:tcBorders>
            <w:noWrap/>
            <w:vAlign w:val="bottom"/>
            <w:hideMark/>
          </w:tcPr>
          <w:p w14:paraId="280C1F69" w14:textId="77777777" w:rsidR="00A1602B" w:rsidRDefault="00A1602B">
            <w:pPr>
              <w:rPr>
                <w:sz w:val="20"/>
                <w:szCs w:val="20"/>
              </w:rPr>
            </w:pPr>
          </w:p>
        </w:tc>
        <w:tc>
          <w:tcPr>
            <w:tcW w:w="1848" w:type="pct"/>
            <w:tcBorders>
              <w:top w:val="nil"/>
              <w:left w:val="nil"/>
              <w:bottom w:val="nil"/>
              <w:right w:val="nil"/>
            </w:tcBorders>
            <w:noWrap/>
            <w:vAlign w:val="bottom"/>
            <w:hideMark/>
          </w:tcPr>
          <w:p w14:paraId="741DB64A" w14:textId="77777777" w:rsidR="00A1602B" w:rsidRDefault="00A1602B">
            <w:pPr>
              <w:rPr>
                <w:sz w:val="20"/>
                <w:szCs w:val="20"/>
              </w:rPr>
            </w:pPr>
          </w:p>
        </w:tc>
      </w:tr>
      <w:tr w:rsidR="00A1602B" w14:paraId="1DE0BE7B" w14:textId="77777777" w:rsidTr="001E6EE1">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hideMark/>
          </w:tcPr>
          <w:p w14:paraId="6920736E" w14:textId="77777777" w:rsidR="00A1602B" w:rsidRDefault="00A1602B">
            <w:pPr>
              <w:jc w:val="center"/>
              <w:rPr>
                <w:rFonts w:ascii="Calibri" w:hAnsi="Calibri" w:cs="Calibri"/>
                <w:b/>
                <w:bCs/>
                <w:sz w:val="22"/>
                <w:szCs w:val="22"/>
              </w:rPr>
            </w:pPr>
            <w:r>
              <w:rPr>
                <w:rFonts w:ascii="Calibri" w:hAnsi="Calibri" w:cs="Calibri"/>
                <w:b/>
                <w:bCs/>
                <w:sz w:val="22"/>
                <w:szCs w:val="22"/>
              </w:rPr>
              <w:t>Monitor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CF92A84" w14:textId="77777777" w:rsidR="00A1602B" w:rsidRDefault="00A1602B">
            <w:pPr>
              <w:jc w:val="center"/>
              <w:rPr>
                <w:rFonts w:ascii="Calibri" w:hAnsi="Calibri" w:cs="Calibri"/>
                <w:b/>
                <w:bCs/>
                <w:sz w:val="22"/>
                <w:szCs w:val="22"/>
              </w:rPr>
            </w:pPr>
            <w:r>
              <w:rPr>
                <w:rFonts w:ascii="Calibri" w:hAnsi="Calibri" w:cs="Calibri"/>
                <w:b/>
                <w:bCs/>
                <w:sz w:val="22"/>
                <w:szCs w:val="22"/>
              </w:rPr>
              <w:t>AOC LCD 24E3QAF 23,8” IPS / 1920x1080</w:t>
            </w:r>
          </w:p>
        </w:tc>
      </w:tr>
      <w:tr w:rsidR="00A1602B" w14:paraId="35E3C49B" w14:textId="77777777" w:rsidTr="001E6EE1">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51F834D2"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nil"/>
              <w:right w:val="nil"/>
            </w:tcBorders>
            <w:shd w:val="clear" w:color="000000" w:fill="99CCFF"/>
            <w:vAlign w:val="center"/>
            <w:hideMark/>
          </w:tcPr>
          <w:p w14:paraId="3A0F48B6"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7765419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0291FEAC"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4B3689FA" w14:textId="77777777" w:rsidTr="001E6EE1">
        <w:trPr>
          <w:trHeight w:val="300"/>
        </w:trPr>
        <w:tc>
          <w:tcPr>
            <w:tcW w:w="1151" w:type="pct"/>
            <w:tcBorders>
              <w:top w:val="single" w:sz="4" w:space="0" w:color="auto"/>
              <w:left w:val="single" w:sz="8" w:space="0" w:color="auto"/>
              <w:bottom w:val="single" w:sz="4" w:space="0" w:color="auto"/>
              <w:right w:val="single" w:sz="4" w:space="0" w:color="auto"/>
            </w:tcBorders>
            <w:noWrap/>
            <w:hideMark/>
          </w:tcPr>
          <w:p w14:paraId="7DFA4A05" w14:textId="77777777" w:rsidR="00A1602B" w:rsidRDefault="00A1602B">
            <w:pPr>
              <w:rPr>
                <w:rFonts w:ascii="Calibri" w:hAnsi="Calibri" w:cs="Calibri"/>
                <w:sz w:val="22"/>
                <w:szCs w:val="22"/>
              </w:rPr>
            </w:pPr>
            <w:r>
              <w:rPr>
                <w:rFonts w:ascii="Calibri" w:hAnsi="Calibri" w:cs="Calibri"/>
                <w:sz w:val="22"/>
                <w:szCs w:val="22"/>
              </w:rPr>
              <w:t>Velikost:</w:t>
            </w:r>
          </w:p>
        </w:tc>
        <w:tc>
          <w:tcPr>
            <w:tcW w:w="1147" w:type="pct"/>
            <w:tcBorders>
              <w:top w:val="single" w:sz="4" w:space="0" w:color="auto"/>
              <w:left w:val="nil"/>
              <w:bottom w:val="single" w:sz="4" w:space="0" w:color="auto"/>
              <w:right w:val="nil"/>
            </w:tcBorders>
            <w:hideMark/>
          </w:tcPr>
          <w:p w14:paraId="05F69F40" w14:textId="77777777" w:rsidR="00A1602B" w:rsidRDefault="00A1602B">
            <w:pPr>
              <w:rPr>
                <w:rFonts w:ascii="Calibri" w:hAnsi="Calibri" w:cs="Calibri"/>
                <w:sz w:val="22"/>
                <w:szCs w:val="22"/>
              </w:rPr>
            </w:pPr>
            <w:r>
              <w:rPr>
                <w:rFonts w:ascii="Calibri" w:hAnsi="Calibri" w:cs="Calibri"/>
                <w:sz w:val="22"/>
                <w:szCs w:val="22"/>
              </w:rPr>
              <w:t>Přesná obchodní velikost 24"</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148106C"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4AAE59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464FC4A3" w14:textId="77777777" w:rsidTr="001E6EE1">
        <w:trPr>
          <w:trHeight w:val="600"/>
        </w:trPr>
        <w:tc>
          <w:tcPr>
            <w:tcW w:w="1151" w:type="pct"/>
            <w:tcBorders>
              <w:top w:val="nil"/>
              <w:left w:val="single" w:sz="8" w:space="0" w:color="auto"/>
              <w:bottom w:val="single" w:sz="4" w:space="0" w:color="auto"/>
              <w:right w:val="single" w:sz="4" w:space="0" w:color="auto"/>
            </w:tcBorders>
            <w:noWrap/>
            <w:hideMark/>
          </w:tcPr>
          <w:p w14:paraId="065817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7C8BA2D4" w14:textId="77777777" w:rsidR="00A1602B" w:rsidRDefault="00A1602B">
            <w:pPr>
              <w:rPr>
                <w:rFonts w:ascii="Calibri" w:hAnsi="Calibri" w:cs="Calibri"/>
                <w:sz w:val="22"/>
                <w:szCs w:val="22"/>
              </w:rPr>
            </w:pPr>
            <w:r>
              <w:rPr>
                <w:rFonts w:ascii="Calibri" w:hAnsi="Calibri" w:cs="Calibri"/>
                <w:sz w:val="22"/>
                <w:szCs w:val="22"/>
              </w:rPr>
              <w:t>Minimální úhlopříčka zobrazovací plochy 23,7"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3F2AAD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5F90851E" w14:textId="77777777" w:rsidR="00A1602B" w:rsidRDefault="00A1602B">
            <w:pPr>
              <w:rPr>
                <w:rFonts w:ascii="Calibri" w:hAnsi="Calibri" w:cs="Calibri"/>
                <w:sz w:val="22"/>
                <w:szCs w:val="22"/>
              </w:rPr>
            </w:pPr>
            <w:r>
              <w:rPr>
                <w:rFonts w:ascii="Calibri" w:hAnsi="Calibri" w:cs="Calibri"/>
                <w:sz w:val="22"/>
                <w:szCs w:val="22"/>
              </w:rPr>
              <w:t>23,8"</w:t>
            </w:r>
          </w:p>
        </w:tc>
      </w:tr>
      <w:tr w:rsidR="00A1602B" w14:paraId="58A0B863" w14:textId="77777777" w:rsidTr="001E6EE1">
        <w:trPr>
          <w:trHeight w:val="1200"/>
        </w:trPr>
        <w:tc>
          <w:tcPr>
            <w:tcW w:w="1151" w:type="pct"/>
            <w:tcBorders>
              <w:top w:val="nil"/>
              <w:left w:val="single" w:sz="8" w:space="0" w:color="auto"/>
              <w:bottom w:val="single" w:sz="4" w:space="0" w:color="auto"/>
              <w:right w:val="single" w:sz="4" w:space="0" w:color="auto"/>
            </w:tcBorders>
            <w:noWrap/>
            <w:hideMark/>
          </w:tcPr>
          <w:p w14:paraId="7D377AE7" w14:textId="77777777" w:rsidR="00A1602B" w:rsidRDefault="00A1602B">
            <w:pPr>
              <w:rPr>
                <w:rFonts w:ascii="Calibri" w:hAnsi="Calibri" w:cs="Calibri"/>
                <w:sz w:val="22"/>
                <w:szCs w:val="22"/>
              </w:rPr>
            </w:pPr>
            <w:r>
              <w:rPr>
                <w:rFonts w:ascii="Calibri" w:hAnsi="Calibri" w:cs="Calibri"/>
                <w:sz w:val="22"/>
                <w:szCs w:val="22"/>
              </w:rPr>
              <w:t>Vlastnosti:</w:t>
            </w:r>
          </w:p>
        </w:tc>
        <w:tc>
          <w:tcPr>
            <w:tcW w:w="1147" w:type="pct"/>
            <w:tcBorders>
              <w:top w:val="nil"/>
              <w:left w:val="nil"/>
              <w:bottom w:val="single" w:sz="4" w:space="0" w:color="auto"/>
              <w:right w:val="nil"/>
            </w:tcBorders>
            <w:hideMark/>
          </w:tcPr>
          <w:p w14:paraId="5472DA04" w14:textId="77777777" w:rsidR="00A1602B" w:rsidRDefault="00A1602B">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22AD1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56F278"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DA821A3" w14:textId="77777777" w:rsidTr="001E6EE1">
        <w:trPr>
          <w:trHeight w:val="600"/>
        </w:trPr>
        <w:tc>
          <w:tcPr>
            <w:tcW w:w="1151" w:type="pct"/>
            <w:tcBorders>
              <w:top w:val="nil"/>
              <w:left w:val="single" w:sz="8" w:space="0" w:color="auto"/>
              <w:bottom w:val="single" w:sz="4" w:space="0" w:color="auto"/>
              <w:right w:val="single" w:sz="4" w:space="0" w:color="auto"/>
            </w:tcBorders>
            <w:noWrap/>
            <w:hideMark/>
          </w:tcPr>
          <w:p w14:paraId="28CEA328" w14:textId="77777777" w:rsidR="00A1602B" w:rsidRDefault="00A1602B">
            <w:pPr>
              <w:rPr>
                <w:rFonts w:ascii="Calibri" w:hAnsi="Calibri" w:cs="Calibri"/>
                <w:sz w:val="22"/>
                <w:szCs w:val="22"/>
              </w:rPr>
            </w:pPr>
            <w:r>
              <w:rPr>
                <w:rFonts w:ascii="Calibri" w:hAnsi="Calibri" w:cs="Calibri"/>
                <w:sz w:val="22"/>
                <w:szCs w:val="22"/>
              </w:rPr>
              <w:t>Rozlišení:</w:t>
            </w:r>
          </w:p>
        </w:tc>
        <w:tc>
          <w:tcPr>
            <w:tcW w:w="1147" w:type="pct"/>
            <w:tcBorders>
              <w:top w:val="nil"/>
              <w:left w:val="nil"/>
              <w:bottom w:val="single" w:sz="4" w:space="0" w:color="auto"/>
              <w:right w:val="nil"/>
            </w:tcBorders>
            <w:hideMark/>
          </w:tcPr>
          <w:p w14:paraId="1A55EC4E" w14:textId="77777777" w:rsidR="00A1602B" w:rsidRDefault="00A1602B">
            <w:pPr>
              <w:rPr>
                <w:rFonts w:ascii="Calibri" w:hAnsi="Calibri" w:cs="Calibri"/>
                <w:sz w:val="22"/>
                <w:szCs w:val="22"/>
              </w:rPr>
            </w:pPr>
            <w:r>
              <w:rPr>
                <w:rFonts w:ascii="Calibri" w:hAnsi="Calibri" w:cs="Calibri"/>
                <w:sz w:val="22"/>
                <w:szCs w:val="22"/>
              </w:rPr>
              <w:t>Přesně 1920 x 1080 bodů, nebo přesně 1920 x 1200 bodů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D573DB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46E72CA2" w14:textId="77777777" w:rsidR="00A1602B" w:rsidRDefault="00A1602B">
            <w:pPr>
              <w:rPr>
                <w:rFonts w:ascii="Calibri" w:hAnsi="Calibri" w:cs="Calibri"/>
                <w:sz w:val="22"/>
                <w:szCs w:val="22"/>
              </w:rPr>
            </w:pPr>
            <w:r>
              <w:rPr>
                <w:rFonts w:ascii="Calibri" w:hAnsi="Calibri" w:cs="Calibri"/>
                <w:sz w:val="22"/>
                <w:szCs w:val="22"/>
              </w:rPr>
              <w:t>1920x1080</w:t>
            </w:r>
          </w:p>
        </w:tc>
      </w:tr>
      <w:tr w:rsidR="00A1602B" w14:paraId="32BBC0B2" w14:textId="77777777" w:rsidTr="001E6EE1">
        <w:trPr>
          <w:trHeight w:val="600"/>
        </w:trPr>
        <w:tc>
          <w:tcPr>
            <w:tcW w:w="1151" w:type="pct"/>
            <w:tcBorders>
              <w:top w:val="nil"/>
              <w:left w:val="single" w:sz="8" w:space="0" w:color="auto"/>
              <w:bottom w:val="single" w:sz="4" w:space="0" w:color="auto"/>
              <w:right w:val="single" w:sz="4" w:space="0" w:color="auto"/>
            </w:tcBorders>
            <w:noWrap/>
            <w:hideMark/>
          </w:tcPr>
          <w:p w14:paraId="261F3B70"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hideMark/>
          </w:tcPr>
          <w:p w14:paraId="17380DA2"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6FC07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636788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52804D7" w14:textId="77777777" w:rsidTr="001E6EE1">
        <w:trPr>
          <w:trHeight w:val="345"/>
        </w:trPr>
        <w:tc>
          <w:tcPr>
            <w:tcW w:w="1151" w:type="pct"/>
            <w:tcBorders>
              <w:top w:val="nil"/>
              <w:left w:val="single" w:sz="8" w:space="0" w:color="auto"/>
              <w:bottom w:val="single" w:sz="4" w:space="0" w:color="auto"/>
              <w:right w:val="single" w:sz="4" w:space="0" w:color="auto"/>
            </w:tcBorders>
            <w:noWrap/>
            <w:hideMark/>
          </w:tcPr>
          <w:p w14:paraId="67DC2FB9"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hideMark/>
          </w:tcPr>
          <w:p w14:paraId="051FBBDB"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D76666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243267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17F308" w14:textId="77777777" w:rsidTr="001E6EE1">
        <w:trPr>
          <w:trHeight w:val="300"/>
        </w:trPr>
        <w:tc>
          <w:tcPr>
            <w:tcW w:w="1151" w:type="pct"/>
            <w:tcBorders>
              <w:top w:val="nil"/>
              <w:left w:val="single" w:sz="8" w:space="0" w:color="auto"/>
              <w:bottom w:val="single" w:sz="4" w:space="0" w:color="auto"/>
              <w:right w:val="single" w:sz="4" w:space="0" w:color="auto"/>
            </w:tcBorders>
            <w:noWrap/>
            <w:hideMark/>
          </w:tcPr>
          <w:p w14:paraId="7B4E82DE"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hideMark/>
          </w:tcPr>
          <w:p w14:paraId="0DFF8BE4" w14:textId="77777777" w:rsidR="00A1602B" w:rsidRDefault="00A1602B">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FA66C7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E9AF0E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8BF5946" w14:textId="77777777" w:rsidTr="001E6EE1">
        <w:trPr>
          <w:trHeight w:val="600"/>
        </w:trPr>
        <w:tc>
          <w:tcPr>
            <w:tcW w:w="1151" w:type="pct"/>
            <w:tcBorders>
              <w:top w:val="nil"/>
              <w:left w:val="single" w:sz="8" w:space="0" w:color="auto"/>
              <w:bottom w:val="single" w:sz="4" w:space="0" w:color="auto"/>
              <w:right w:val="single" w:sz="4" w:space="0" w:color="auto"/>
            </w:tcBorders>
            <w:noWrap/>
            <w:hideMark/>
          </w:tcPr>
          <w:p w14:paraId="16D34716"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hideMark/>
          </w:tcPr>
          <w:p w14:paraId="425ACDEA"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09A695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C7241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062A499" w14:textId="77777777" w:rsidTr="001E6EE1">
        <w:trPr>
          <w:trHeight w:val="600"/>
        </w:trPr>
        <w:tc>
          <w:tcPr>
            <w:tcW w:w="1151" w:type="pct"/>
            <w:tcBorders>
              <w:top w:val="nil"/>
              <w:left w:val="single" w:sz="8" w:space="0" w:color="auto"/>
              <w:bottom w:val="single" w:sz="4" w:space="0" w:color="auto"/>
              <w:right w:val="single" w:sz="4" w:space="0" w:color="auto"/>
            </w:tcBorders>
            <w:noWrap/>
            <w:hideMark/>
          </w:tcPr>
          <w:p w14:paraId="4FD095A4"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hideMark/>
          </w:tcPr>
          <w:p w14:paraId="10098BCC"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44D51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AEE3B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7B732DE" w14:textId="77777777" w:rsidTr="001E6EE1">
        <w:trPr>
          <w:trHeight w:val="4200"/>
        </w:trPr>
        <w:tc>
          <w:tcPr>
            <w:tcW w:w="1151" w:type="pct"/>
            <w:tcBorders>
              <w:top w:val="nil"/>
              <w:left w:val="single" w:sz="8" w:space="0" w:color="auto"/>
              <w:bottom w:val="single" w:sz="4" w:space="0" w:color="auto"/>
              <w:right w:val="single" w:sz="4" w:space="0" w:color="auto"/>
            </w:tcBorders>
            <w:hideMark/>
          </w:tcPr>
          <w:p w14:paraId="33512F24" w14:textId="77777777" w:rsidR="00A1602B" w:rsidRDefault="00A1602B">
            <w:pPr>
              <w:rPr>
                <w:rFonts w:ascii="Calibri" w:hAnsi="Calibri" w:cs="Calibri"/>
                <w:sz w:val="22"/>
                <w:szCs w:val="22"/>
              </w:rPr>
            </w:pPr>
            <w:r>
              <w:rPr>
                <w:rFonts w:ascii="Calibri" w:hAnsi="Calibri" w:cs="Calibri"/>
                <w:sz w:val="22"/>
                <w:szCs w:val="22"/>
              </w:rPr>
              <w:lastRenderedPageBreak/>
              <w:t>Přenos digitálního video a audio signálu:</w:t>
            </w:r>
          </w:p>
        </w:tc>
        <w:tc>
          <w:tcPr>
            <w:tcW w:w="1147" w:type="pct"/>
            <w:tcBorders>
              <w:top w:val="nil"/>
              <w:left w:val="nil"/>
              <w:bottom w:val="single" w:sz="4" w:space="0" w:color="auto"/>
              <w:right w:val="nil"/>
            </w:tcBorders>
            <w:hideMark/>
          </w:tcPr>
          <w:p w14:paraId="4C8A3C56"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399B4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3073CE0"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5BD4E5A" w14:textId="77777777" w:rsidTr="001E6EE1">
        <w:trPr>
          <w:trHeight w:val="300"/>
        </w:trPr>
        <w:tc>
          <w:tcPr>
            <w:tcW w:w="1151" w:type="pct"/>
            <w:tcBorders>
              <w:top w:val="nil"/>
              <w:left w:val="single" w:sz="8" w:space="0" w:color="auto"/>
              <w:bottom w:val="single" w:sz="4" w:space="0" w:color="auto"/>
              <w:right w:val="single" w:sz="4" w:space="0" w:color="auto"/>
            </w:tcBorders>
            <w:noWrap/>
            <w:hideMark/>
          </w:tcPr>
          <w:p w14:paraId="0A27522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21878467"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EF1BE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E0EB83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837FB0A" w14:textId="77777777" w:rsidTr="001E6EE1">
        <w:trPr>
          <w:trHeight w:val="300"/>
        </w:trPr>
        <w:tc>
          <w:tcPr>
            <w:tcW w:w="1151" w:type="pct"/>
            <w:tcBorders>
              <w:top w:val="nil"/>
              <w:left w:val="single" w:sz="8" w:space="0" w:color="auto"/>
              <w:bottom w:val="single" w:sz="4" w:space="0" w:color="auto"/>
              <w:right w:val="single" w:sz="4" w:space="0" w:color="auto"/>
            </w:tcBorders>
            <w:noWrap/>
            <w:vAlign w:val="center"/>
            <w:hideMark/>
          </w:tcPr>
          <w:p w14:paraId="1A7393A9"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5EF48060"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4EDD5BD"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2D9EF6"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05EA0780" w14:textId="77777777" w:rsidTr="001E6EE1">
        <w:trPr>
          <w:trHeight w:val="1800"/>
        </w:trPr>
        <w:tc>
          <w:tcPr>
            <w:tcW w:w="1151" w:type="pct"/>
            <w:tcBorders>
              <w:top w:val="nil"/>
              <w:left w:val="single" w:sz="8" w:space="0" w:color="auto"/>
              <w:bottom w:val="single" w:sz="4" w:space="0" w:color="auto"/>
              <w:right w:val="single" w:sz="4" w:space="0" w:color="auto"/>
            </w:tcBorders>
            <w:noWrap/>
            <w:vAlign w:val="center"/>
            <w:hideMark/>
          </w:tcPr>
          <w:p w14:paraId="76A686E5"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6D91FE58"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4D7594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487B9A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34AA2" w14:textId="77777777" w:rsidTr="001E6EE1">
        <w:trPr>
          <w:trHeight w:val="600"/>
        </w:trPr>
        <w:tc>
          <w:tcPr>
            <w:tcW w:w="1151" w:type="pct"/>
            <w:tcBorders>
              <w:top w:val="nil"/>
              <w:left w:val="single" w:sz="8" w:space="0" w:color="auto"/>
              <w:bottom w:val="single" w:sz="4" w:space="0" w:color="auto"/>
              <w:right w:val="single" w:sz="4" w:space="0" w:color="auto"/>
            </w:tcBorders>
            <w:noWrap/>
            <w:hideMark/>
          </w:tcPr>
          <w:p w14:paraId="7E2E6614"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550F1064"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DF4A15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CDF999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7EB03A" w14:textId="77777777" w:rsidTr="001E6EE1">
        <w:trPr>
          <w:trHeight w:val="1215"/>
        </w:trPr>
        <w:tc>
          <w:tcPr>
            <w:tcW w:w="1151" w:type="pct"/>
            <w:tcBorders>
              <w:top w:val="nil"/>
              <w:left w:val="single" w:sz="8" w:space="0" w:color="auto"/>
              <w:bottom w:val="single" w:sz="8" w:space="0" w:color="auto"/>
              <w:right w:val="single" w:sz="4" w:space="0" w:color="auto"/>
            </w:tcBorders>
            <w:noWrap/>
            <w:hideMark/>
          </w:tcPr>
          <w:p w14:paraId="542305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hideMark/>
          </w:tcPr>
          <w:p w14:paraId="5E984D0F"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13D10EB2"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62D78C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15898" w14:textId="77777777" w:rsidTr="001E6EE1">
        <w:trPr>
          <w:trHeight w:val="315"/>
        </w:trPr>
        <w:tc>
          <w:tcPr>
            <w:tcW w:w="1151" w:type="pct"/>
            <w:tcBorders>
              <w:top w:val="nil"/>
              <w:left w:val="nil"/>
              <w:bottom w:val="nil"/>
              <w:right w:val="nil"/>
            </w:tcBorders>
            <w:noWrap/>
            <w:hideMark/>
          </w:tcPr>
          <w:p w14:paraId="22DC563E" w14:textId="77777777" w:rsidR="00A1602B" w:rsidRDefault="00A1602B">
            <w:pPr>
              <w:rPr>
                <w:rFonts w:ascii="Calibri" w:hAnsi="Calibri" w:cs="Calibri"/>
                <w:sz w:val="22"/>
                <w:szCs w:val="22"/>
              </w:rPr>
            </w:pPr>
          </w:p>
        </w:tc>
        <w:tc>
          <w:tcPr>
            <w:tcW w:w="1147" w:type="pct"/>
            <w:tcBorders>
              <w:top w:val="nil"/>
              <w:left w:val="nil"/>
              <w:bottom w:val="nil"/>
              <w:right w:val="nil"/>
            </w:tcBorders>
            <w:hideMark/>
          </w:tcPr>
          <w:p w14:paraId="79E54836"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6C102897"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42F2152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597A608" w14:textId="77777777" w:rsidTr="001E6EE1">
        <w:trPr>
          <w:trHeight w:val="315"/>
        </w:trPr>
        <w:tc>
          <w:tcPr>
            <w:tcW w:w="1151" w:type="pct"/>
            <w:tcBorders>
              <w:top w:val="nil"/>
              <w:left w:val="nil"/>
              <w:bottom w:val="nil"/>
              <w:right w:val="nil"/>
            </w:tcBorders>
            <w:noWrap/>
            <w:vAlign w:val="center"/>
            <w:hideMark/>
          </w:tcPr>
          <w:p w14:paraId="784A7642" w14:textId="77777777" w:rsidR="00A1602B" w:rsidRDefault="00A1602B">
            <w:pPr>
              <w:rPr>
                <w:rFonts w:ascii="Calibri" w:hAnsi="Calibri" w:cs="Calibri"/>
                <w:sz w:val="22"/>
                <w:szCs w:val="22"/>
              </w:rPr>
            </w:pPr>
          </w:p>
        </w:tc>
        <w:tc>
          <w:tcPr>
            <w:tcW w:w="1147" w:type="pct"/>
            <w:tcBorders>
              <w:top w:val="nil"/>
              <w:left w:val="nil"/>
              <w:bottom w:val="nil"/>
              <w:right w:val="nil"/>
            </w:tcBorders>
            <w:vAlign w:val="center"/>
            <w:hideMark/>
          </w:tcPr>
          <w:p w14:paraId="5BA7B870" w14:textId="77777777" w:rsidR="00A1602B" w:rsidRDefault="00A1602B">
            <w:pPr>
              <w:rPr>
                <w:sz w:val="20"/>
                <w:szCs w:val="20"/>
              </w:rPr>
            </w:pPr>
          </w:p>
        </w:tc>
        <w:tc>
          <w:tcPr>
            <w:tcW w:w="854" w:type="pct"/>
            <w:tcBorders>
              <w:top w:val="nil"/>
              <w:left w:val="nil"/>
              <w:bottom w:val="nil"/>
              <w:right w:val="nil"/>
            </w:tcBorders>
            <w:vAlign w:val="center"/>
            <w:hideMark/>
          </w:tcPr>
          <w:p w14:paraId="4C5B8145" w14:textId="77777777" w:rsidR="00A1602B" w:rsidRDefault="00A1602B">
            <w:pPr>
              <w:rPr>
                <w:sz w:val="20"/>
                <w:szCs w:val="20"/>
              </w:rPr>
            </w:pPr>
          </w:p>
        </w:tc>
        <w:tc>
          <w:tcPr>
            <w:tcW w:w="1848" w:type="pct"/>
            <w:tcBorders>
              <w:top w:val="nil"/>
              <w:left w:val="nil"/>
              <w:bottom w:val="nil"/>
              <w:right w:val="nil"/>
            </w:tcBorders>
            <w:vAlign w:val="center"/>
            <w:hideMark/>
          </w:tcPr>
          <w:p w14:paraId="6D7B1313" w14:textId="77777777" w:rsidR="00A1602B" w:rsidRDefault="00A1602B">
            <w:pPr>
              <w:rPr>
                <w:sz w:val="20"/>
                <w:szCs w:val="20"/>
              </w:rPr>
            </w:pPr>
          </w:p>
        </w:tc>
      </w:tr>
      <w:tr w:rsidR="00A1602B" w14:paraId="648EB424" w14:textId="77777777" w:rsidTr="001E6EE1">
        <w:trPr>
          <w:trHeight w:val="315"/>
        </w:trPr>
        <w:tc>
          <w:tcPr>
            <w:tcW w:w="1151" w:type="pct"/>
            <w:tcBorders>
              <w:top w:val="nil"/>
              <w:left w:val="nil"/>
              <w:bottom w:val="nil"/>
              <w:right w:val="nil"/>
            </w:tcBorders>
            <w:noWrap/>
            <w:hideMark/>
          </w:tcPr>
          <w:p w14:paraId="1E4662DD" w14:textId="77777777" w:rsidR="00A1602B" w:rsidRDefault="00A1602B">
            <w:pPr>
              <w:rPr>
                <w:rFonts w:ascii="Calibri" w:hAnsi="Calibri" w:cs="Calibri"/>
                <w:color w:val="000000"/>
                <w:sz w:val="22"/>
                <w:szCs w:val="22"/>
              </w:rPr>
            </w:pPr>
          </w:p>
        </w:tc>
        <w:tc>
          <w:tcPr>
            <w:tcW w:w="1147" w:type="pct"/>
            <w:tcBorders>
              <w:top w:val="nil"/>
              <w:left w:val="nil"/>
              <w:bottom w:val="nil"/>
              <w:right w:val="nil"/>
            </w:tcBorders>
            <w:hideMark/>
          </w:tcPr>
          <w:p w14:paraId="0D4B7F9F"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246BA73E"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50FBBD0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888E739" w14:textId="77777777" w:rsidTr="001E6EE1">
        <w:trPr>
          <w:trHeight w:val="6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1A1AEAE" w14:textId="77777777" w:rsidR="00A1602B" w:rsidRDefault="00A1602B">
            <w:pPr>
              <w:jc w:val="center"/>
              <w:rPr>
                <w:rFonts w:ascii="Calibri" w:hAnsi="Calibri" w:cs="Calibri"/>
                <w:b/>
                <w:bCs/>
                <w:sz w:val="22"/>
                <w:szCs w:val="22"/>
              </w:rPr>
            </w:pPr>
            <w:r>
              <w:rPr>
                <w:rFonts w:ascii="Calibri" w:hAnsi="Calibri" w:cs="Calibri"/>
                <w:b/>
                <w:bCs/>
                <w:sz w:val="22"/>
                <w:szCs w:val="22"/>
              </w:rPr>
              <w:lastRenderedPageBreak/>
              <w:t>Příslušenství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2B72EBD" w14:textId="77777777" w:rsidR="00A1602B" w:rsidRDefault="00A1602B">
            <w:pPr>
              <w:jc w:val="center"/>
              <w:rPr>
                <w:rFonts w:ascii="Calibri" w:hAnsi="Calibri" w:cs="Calibri"/>
                <w:b/>
                <w:bCs/>
                <w:sz w:val="22"/>
                <w:szCs w:val="22"/>
              </w:rPr>
            </w:pPr>
            <w:r>
              <w:rPr>
                <w:rFonts w:ascii="Calibri" w:hAnsi="Calibri" w:cs="Calibri"/>
                <w:b/>
                <w:bCs/>
                <w:sz w:val="22"/>
                <w:szCs w:val="22"/>
              </w:rPr>
              <w:t xml:space="preserve">klávesnice </w:t>
            </w:r>
            <w:proofErr w:type="spellStart"/>
            <w:r>
              <w:rPr>
                <w:rFonts w:ascii="Calibri" w:hAnsi="Calibri" w:cs="Calibri"/>
                <w:b/>
                <w:bCs/>
                <w:sz w:val="22"/>
                <w:szCs w:val="22"/>
              </w:rPr>
              <w:t>Natec</w:t>
            </w:r>
            <w:proofErr w:type="spellEnd"/>
            <w:r>
              <w:rPr>
                <w:rFonts w:ascii="Calibri" w:hAnsi="Calibri" w:cs="Calibri"/>
                <w:b/>
                <w:bCs/>
                <w:sz w:val="22"/>
                <w:szCs w:val="22"/>
              </w:rPr>
              <w:t xml:space="preserve"> </w:t>
            </w:r>
            <w:proofErr w:type="spellStart"/>
            <w:r>
              <w:rPr>
                <w:rFonts w:ascii="Calibri" w:hAnsi="Calibri" w:cs="Calibri"/>
                <w:b/>
                <w:bCs/>
                <w:sz w:val="22"/>
                <w:szCs w:val="22"/>
              </w:rPr>
              <w:t>Trout</w:t>
            </w:r>
            <w:proofErr w:type="spellEnd"/>
            <w:r>
              <w:rPr>
                <w:rFonts w:ascii="Calibri" w:hAnsi="Calibri" w:cs="Calibri"/>
                <w:b/>
                <w:bCs/>
                <w:sz w:val="22"/>
                <w:szCs w:val="22"/>
              </w:rPr>
              <w:t xml:space="preserve">/ Drátová USB/ CZ-SK layout/ Černá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A1602B" w14:paraId="0E961CC3" w14:textId="77777777" w:rsidTr="001E6EE1">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071B3207"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395AF27D"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711564DF"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5CCBB971"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7E371E88" w14:textId="77777777" w:rsidTr="001E6EE1">
        <w:trPr>
          <w:trHeight w:val="1200"/>
        </w:trPr>
        <w:tc>
          <w:tcPr>
            <w:tcW w:w="1151" w:type="pct"/>
            <w:tcBorders>
              <w:top w:val="nil"/>
              <w:left w:val="single" w:sz="8" w:space="0" w:color="auto"/>
              <w:bottom w:val="single" w:sz="4" w:space="0" w:color="auto"/>
              <w:right w:val="single" w:sz="4" w:space="0" w:color="auto"/>
            </w:tcBorders>
            <w:noWrap/>
            <w:hideMark/>
          </w:tcPr>
          <w:p w14:paraId="2FDA303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6078A3D7" w14:textId="77777777" w:rsidR="00A1602B" w:rsidRDefault="00A1602B">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F32649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B49EDD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D776817" w14:textId="77777777" w:rsidTr="001E6EE1">
        <w:trPr>
          <w:trHeight w:val="1500"/>
        </w:trPr>
        <w:tc>
          <w:tcPr>
            <w:tcW w:w="1151" w:type="pct"/>
            <w:tcBorders>
              <w:top w:val="nil"/>
              <w:left w:val="single" w:sz="8" w:space="0" w:color="auto"/>
              <w:bottom w:val="single" w:sz="4" w:space="0" w:color="auto"/>
              <w:right w:val="single" w:sz="4" w:space="0" w:color="auto"/>
            </w:tcBorders>
            <w:noWrap/>
            <w:hideMark/>
          </w:tcPr>
          <w:p w14:paraId="239B5326"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18D1A981"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60856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7EA2AC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72BED2DB" w14:textId="77777777" w:rsidTr="001E6EE1">
        <w:trPr>
          <w:trHeight w:val="300"/>
        </w:trPr>
        <w:tc>
          <w:tcPr>
            <w:tcW w:w="1151" w:type="pct"/>
            <w:tcBorders>
              <w:top w:val="nil"/>
              <w:left w:val="single" w:sz="8" w:space="0" w:color="auto"/>
              <w:bottom w:val="single" w:sz="4" w:space="0" w:color="auto"/>
              <w:right w:val="single" w:sz="4" w:space="0" w:color="auto"/>
            </w:tcBorders>
            <w:noWrap/>
            <w:vAlign w:val="center"/>
            <w:hideMark/>
          </w:tcPr>
          <w:p w14:paraId="38E0E763"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2719A12D"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D48F7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4C575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7A3EFC88" w14:textId="77777777" w:rsidTr="001E6EE1">
        <w:trPr>
          <w:trHeight w:val="1815"/>
        </w:trPr>
        <w:tc>
          <w:tcPr>
            <w:tcW w:w="1151" w:type="pct"/>
            <w:tcBorders>
              <w:top w:val="nil"/>
              <w:left w:val="single" w:sz="8" w:space="0" w:color="auto"/>
              <w:bottom w:val="single" w:sz="8" w:space="0" w:color="auto"/>
              <w:right w:val="single" w:sz="4" w:space="0" w:color="auto"/>
            </w:tcBorders>
            <w:noWrap/>
            <w:vAlign w:val="center"/>
            <w:hideMark/>
          </w:tcPr>
          <w:p w14:paraId="1DAC153F"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8" w:space="0" w:color="auto"/>
              <w:right w:val="nil"/>
            </w:tcBorders>
            <w:vAlign w:val="center"/>
            <w:hideMark/>
          </w:tcPr>
          <w:p w14:paraId="6DB7C4C3"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3E04537E"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4703DCE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407FE0B" w14:textId="77777777" w:rsidTr="001E6EE1">
        <w:trPr>
          <w:trHeight w:val="315"/>
        </w:trPr>
        <w:tc>
          <w:tcPr>
            <w:tcW w:w="1151" w:type="pct"/>
            <w:tcBorders>
              <w:top w:val="nil"/>
              <w:left w:val="nil"/>
              <w:bottom w:val="nil"/>
              <w:right w:val="nil"/>
            </w:tcBorders>
            <w:noWrap/>
            <w:hideMark/>
          </w:tcPr>
          <w:p w14:paraId="5D6AF374" w14:textId="77777777" w:rsidR="00A1602B" w:rsidRDefault="00A1602B">
            <w:pPr>
              <w:rPr>
                <w:rFonts w:ascii="Calibri" w:hAnsi="Calibri" w:cs="Calibri"/>
                <w:sz w:val="22"/>
                <w:szCs w:val="22"/>
              </w:rPr>
            </w:pPr>
          </w:p>
        </w:tc>
        <w:tc>
          <w:tcPr>
            <w:tcW w:w="1147" w:type="pct"/>
            <w:tcBorders>
              <w:top w:val="nil"/>
              <w:left w:val="nil"/>
              <w:bottom w:val="nil"/>
              <w:right w:val="nil"/>
            </w:tcBorders>
            <w:hideMark/>
          </w:tcPr>
          <w:p w14:paraId="6B0A8154" w14:textId="77777777" w:rsidR="00A1602B" w:rsidRDefault="00A1602B">
            <w:pPr>
              <w:rPr>
                <w:sz w:val="20"/>
                <w:szCs w:val="20"/>
              </w:rPr>
            </w:pPr>
          </w:p>
        </w:tc>
        <w:tc>
          <w:tcPr>
            <w:tcW w:w="854" w:type="pct"/>
            <w:tcBorders>
              <w:top w:val="nil"/>
              <w:left w:val="nil"/>
              <w:bottom w:val="nil"/>
              <w:right w:val="nil"/>
            </w:tcBorders>
            <w:noWrap/>
            <w:vAlign w:val="bottom"/>
            <w:hideMark/>
          </w:tcPr>
          <w:p w14:paraId="0D106BB4" w14:textId="77777777" w:rsidR="00A1602B" w:rsidRDefault="00A1602B">
            <w:pPr>
              <w:rPr>
                <w:sz w:val="20"/>
                <w:szCs w:val="20"/>
              </w:rPr>
            </w:pPr>
          </w:p>
        </w:tc>
        <w:tc>
          <w:tcPr>
            <w:tcW w:w="1848" w:type="pct"/>
            <w:tcBorders>
              <w:top w:val="nil"/>
              <w:left w:val="nil"/>
              <w:bottom w:val="nil"/>
              <w:right w:val="nil"/>
            </w:tcBorders>
            <w:noWrap/>
            <w:vAlign w:val="bottom"/>
            <w:hideMark/>
          </w:tcPr>
          <w:p w14:paraId="4A00995A" w14:textId="77777777" w:rsidR="00A1602B" w:rsidRDefault="00A1602B">
            <w:pPr>
              <w:rPr>
                <w:sz w:val="20"/>
                <w:szCs w:val="20"/>
              </w:rPr>
            </w:pPr>
          </w:p>
        </w:tc>
      </w:tr>
      <w:tr w:rsidR="00A1602B" w14:paraId="26E43F5C" w14:textId="77777777" w:rsidTr="001E6EE1">
        <w:trPr>
          <w:trHeight w:val="3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1A9B880" w14:textId="77777777" w:rsidR="00A1602B" w:rsidRDefault="00A1602B">
            <w:pPr>
              <w:jc w:val="center"/>
              <w:rPr>
                <w:rFonts w:ascii="Calibri" w:hAnsi="Calibri" w:cs="Calibri"/>
                <w:b/>
                <w:bCs/>
                <w:sz w:val="22"/>
                <w:szCs w:val="22"/>
              </w:rPr>
            </w:pPr>
            <w:r>
              <w:rPr>
                <w:rFonts w:ascii="Calibri" w:hAnsi="Calibri" w:cs="Calibri"/>
                <w:b/>
                <w:bCs/>
                <w:sz w:val="22"/>
                <w:szCs w:val="22"/>
              </w:rPr>
              <w:t>Společné požadavky</w:t>
            </w:r>
          </w:p>
        </w:tc>
        <w:tc>
          <w:tcPr>
            <w:tcW w:w="270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717CB6F" w14:textId="77777777" w:rsidR="00A1602B" w:rsidRDefault="00A1602B">
            <w:pPr>
              <w:jc w:val="center"/>
              <w:rPr>
                <w:rFonts w:ascii="Calibri" w:hAnsi="Calibri" w:cs="Calibri"/>
                <w:b/>
                <w:bCs/>
                <w:sz w:val="22"/>
                <w:szCs w:val="22"/>
              </w:rPr>
            </w:pPr>
            <w:r>
              <w:rPr>
                <w:rFonts w:ascii="Calibri" w:hAnsi="Calibri" w:cs="Calibri"/>
                <w:b/>
                <w:bCs/>
                <w:sz w:val="22"/>
                <w:szCs w:val="22"/>
              </w:rPr>
              <w:t> </w:t>
            </w:r>
          </w:p>
        </w:tc>
      </w:tr>
      <w:tr w:rsidR="00A1602B" w14:paraId="310435A6" w14:textId="77777777" w:rsidTr="001E6EE1">
        <w:trPr>
          <w:trHeight w:val="3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1D5F84B1"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74722CBA"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5B2ABEC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noWrap/>
            <w:vAlign w:val="center"/>
            <w:hideMark/>
          </w:tcPr>
          <w:p w14:paraId="11E59EA7"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2E93E58F" w14:textId="77777777" w:rsidTr="001E6EE1">
        <w:trPr>
          <w:trHeight w:val="2700"/>
        </w:trPr>
        <w:tc>
          <w:tcPr>
            <w:tcW w:w="1151" w:type="pct"/>
            <w:tcBorders>
              <w:top w:val="nil"/>
              <w:left w:val="single" w:sz="8" w:space="0" w:color="auto"/>
              <w:bottom w:val="single" w:sz="4" w:space="0" w:color="auto"/>
              <w:right w:val="single" w:sz="4" w:space="0" w:color="auto"/>
            </w:tcBorders>
            <w:shd w:val="clear" w:color="000000" w:fill="FFFFFF"/>
            <w:vAlign w:val="center"/>
            <w:hideMark/>
          </w:tcPr>
          <w:p w14:paraId="098AF800" w14:textId="77777777" w:rsidR="00A1602B" w:rsidRDefault="00A1602B">
            <w:pPr>
              <w:rPr>
                <w:rFonts w:ascii="Calibri" w:hAnsi="Calibri" w:cs="Calibri"/>
                <w:sz w:val="22"/>
                <w:szCs w:val="22"/>
              </w:rPr>
            </w:pPr>
            <w:r>
              <w:rPr>
                <w:rFonts w:ascii="Calibri" w:hAnsi="Calibri" w:cs="Calibri"/>
                <w:sz w:val="22"/>
                <w:szCs w:val="22"/>
              </w:rPr>
              <w:t>Environmentální požadavky</w:t>
            </w:r>
          </w:p>
        </w:tc>
        <w:tc>
          <w:tcPr>
            <w:tcW w:w="1147" w:type="pct"/>
            <w:tcBorders>
              <w:top w:val="nil"/>
              <w:left w:val="nil"/>
              <w:bottom w:val="single" w:sz="4" w:space="0" w:color="auto"/>
              <w:right w:val="nil"/>
            </w:tcBorders>
            <w:vAlign w:val="center"/>
            <w:hideMark/>
          </w:tcPr>
          <w:p w14:paraId="3358D18C" w14:textId="77777777" w:rsidR="00A1602B" w:rsidRDefault="00A1602B">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16BAE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B12E2C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73517A" w14:textId="77777777" w:rsidTr="001E6EE1">
        <w:trPr>
          <w:trHeight w:val="600"/>
        </w:trPr>
        <w:tc>
          <w:tcPr>
            <w:tcW w:w="1151" w:type="pct"/>
            <w:tcBorders>
              <w:top w:val="nil"/>
              <w:left w:val="single" w:sz="8" w:space="0" w:color="auto"/>
              <w:bottom w:val="nil"/>
              <w:right w:val="single" w:sz="4" w:space="0" w:color="auto"/>
            </w:tcBorders>
            <w:shd w:val="clear" w:color="000000" w:fill="FFFFFF"/>
            <w:vAlign w:val="center"/>
            <w:hideMark/>
          </w:tcPr>
          <w:p w14:paraId="7ADA67ED" w14:textId="77777777" w:rsidR="00A1602B" w:rsidRDefault="00A1602B">
            <w:pPr>
              <w:rPr>
                <w:rFonts w:ascii="Calibri" w:hAnsi="Calibri" w:cs="Calibri"/>
                <w:sz w:val="22"/>
                <w:szCs w:val="22"/>
              </w:rPr>
            </w:pPr>
            <w:r>
              <w:rPr>
                <w:rFonts w:ascii="Calibri" w:hAnsi="Calibri" w:cs="Calibri"/>
                <w:sz w:val="22"/>
                <w:szCs w:val="22"/>
              </w:rPr>
              <w:lastRenderedPageBreak/>
              <w:t>Lokalizace</w:t>
            </w:r>
          </w:p>
        </w:tc>
        <w:tc>
          <w:tcPr>
            <w:tcW w:w="1147" w:type="pct"/>
            <w:tcBorders>
              <w:top w:val="nil"/>
              <w:left w:val="nil"/>
              <w:bottom w:val="nil"/>
              <w:right w:val="nil"/>
            </w:tcBorders>
            <w:vAlign w:val="center"/>
            <w:hideMark/>
          </w:tcPr>
          <w:p w14:paraId="27D1EC28" w14:textId="77777777" w:rsidR="00A1602B" w:rsidRDefault="00A1602B">
            <w:pPr>
              <w:rPr>
                <w:rFonts w:ascii="Calibri" w:hAnsi="Calibri" w:cs="Calibri"/>
                <w:sz w:val="22"/>
                <w:szCs w:val="22"/>
              </w:rPr>
            </w:pPr>
            <w:r>
              <w:rPr>
                <w:rFonts w:ascii="Calibri" w:hAnsi="Calibri" w:cs="Calibri"/>
                <w:sz w:val="22"/>
                <w:szCs w:val="22"/>
              </w:rPr>
              <w:t>Veškeré komponenty plnění musí být určeny k použití v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B5D7427"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nil"/>
              <w:right w:val="single" w:sz="8" w:space="0" w:color="auto"/>
            </w:tcBorders>
            <w:shd w:val="clear" w:color="000000" w:fill="C0C0C0"/>
            <w:vAlign w:val="center"/>
            <w:hideMark/>
          </w:tcPr>
          <w:p w14:paraId="0B3DC9C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B923543" w14:textId="77777777" w:rsidTr="001E6EE1">
        <w:trPr>
          <w:trHeight w:val="915"/>
        </w:trPr>
        <w:tc>
          <w:tcPr>
            <w:tcW w:w="115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4F09A244" w14:textId="77777777" w:rsidR="00A1602B" w:rsidRDefault="00A1602B">
            <w:pPr>
              <w:rPr>
                <w:rFonts w:ascii="Calibri" w:hAnsi="Calibri" w:cs="Calibri"/>
                <w:sz w:val="22"/>
                <w:szCs w:val="22"/>
              </w:rPr>
            </w:pPr>
            <w:r>
              <w:rPr>
                <w:rFonts w:ascii="Calibri" w:hAnsi="Calibri" w:cs="Calibri"/>
                <w:sz w:val="22"/>
                <w:szCs w:val="22"/>
              </w:rPr>
              <w:t>Vizuální kompatibilita</w:t>
            </w:r>
          </w:p>
        </w:tc>
        <w:tc>
          <w:tcPr>
            <w:tcW w:w="1147" w:type="pct"/>
            <w:tcBorders>
              <w:top w:val="single" w:sz="4" w:space="0" w:color="auto"/>
              <w:left w:val="nil"/>
              <w:bottom w:val="single" w:sz="8" w:space="0" w:color="auto"/>
              <w:right w:val="nil"/>
            </w:tcBorders>
            <w:vAlign w:val="center"/>
            <w:hideMark/>
          </w:tcPr>
          <w:p w14:paraId="3FA2E897" w14:textId="77777777" w:rsidR="00A1602B" w:rsidRDefault="00A1602B">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7C1B32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8" w:space="0" w:color="auto"/>
              <w:right w:val="single" w:sz="8" w:space="0" w:color="auto"/>
            </w:tcBorders>
            <w:shd w:val="clear" w:color="000000" w:fill="C0C0C0"/>
            <w:vAlign w:val="center"/>
            <w:hideMark/>
          </w:tcPr>
          <w:p w14:paraId="0D03F31C" w14:textId="77777777" w:rsidR="00A1602B" w:rsidRDefault="00A1602B">
            <w:pPr>
              <w:rPr>
                <w:rFonts w:ascii="Calibri" w:hAnsi="Calibri" w:cs="Calibri"/>
                <w:b/>
                <w:bCs/>
                <w:sz w:val="22"/>
                <w:szCs w:val="22"/>
              </w:rPr>
            </w:pPr>
            <w:r>
              <w:rPr>
                <w:rFonts w:ascii="Calibri" w:hAnsi="Calibri" w:cs="Calibri"/>
                <w:b/>
                <w:bCs/>
                <w:sz w:val="22"/>
                <w:szCs w:val="22"/>
              </w:rPr>
              <w:t> </w:t>
            </w:r>
          </w:p>
        </w:tc>
      </w:tr>
    </w:tbl>
    <w:p w14:paraId="54D5860C" w14:textId="77777777" w:rsidR="00A1602B" w:rsidRDefault="00A1602B" w:rsidP="008A5116">
      <w:pPr>
        <w:rPr>
          <w:b/>
        </w:rPr>
      </w:pPr>
    </w:p>
    <w:p w14:paraId="496350AD" w14:textId="10D3C22C" w:rsidR="006D35C9" w:rsidRDefault="006D35C9">
      <w:pPr>
        <w:rPr>
          <w:b/>
        </w:rPr>
      </w:pPr>
      <w:r>
        <w:rPr>
          <w:b/>
        </w:rPr>
        <w:br w:type="page"/>
      </w:r>
    </w:p>
    <w:p w14:paraId="10660CCD" w14:textId="77777777" w:rsidR="009B6443" w:rsidRDefault="009B6443" w:rsidP="009B6443">
      <w:pPr>
        <w:jc w:val="center"/>
        <w:rPr>
          <w:b/>
          <w:color w:val="000000"/>
        </w:rPr>
      </w:pPr>
      <w:r>
        <w:rPr>
          <w:b/>
          <w:color w:val="000000"/>
        </w:rPr>
        <w:lastRenderedPageBreak/>
        <w:t>Příloha č. 2 Seznam odběrných míst</w:t>
      </w:r>
    </w:p>
    <w:p w14:paraId="3605D2E4" w14:textId="77777777" w:rsidR="009B6443" w:rsidRDefault="009B6443" w:rsidP="009B6443">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B6443" w14:paraId="161A24F6" w14:textId="77777777" w:rsidTr="00A42175">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8783412" w14:textId="77777777" w:rsidR="009B6443" w:rsidRDefault="009B6443" w:rsidP="00A42175">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67255B4" w14:textId="77777777" w:rsidR="009B6443" w:rsidRDefault="009B6443" w:rsidP="00A42175">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4EB8F2" w14:textId="77777777" w:rsidR="009B6443" w:rsidRDefault="009B6443" w:rsidP="00A42175">
            <w:pPr>
              <w:jc w:val="center"/>
              <w:rPr>
                <w:rFonts w:ascii="Calibri" w:hAnsi="Calibri" w:cs="Calibri"/>
                <w:b/>
                <w:bCs/>
                <w:color w:val="000000"/>
                <w:sz w:val="20"/>
                <w:szCs w:val="20"/>
              </w:rPr>
            </w:pPr>
            <w:r>
              <w:rPr>
                <w:rFonts w:ascii="Calibri" w:hAnsi="Calibri" w:cs="Calibri"/>
                <w:b/>
                <w:bCs/>
                <w:color w:val="000000"/>
                <w:sz w:val="20"/>
                <w:szCs w:val="20"/>
              </w:rPr>
              <w:t>Ulice</w:t>
            </w:r>
          </w:p>
        </w:tc>
      </w:tr>
      <w:tr w:rsidR="00487104" w14:paraId="46C6A801" w14:textId="77777777" w:rsidTr="00AA79A1">
        <w:trPr>
          <w:trHeight w:val="400"/>
        </w:trPr>
        <w:tc>
          <w:tcPr>
            <w:tcW w:w="4668" w:type="dxa"/>
            <w:tcBorders>
              <w:top w:val="nil"/>
              <w:left w:val="single" w:sz="8" w:space="0" w:color="auto"/>
              <w:bottom w:val="single" w:sz="4" w:space="0" w:color="auto"/>
              <w:right w:val="single" w:sz="4" w:space="0" w:color="auto"/>
            </w:tcBorders>
            <w:noWrap/>
            <w:vAlign w:val="center"/>
          </w:tcPr>
          <w:p w14:paraId="0D0F3FDA" w14:textId="77777777" w:rsidR="00487104" w:rsidRDefault="00487104" w:rsidP="00487104">
            <w:pPr>
              <w:rPr>
                <w:rFonts w:ascii="Calibri" w:hAnsi="Calibri" w:cs="Calibri"/>
                <w:b/>
                <w:bCs/>
                <w:color w:val="000000"/>
                <w:sz w:val="20"/>
                <w:szCs w:val="20"/>
              </w:rPr>
            </w:pPr>
            <w:r>
              <w:rPr>
                <w:rFonts w:ascii="Calibri" w:hAnsi="Calibri" w:cs="Calibri"/>
                <w:b/>
                <w:bCs/>
                <w:color w:val="000000"/>
                <w:sz w:val="20"/>
                <w:szCs w:val="20"/>
              </w:rPr>
              <w:t>Obchodní akademie, Vyšší odborná škola a Jazyková škola s právem státní jazykové zkoušky Uherské Hradiště</w:t>
            </w:r>
          </w:p>
        </w:tc>
        <w:tc>
          <w:tcPr>
            <w:tcW w:w="2552" w:type="dxa"/>
            <w:tcBorders>
              <w:top w:val="nil"/>
              <w:left w:val="nil"/>
              <w:bottom w:val="single" w:sz="4" w:space="0" w:color="auto"/>
              <w:right w:val="single" w:sz="4" w:space="0" w:color="auto"/>
            </w:tcBorders>
            <w:shd w:val="clear" w:color="auto" w:fill="FFFFFF"/>
            <w:vAlign w:val="center"/>
          </w:tcPr>
          <w:p w14:paraId="1D114EA3" w14:textId="77777777" w:rsidR="00487104" w:rsidRDefault="00487104" w:rsidP="00487104">
            <w:pPr>
              <w:ind w:firstLineChars="200" w:firstLine="400"/>
              <w:rPr>
                <w:rFonts w:ascii="Calibri" w:hAnsi="Calibri" w:cs="Calibri"/>
                <w:sz w:val="20"/>
                <w:szCs w:val="20"/>
              </w:rPr>
            </w:pPr>
            <w:r>
              <w:rPr>
                <w:rFonts w:ascii="Calibri" w:hAnsi="Calibri" w:cs="Calibri"/>
                <w:sz w:val="20"/>
                <w:szCs w:val="20"/>
              </w:rPr>
              <w:t>Uherské Hradiště</w:t>
            </w:r>
          </w:p>
        </w:tc>
        <w:tc>
          <w:tcPr>
            <w:tcW w:w="2409" w:type="dxa"/>
            <w:tcBorders>
              <w:top w:val="nil"/>
              <w:left w:val="nil"/>
              <w:bottom w:val="single" w:sz="4" w:space="0" w:color="auto"/>
              <w:right w:val="single" w:sz="8" w:space="0" w:color="auto"/>
            </w:tcBorders>
            <w:noWrap/>
            <w:vAlign w:val="center"/>
          </w:tcPr>
          <w:p w14:paraId="3C027EC9" w14:textId="77777777" w:rsidR="00487104" w:rsidRDefault="00487104" w:rsidP="00487104">
            <w:pPr>
              <w:jc w:val="center"/>
              <w:rPr>
                <w:rFonts w:ascii="Calibri" w:hAnsi="Calibri" w:cs="Calibri"/>
                <w:color w:val="000000"/>
                <w:sz w:val="20"/>
                <w:szCs w:val="20"/>
              </w:rPr>
            </w:pPr>
            <w:r>
              <w:rPr>
                <w:rFonts w:ascii="Calibri" w:hAnsi="Calibri" w:cs="Calibri"/>
                <w:color w:val="000000"/>
                <w:sz w:val="20"/>
                <w:szCs w:val="20"/>
              </w:rPr>
              <w:t>Nádražní 22</w:t>
            </w:r>
          </w:p>
        </w:tc>
      </w:tr>
    </w:tbl>
    <w:p w14:paraId="59EAFE1A" w14:textId="77777777" w:rsidR="009B6443" w:rsidRDefault="009B6443" w:rsidP="009B6443">
      <w:pPr>
        <w:rPr>
          <w:b/>
        </w:rPr>
      </w:pPr>
    </w:p>
    <w:p w14:paraId="6B4D5295" w14:textId="77777777" w:rsidR="009B6443" w:rsidRDefault="009B6443" w:rsidP="008A5116">
      <w:pPr>
        <w:rPr>
          <w:b/>
        </w:rPr>
      </w:pPr>
    </w:p>
    <w:sectPr w:rsidR="009B6443" w:rsidSect="00AF6917">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A8B6D" w14:textId="77777777" w:rsidR="00F301EC" w:rsidRDefault="00F301EC" w:rsidP="00A1602B">
      <w:r>
        <w:separator/>
      </w:r>
    </w:p>
  </w:endnote>
  <w:endnote w:type="continuationSeparator" w:id="0">
    <w:p w14:paraId="4DB0F280" w14:textId="77777777" w:rsidR="00F301EC" w:rsidRDefault="00F301EC" w:rsidP="00A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50996" w14:textId="77777777" w:rsidR="00F301EC" w:rsidRDefault="00F301EC" w:rsidP="00A1602B">
      <w:r>
        <w:separator/>
      </w:r>
    </w:p>
  </w:footnote>
  <w:footnote w:type="continuationSeparator" w:id="0">
    <w:p w14:paraId="112E114E" w14:textId="77777777" w:rsidR="00F301EC" w:rsidRDefault="00F301EC" w:rsidP="00A1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0663"/>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15B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4769"/>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703"/>
    <w:rsid w:val="001609F6"/>
    <w:rsid w:val="00161EDF"/>
    <w:rsid w:val="00162ED1"/>
    <w:rsid w:val="00163BE5"/>
    <w:rsid w:val="001670E6"/>
    <w:rsid w:val="00167D6B"/>
    <w:rsid w:val="001700BC"/>
    <w:rsid w:val="00171845"/>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D67D0"/>
    <w:rsid w:val="001E2998"/>
    <w:rsid w:val="001E6EE1"/>
    <w:rsid w:val="001F55DF"/>
    <w:rsid w:val="001F61E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0C6D"/>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C35A5"/>
    <w:rsid w:val="002D2975"/>
    <w:rsid w:val="002D4750"/>
    <w:rsid w:val="002D5B20"/>
    <w:rsid w:val="002D6884"/>
    <w:rsid w:val="002D6B1E"/>
    <w:rsid w:val="002E197E"/>
    <w:rsid w:val="002E1DA3"/>
    <w:rsid w:val="002E1F72"/>
    <w:rsid w:val="002F19AB"/>
    <w:rsid w:val="002F2D0A"/>
    <w:rsid w:val="002F4CBD"/>
    <w:rsid w:val="002F7407"/>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2B0"/>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576A"/>
    <w:rsid w:val="00397EC7"/>
    <w:rsid w:val="003A3D6C"/>
    <w:rsid w:val="003B07CC"/>
    <w:rsid w:val="003B2DF3"/>
    <w:rsid w:val="003B7122"/>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035A"/>
    <w:rsid w:val="004767DE"/>
    <w:rsid w:val="00487104"/>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35C9"/>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3693E"/>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0F78"/>
    <w:rsid w:val="00791967"/>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1605E"/>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2ACE"/>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6443"/>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2B"/>
    <w:rsid w:val="00A160E3"/>
    <w:rsid w:val="00A17D9B"/>
    <w:rsid w:val="00A20738"/>
    <w:rsid w:val="00A346A5"/>
    <w:rsid w:val="00A34C09"/>
    <w:rsid w:val="00A3575D"/>
    <w:rsid w:val="00A362DD"/>
    <w:rsid w:val="00A36D2F"/>
    <w:rsid w:val="00A42175"/>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6917"/>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2081"/>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3908"/>
    <w:rsid w:val="00D44592"/>
    <w:rsid w:val="00D53FD8"/>
    <w:rsid w:val="00D54DE3"/>
    <w:rsid w:val="00D55C99"/>
    <w:rsid w:val="00D561B0"/>
    <w:rsid w:val="00D5641A"/>
    <w:rsid w:val="00D57006"/>
    <w:rsid w:val="00D63223"/>
    <w:rsid w:val="00D72F8D"/>
    <w:rsid w:val="00D7753A"/>
    <w:rsid w:val="00D80E3C"/>
    <w:rsid w:val="00D81236"/>
    <w:rsid w:val="00D83FE8"/>
    <w:rsid w:val="00D91CA3"/>
    <w:rsid w:val="00D953DD"/>
    <w:rsid w:val="00DA096B"/>
    <w:rsid w:val="00DA174B"/>
    <w:rsid w:val="00DA2EC2"/>
    <w:rsid w:val="00DA6575"/>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392F"/>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18B3"/>
    <w:rsid w:val="00EF3414"/>
    <w:rsid w:val="00F014F0"/>
    <w:rsid w:val="00F07035"/>
    <w:rsid w:val="00F078D5"/>
    <w:rsid w:val="00F07F61"/>
    <w:rsid w:val="00F15752"/>
    <w:rsid w:val="00F208C4"/>
    <w:rsid w:val="00F301EC"/>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86B75"/>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1D67D0"/>
    <w:rPr>
      <w:color w:val="0000FF" w:themeColor="hyperlink"/>
      <w:u w:val="single"/>
    </w:rPr>
  </w:style>
  <w:style w:type="paragraph" w:styleId="Zhlav">
    <w:name w:val="header"/>
    <w:basedOn w:val="Normln"/>
    <w:link w:val="ZhlavChar"/>
    <w:uiPriority w:val="99"/>
    <w:unhideWhenUsed/>
    <w:rsid w:val="00A1602B"/>
    <w:pPr>
      <w:tabs>
        <w:tab w:val="center" w:pos="4536"/>
        <w:tab w:val="right" w:pos="9072"/>
      </w:tabs>
    </w:pPr>
  </w:style>
  <w:style w:type="character" w:customStyle="1" w:styleId="ZhlavChar">
    <w:name w:val="Záhlaví Char"/>
    <w:basedOn w:val="Standardnpsmoodstavce"/>
    <w:link w:val="Zhlav"/>
    <w:uiPriority w:val="99"/>
    <w:rsid w:val="00A1602B"/>
    <w:rPr>
      <w:sz w:val="24"/>
      <w:szCs w:val="24"/>
    </w:rPr>
  </w:style>
  <w:style w:type="paragraph" w:styleId="Zpat">
    <w:name w:val="footer"/>
    <w:basedOn w:val="Normln"/>
    <w:link w:val="ZpatChar"/>
    <w:uiPriority w:val="99"/>
    <w:unhideWhenUsed/>
    <w:rsid w:val="00A1602B"/>
    <w:pPr>
      <w:tabs>
        <w:tab w:val="center" w:pos="4536"/>
        <w:tab w:val="right" w:pos="9072"/>
      </w:tabs>
    </w:pPr>
  </w:style>
  <w:style w:type="character" w:customStyle="1" w:styleId="ZpatChar">
    <w:name w:val="Zápatí Char"/>
    <w:basedOn w:val="Standardnpsmoodstavce"/>
    <w:link w:val="Zpat"/>
    <w:uiPriority w:val="99"/>
    <w:rsid w:val="00A1602B"/>
    <w:rPr>
      <w:sz w:val="24"/>
      <w:szCs w:val="24"/>
    </w:rPr>
  </w:style>
  <w:style w:type="character" w:styleId="Nevyeenzmnka">
    <w:name w:val="Unresolved Mention"/>
    <w:basedOn w:val="Standardnpsmoodstavce"/>
    <w:uiPriority w:val="99"/>
    <w:semiHidden/>
    <w:unhideWhenUsed/>
    <w:rsid w:val="00A42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8766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870144554">
      <w:bodyDiv w:val="1"/>
      <w:marLeft w:val="0"/>
      <w:marRight w:val="0"/>
      <w:marTop w:val="0"/>
      <w:marBottom w:val="0"/>
      <w:divBdr>
        <w:top w:val="none" w:sz="0" w:space="0" w:color="auto"/>
        <w:left w:val="none" w:sz="0" w:space="0" w:color="auto"/>
        <w:bottom w:val="none" w:sz="0" w:space="0" w:color="auto"/>
        <w:right w:val="none" w:sz="0" w:space="0" w:color="auto"/>
      </w:divBdr>
    </w:div>
    <w:div w:id="19371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dl@oauh.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dlouhy@openc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5277-DC0E-4821-8668-1106E08A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0</TotalTime>
  <Pages>18</Pages>
  <Words>4876</Words>
  <Characters>28615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Kluková Lenka</cp:lastModifiedBy>
  <cp:revision>2</cp:revision>
  <cp:lastPrinted>2018-09-21T11:39:00Z</cp:lastPrinted>
  <dcterms:created xsi:type="dcterms:W3CDTF">2025-07-18T10:48:00Z</dcterms:created>
  <dcterms:modified xsi:type="dcterms:W3CDTF">2025-07-18T10:48:00Z</dcterms:modified>
</cp:coreProperties>
</file>