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8B9" w:rsidRDefault="00F13569">
      <w:pPr>
        <w:pStyle w:val="Zkladn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5763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</wp:posOffset>
            </wp:positionV>
            <wp:extent cx="7555991" cy="106913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91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48B9" w:rsidRDefault="002248B9">
      <w:pPr>
        <w:pStyle w:val="Zkladntext"/>
        <w:rPr>
          <w:rFonts w:ascii="Times New Roman"/>
          <w:sz w:val="20"/>
        </w:rPr>
      </w:pPr>
    </w:p>
    <w:p w:rsidR="002248B9" w:rsidRDefault="002248B9">
      <w:pPr>
        <w:pStyle w:val="Zkladntext"/>
        <w:rPr>
          <w:rFonts w:ascii="Times New Roman"/>
          <w:sz w:val="20"/>
        </w:rPr>
      </w:pPr>
    </w:p>
    <w:p w:rsidR="002248B9" w:rsidRDefault="002248B9">
      <w:pPr>
        <w:pStyle w:val="Zkladntext"/>
        <w:rPr>
          <w:rFonts w:ascii="Times New Roman"/>
          <w:sz w:val="20"/>
        </w:rPr>
      </w:pPr>
    </w:p>
    <w:p w:rsidR="002248B9" w:rsidRDefault="002248B9">
      <w:pPr>
        <w:pStyle w:val="Zkladntext"/>
        <w:rPr>
          <w:rFonts w:ascii="Times New Roman"/>
          <w:sz w:val="20"/>
        </w:rPr>
      </w:pPr>
    </w:p>
    <w:p w:rsidR="002248B9" w:rsidRDefault="002248B9">
      <w:pPr>
        <w:pStyle w:val="Zkladntext"/>
        <w:rPr>
          <w:rFonts w:ascii="Times New Roman"/>
          <w:sz w:val="20"/>
        </w:rPr>
      </w:pPr>
    </w:p>
    <w:p w:rsidR="002248B9" w:rsidRPr="00F13569" w:rsidRDefault="00F13569">
      <w:pPr>
        <w:pStyle w:val="Nadpis1"/>
        <w:spacing w:before="245"/>
        <w:ind w:left="1925" w:right="1933"/>
        <w:rPr>
          <w:lang w:val="cs-CZ"/>
        </w:rPr>
      </w:pPr>
      <w:r w:rsidRPr="00F13569">
        <w:rPr>
          <w:w w:val="125"/>
          <w:lang w:val="cs-CZ"/>
        </w:rPr>
        <w:t>Dodatek č. 3 ke smlouvě o dílo</w:t>
      </w:r>
    </w:p>
    <w:p w:rsidR="002248B9" w:rsidRPr="00F13569" w:rsidRDefault="00F13569">
      <w:pPr>
        <w:spacing w:before="182"/>
        <w:ind w:right="7"/>
        <w:jc w:val="center"/>
        <w:rPr>
          <w:b/>
          <w:sz w:val="24"/>
          <w:lang w:val="cs-CZ"/>
        </w:rPr>
      </w:pPr>
      <w:r w:rsidRPr="00F13569">
        <w:rPr>
          <w:b/>
          <w:w w:val="126"/>
          <w:sz w:val="24"/>
          <w:lang w:val="cs-CZ"/>
        </w:rPr>
        <w:t>-</w:t>
      </w:r>
    </w:p>
    <w:p w:rsidR="002248B9" w:rsidRPr="00F13569" w:rsidRDefault="00F13569">
      <w:pPr>
        <w:spacing w:before="182"/>
        <w:ind w:left="1926" w:right="1932"/>
        <w:jc w:val="center"/>
        <w:rPr>
          <w:b/>
          <w:sz w:val="24"/>
          <w:lang w:val="cs-CZ"/>
        </w:rPr>
      </w:pPr>
      <w:r w:rsidRPr="00F13569">
        <w:rPr>
          <w:b/>
          <w:w w:val="120"/>
          <w:sz w:val="24"/>
          <w:lang w:val="cs-CZ"/>
        </w:rPr>
        <w:t>Příloha č.2</w:t>
      </w:r>
    </w:p>
    <w:p w:rsidR="002248B9" w:rsidRPr="00F13569" w:rsidRDefault="002248B9">
      <w:pPr>
        <w:pStyle w:val="Zkladntext"/>
        <w:rPr>
          <w:b/>
          <w:sz w:val="28"/>
          <w:lang w:val="cs-CZ"/>
        </w:rPr>
      </w:pPr>
    </w:p>
    <w:p w:rsidR="002248B9" w:rsidRPr="00F13569" w:rsidRDefault="002248B9">
      <w:pPr>
        <w:pStyle w:val="Zkladntext"/>
        <w:rPr>
          <w:b/>
          <w:sz w:val="28"/>
          <w:lang w:val="cs-CZ"/>
        </w:rPr>
      </w:pPr>
    </w:p>
    <w:p w:rsidR="002248B9" w:rsidRPr="00F13569" w:rsidRDefault="002248B9">
      <w:pPr>
        <w:pStyle w:val="Zkladntext"/>
        <w:rPr>
          <w:b/>
          <w:sz w:val="28"/>
          <w:lang w:val="cs-CZ"/>
        </w:rPr>
      </w:pPr>
    </w:p>
    <w:p w:rsidR="002248B9" w:rsidRPr="00F13569" w:rsidRDefault="002248B9">
      <w:pPr>
        <w:pStyle w:val="Zkladntext"/>
        <w:rPr>
          <w:b/>
          <w:sz w:val="28"/>
          <w:lang w:val="cs-CZ"/>
        </w:rPr>
      </w:pPr>
    </w:p>
    <w:p w:rsidR="002248B9" w:rsidRPr="00F13569" w:rsidRDefault="002248B9">
      <w:pPr>
        <w:pStyle w:val="Zkladntext"/>
        <w:rPr>
          <w:b/>
          <w:sz w:val="28"/>
          <w:lang w:val="cs-CZ"/>
        </w:rPr>
      </w:pPr>
    </w:p>
    <w:p w:rsidR="002248B9" w:rsidRPr="00F13569" w:rsidRDefault="00F13569">
      <w:pPr>
        <w:spacing w:before="235"/>
        <w:ind w:left="1926" w:right="1933"/>
        <w:jc w:val="center"/>
        <w:rPr>
          <w:b/>
          <w:sz w:val="48"/>
          <w:lang w:val="cs-CZ"/>
        </w:rPr>
      </w:pPr>
      <w:r w:rsidRPr="00F13569">
        <w:rPr>
          <w:b/>
          <w:w w:val="130"/>
          <w:sz w:val="48"/>
          <w:lang w:val="cs-CZ"/>
        </w:rPr>
        <w:t>DŮVODOVÁ ZPRÁVA TDS</w:t>
      </w:r>
    </w:p>
    <w:p w:rsidR="002248B9" w:rsidRPr="00F13569" w:rsidRDefault="002248B9">
      <w:pPr>
        <w:pStyle w:val="Zkladntext"/>
        <w:rPr>
          <w:b/>
          <w:sz w:val="58"/>
          <w:lang w:val="cs-CZ"/>
        </w:rPr>
      </w:pPr>
    </w:p>
    <w:p w:rsidR="002248B9" w:rsidRPr="00F13569" w:rsidRDefault="002248B9">
      <w:pPr>
        <w:pStyle w:val="Zkladntext"/>
        <w:spacing w:before="11"/>
        <w:rPr>
          <w:b/>
          <w:sz w:val="62"/>
          <w:lang w:val="cs-CZ"/>
        </w:rPr>
      </w:pPr>
    </w:p>
    <w:p w:rsidR="002248B9" w:rsidRPr="00F13569" w:rsidRDefault="00F13569">
      <w:pPr>
        <w:pStyle w:val="Nadpis1"/>
        <w:spacing w:before="0" w:line="259" w:lineRule="auto"/>
        <w:ind w:left="1160" w:right="743" w:hanging="1"/>
        <w:rPr>
          <w:lang w:val="cs-CZ"/>
        </w:rPr>
      </w:pPr>
      <w:r w:rsidRPr="00F13569">
        <w:rPr>
          <w:w w:val="120"/>
          <w:lang w:val="cs-CZ"/>
        </w:rPr>
        <w:t xml:space="preserve">Nástavba a stavební úpravy stávajícího RD za účelem využití jako bytový dům; Zvíkovec 5, 338 08 Zbiroh, </w:t>
      </w:r>
      <w:proofErr w:type="spellStart"/>
      <w:r w:rsidRPr="00F13569">
        <w:rPr>
          <w:w w:val="120"/>
          <w:lang w:val="cs-CZ"/>
        </w:rPr>
        <w:t>parc</w:t>
      </w:r>
      <w:proofErr w:type="spellEnd"/>
      <w:r w:rsidRPr="00F13569">
        <w:rPr>
          <w:w w:val="120"/>
          <w:lang w:val="cs-CZ"/>
        </w:rPr>
        <w:t xml:space="preserve">. č. st. 77 a </w:t>
      </w:r>
      <w:proofErr w:type="spellStart"/>
      <w:r w:rsidRPr="00F13569">
        <w:rPr>
          <w:w w:val="120"/>
          <w:lang w:val="cs-CZ"/>
        </w:rPr>
        <w:t>parc</w:t>
      </w:r>
      <w:proofErr w:type="spellEnd"/>
      <w:r w:rsidRPr="00F13569">
        <w:rPr>
          <w:w w:val="120"/>
          <w:lang w:val="cs-CZ"/>
        </w:rPr>
        <w:t xml:space="preserve">. č. 93/1 a 93/2, </w:t>
      </w:r>
      <w:proofErr w:type="spellStart"/>
      <w:r w:rsidRPr="00F13569">
        <w:rPr>
          <w:w w:val="120"/>
          <w:lang w:val="cs-CZ"/>
        </w:rPr>
        <w:t>k.ú</w:t>
      </w:r>
      <w:proofErr w:type="spellEnd"/>
      <w:r w:rsidRPr="00F13569">
        <w:rPr>
          <w:w w:val="120"/>
          <w:lang w:val="cs-CZ"/>
        </w:rPr>
        <w:t>. Zvíkovec</w:t>
      </w:r>
    </w:p>
    <w:p w:rsidR="002248B9" w:rsidRPr="00F13569" w:rsidRDefault="002248B9">
      <w:pPr>
        <w:spacing w:line="259" w:lineRule="auto"/>
        <w:rPr>
          <w:lang w:val="cs-CZ"/>
        </w:rPr>
        <w:sectPr w:rsidR="002248B9" w:rsidRPr="00F13569">
          <w:type w:val="continuous"/>
          <w:pgSz w:w="11900" w:h="16840"/>
          <w:pgMar w:top="1600" w:right="720" w:bottom="280" w:left="740" w:header="708" w:footer="708" w:gutter="0"/>
          <w:cols w:space="708"/>
        </w:sectPr>
      </w:pPr>
    </w:p>
    <w:p w:rsidR="002248B9" w:rsidRPr="00F13569" w:rsidRDefault="002248B9">
      <w:pPr>
        <w:pStyle w:val="Zkladntext"/>
        <w:rPr>
          <w:b/>
          <w:sz w:val="20"/>
          <w:lang w:val="cs-CZ"/>
        </w:rPr>
      </w:pPr>
    </w:p>
    <w:p w:rsidR="002248B9" w:rsidRPr="00F13569" w:rsidRDefault="002248B9">
      <w:pPr>
        <w:pStyle w:val="Zkladntext"/>
        <w:spacing w:before="7"/>
        <w:rPr>
          <w:b/>
          <w:sz w:val="26"/>
          <w:lang w:val="cs-CZ"/>
        </w:rPr>
      </w:pPr>
    </w:p>
    <w:p w:rsidR="002248B9" w:rsidRPr="00F13569" w:rsidRDefault="00F13569">
      <w:pPr>
        <w:pStyle w:val="Odstavecseseznamem"/>
        <w:numPr>
          <w:ilvl w:val="0"/>
          <w:numId w:val="1"/>
        </w:numPr>
        <w:tabs>
          <w:tab w:val="left" w:pos="471"/>
          <w:tab w:val="left" w:pos="472"/>
        </w:tabs>
        <w:spacing w:before="103"/>
        <w:rPr>
          <w:sz w:val="18"/>
          <w:lang w:val="cs-CZ"/>
        </w:rPr>
      </w:pPr>
      <w:r w:rsidRPr="00F13569">
        <w:rPr>
          <w:w w:val="130"/>
          <w:sz w:val="18"/>
          <w:lang w:val="cs-CZ"/>
        </w:rPr>
        <w:t>Popis provedené</w:t>
      </w:r>
      <w:r w:rsidRPr="00F13569">
        <w:rPr>
          <w:spacing w:val="-5"/>
          <w:w w:val="130"/>
          <w:sz w:val="18"/>
          <w:lang w:val="cs-CZ"/>
        </w:rPr>
        <w:t xml:space="preserve"> </w:t>
      </w:r>
      <w:r w:rsidRPr="00F13569">
        <w:rPr>
          <w:w w:val="130"/>
          <w:sz w:val="18"/>
          <w:lang w:val="cs-CZ"/>
        </w:rPr>
        <w:t>změny</w:t>
      </w:r>
    </w:p>
    <w:p w:rsidR="002248B9" w:rsidRPr="00F13569" w:rsidRDefault="00F13569">
      <w:pPr>
        <w:pStyle w:val="Odstavecseseznamem"/>
        <w:numPr>
          <w:ilvl w:val="1"/>
          <w:numId w:val="1"/>
        </w:numPr>
        <w:tabs>
          <w:tab w:val="left" w:pos="903"/>
          <w:tab w:val="left" w:pos="904"/>
        </w:tabs>
        <w:rPr>
          <w:sz w:val="18"/>
          <w:lang w:val="cs-CZ"/>
        </w:rPr>
      </w:pPr>
      <w:r w:rsidRPr="00F13569">
        <w:rPr>
          <w:w w:val="115"/>
          <w:sz w:val="18"/>
          <w:lang w:val="cs-CZ"/>
        </w:rPr>
        <w:t>Změnový list</w:t>
      </w:r>
      <w:r w:rsidRPr="00F13569">
        <w:rPr>
          <w:spacing w:val="-1"/>
          <w:w w:val="115"/>
          <w:sz w:val="18"/>
          <w:lang w:val="cs-CZ"/>
        </w:rPr>
        <w:t xml:space="preserve"> </w:t>
      </w:r>
      <w:r w:rsidRPr="00F13569">
        <w:rPr>
          <w:w w:val="115"/>
          <w:sz w:val="18"/>
          <w:lang w:val="cs-CZ"/>
        </w:rPr>
        <w:t>č.7</w:t>
      </w:r>
    </w:p>
    <w:p w:rsidR="002248B9" w:rsidRPr="00F13569" w:rsidRDefault="00F13569">
      <w:pPr>
        <w:pStyle w:val="Zkladntext"/>
        <w:spacing w:before="174"/>
        <w:ind w:left="111" w:right="101" w:firstLine="708"/>
        <w:rPr>
          <w:lang w:val="cs-CZ"/>
        </w:rPr>
      </w:pPr>
      <w:r w:rsidRPr="00F13569">
        <w:rPr>
          <w:w w:val="125"/>
          <w:lang w:val="cs-CZ"/>
        </w:rPr>
        <w:t xml:space="preserve">Během realizace došlo k navýšení nákladů stavby v důsledku špatné koordinace projektové dokumentace a architektonických požadavků, chybám v rozpočtu a projektem nedořešených detailů napojení </w:t>
      </w:r>
      <w:proofErr w:type="spellStart"/>
      <w:r w:rsidRPr="00F13569">
        <w:rPr>
          <w:w w:val="125"/>
          <w:lang w:val="cs-CZ"/>
        </w:rPr>
        <w:t>parotěsnících</w:t>
      </w:r>
      <w:proofErr w:type="spellEnd"/>
      <w:r w:rsidRPr="00F13569">
        <w:rPr>
          <w:w w:val="125"/>
          <w:lang w:val="cs-CZ"/>
        </w:rPr>
        <w:t xml:space="preserve"> vrstev střeš</w:t>
      </w:r>
      <w:r w:rsidRPr="00F13569">
        <w:rPr>
          <w:w w:val="125"/>
          <w:lang w:val="cs-CZ"/>
        </w:rPr>
        <w:t>ního pláště. Celkové navýšení nákladů je popsáno v položkovém rozpočtu v rámci změnového listu č. 7.</w:t>
      </w:r>
    </w:p>
    <w:p w:rsidR="002248B9" w:rsidRPr="00F13569" w:rsidRDefault="002248B9">
      <w:pPr>
        <w:pStyle w:val="Zkladntext"/>
        <w:rPr>
          <w:sz w:val="22"/>
          <w:lang w:val="cs-CZ"/>
        </w:rPr>
      </w:pPr>
    </w:p>
    <w:p w:rsidR="002248B9" w:rsidRPr="00F13569" w:rsidRDefault="002248B9">
      <w:pPr>
        <w:pStyle w:val="Zkladntext"/>
        <w:spacing w:before="10"/>
        <w:rPr>
          <w:sz w:val="19"/>
          <w:lang w:val="cs-CZ"/>
        </w:rPr>
      </w:pPr>
    </w:p>
    <w:p w:rsidR="002248B9" w:rsidRPr="00F13569" w:rsidRDefault="00F13569">
      <w:pPr>
        <w:pStyle w:val="Odstavecseseznamem"/>
        <w:numPr>
          <w:ilvl w:val="0"/>
          <w:numId w:val="1"/>
        </w:numPr>
        <w:tabs>
          <w:tab w:val="left" w:pos="471"/>
          <w:tab w:val="left" w:pos="472"/>
        </w:tabs>
        <w:spacing w:before="0"/>
        <w:rPr>
          <w:sz w:val="18"/>
          <w:lang w:val="cs-CZ"/>
        </w:rPr>
      </w:pPr>
      <w:r w:rsidRPr="00F13569">
        <w:rPr>
          <w:w w:val="130"/>
          <w:sz w:val="18"/>
          <w:lang w:val="cs-CZ"/>
        </w:rPr>
        <w:t>Odůvodnění</w:t>
      </w:r>
    </w:p>
    <w:p w:rsidR="002248B9" w:rsidRPr="00F13569" w:rsidRDefault="00F13569">
      <w:pPr>
        <w:pStyle w:val="Odstavecseseznamem"/>
        <w:numPr>
          <w:ilvl w:val="1"/>
          <w:numId w:val="1"/>
        </w:numPr>
        <w:tabs>
          <w:tab w:val="left" w:pos="904"/>
        </w:tabs>
        <w:rPr>
          <w:sz w:val="18"/>
          <w:lang w:val="cs-CZ"/>
        </w:rPr>
      </w:pPr>
      <w:r w:rsidRPr="00F13569">
        <w:rPr>
          <w:w w:val="115"/>
          <w:sz w:val="18"/>
          <w:lang w:val="cs-CZ"/>
        </w:rPr>
        <w:t>Změnový list</w:t>
      </w:r>
      <w:r w:rsidRPr="00F13569">
        <w:rPr>
          <w:spacing w:val="-1"/>
          <w:w w:val="115"/>
          <w:sz w:val="18"/>
          <w:lang w:val="cs-CZ"/>
        </w:rPr>
        <w:t xml:space="preserve"> </w:t>
      </w:r>
      <w:r w:rsidRPr="00F13569">
        <w:rPr>
          <w:w w:val="115"/>
          <w:sz w:val="18"/>
          <w:lang w:val="cs-CZ"/>
        </w:rPr>
        <w:t>č.7</w:t>
      </w:r>
    </w:p>
    <w:p w:rsidR="002248B9" w:rsidRPr="00F13569" w:rsidRDefault="00F13569">
      <w:pPr>
        <w:pStyle w:val="Zkladntext"/>
        <w:spacing w:before="176" w:line="259" w:lineRule="auto"/>
        <w:ind w:left="112" w:right="101" w:firstLine="708"/>
        <w:rPr>
          <w:lang w:val="cs-CZ"/>
        </w:rPr>
      </w:pPr>
      <w:r w:rsidRPr="00F13569">
        <w:rPr>
          <w:w w:val="125"/>
          <w:lang w:val="cs-CZ"/>
        </w:rPr>
        <w:t>Architektem požadovaná venkovní dlažba verandy nebyla součástí zadávacího rozpočtu ani projektové dokumentace.</w:t>
      </w:r>
      <w:r w:rsidRPr="00F13569">
        <w:rPr>
          <w:spacing w:val="-13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Byla</w:t>
      </w:r>
      <w:r w:rsidRPr="00F13569">
        <w:rPr>
          <w:spacing w:val="-14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vybrána</w:t>
      </w:r>
      <w:r w:rsidRPr="00F13569">
        <w:rPr>
          <w:spacing w:val="-14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cenově</w:t>
      </w:r>
      <w:r w:rsidRPr="00F13569">
        <w:rPr>
          <w:spacing w:val="-13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nejvýhodnější</w:t>
      </w:r>
      <w:r w:rsidRPr="00F13569">
        <w:rPr>
          <w:spacing w:val="-15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varianta</w:t>
      </w:r>
      <w:r w:rsidRPr="00F13569">
        <w:rPr>
          <w:spacing w:val="-14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dlažby,</w:t>
      </w:r>
      <w:r w:rsidRPr="00F13569">
        <w:rPr>
          <w:spacing w:val="-13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která</w:t>
      </w:r>
      <w:r w:rsidRPr="00F13569">
        <w:rPr>
          <w:spacing w:val="-13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vyhovuje</w:t>
      </w:r>
      <w:r w:rsidRPr="00F13569">
        <w:rPr>
          <w:spacing w:val="-14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architektonickým</w:t>
      </w:r>
      <w:r w:rsidRPr="00F13569">
        <w:rPr>
          <w:spacing w:val="-12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požadavkům se vzorem</w:t>
      </w:r>
      <w:r w:rsidRPr="00F13569">
        <w:rPr>
          <w:spacing w:val="-7"/>
          <w:w w:val="125"/>
          <w:lang w:val="cs-CZ"/>
        </w:rPr>
        <w:t xml:space="preserve"> </w:t>
      </w:r>
      <w:proofErr w:type="spellStart"/>
      <w:r w:rsidRPr="00F13569">
        <w:rPr>
          <w:w w:val="125"/>
          <w:lang w:val="cs-CZ"/>
        </w:rPr>
        <w:t>teraco</w:t>
      </w:r>
      <w:proofErr w:type="spellEnd"/>
      <w:r w:rsidRPr="00F13569">
        <w:rPr>
          <w:w w:val="125"/>
          <w:lang w:val="cs-CZ"/>
        </w:rPr>
        <w:t>.</w:t>
      </w:r>
    </w:p>
    <w:p w:rsidR="002248B9" w:rsidRPr="00F13569" w:rsidRDefault="00F13569">
      <w:pPr>
        <w:pStyle w:val="Zkladntext"/>
        <w:spacing w:before="157"/>
        <w:ind w:left="820"/>
        <w:rPr>
          <w:lang w:val="cs-CZ"/>
        </w:rPr>
      </w:pPr>
      <w:r w:rsidRPr="00F13569">
        <w:rPr>
          <w:w w:val="125"/>
          <w:lang w:val="cs-CZ"/>
        </w:rPr>
        <w:t>Následně bylo nutné staticky vyřešit kotvení dešťových svodů v místě verandy, v projektu nebylo</w:t>
      </w:r>
    </w:p>
    <w:p w:rsidR="002248B9" w:rsidRPr="00F13569" w:rsidRDefault="00F13569">
      <w:pPr>
        <w:pStyle w:val="Zkladntext"/>
        <w:spacing w:before="18" w:line="259" w:lineRule="auto"/>
        <w:ind w:left="112" w:right="144"/>
        <w:rPr>
          <w:lang w:val="cs-CZ"/>
        </w:rPr>
      </w:pPr>
      <w:r w:rsidRPr="00F13569">
        <w:rPr>
          <w:w w:val="120"/>
          <w:lang w:val="cs-CZ"/>
        </w:rPr>
        <w:t>s kotvením uvažováno. Tudíž byly dodatečně navrženy základové</w:t>
      </w:r>
      <w:r w:rsidRPr="00F13569">
        <w:rPr>
          <w:w w:val="120"/>
          <w:lang w:val="cs-CZ"/>
        </w:rPr>
        <w:t xml:space="preserve"> patky pro nosný ocelový sloupek, který bude sloužit jako podpora pro dešťový svod.</w:t>
      </w:r>
    </w:p>
    <w:p w:rsidR="002248B9" w:rsidRPr="00F13569" w:rsidRDefault="00F13569">
      <w:pPr>
        <w:pStyle w:val="Zkladntext"/>
        <w:spacing w:before="159" w:line="259" w:lineRule="auto"/>
        <w:ind w:left="112" w:right="686" w:firstLine="708"/>
        <w:rPr>
          <w:lang w:val="cs-CZ"/>
        </w:rPr>
      </w:pPr>
      <w:r w:rsidRPr="00F13569">
        <w:rPr>
          <w:w w:val="125"/>
          <w:lang w:val="cs-CZ"/>
        </w:rPr>
        <w:t>Zadávací</w:t>
      </w:r>
      <w:r w:rsidRPr="00F13569">
        <w:rPr>
          <w:spacing w:val="-12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rozpočet</w:t>
      </w:r>
      <w:r w:rsidRPr="00F13569">
        <w:rPr>
          <w:spacing w:val="-12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stavby</w:t>
      </w:r>
      <w:r w:rsidRPr="00F13569">
        <w:rPr>
          <w:spacing w:val="-10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neobsahoval</w:t>
      </w:r>
      <w:r w:rsidRPr="00F13569">
        <w:rPr>
          <w:spacing w:val="-11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osazení</w:t>
      </w:r>
      <w:r w:rsidRPr="00F13569">
        <w:rPr>
          <w:spacing w:val="-12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vnitřních</w:t>
      </w:r>
      <w:r w:rsidRPr="00F13569">
        <w:rPr>
          <w:spacing w:val="-10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parapetních</w:t>
      </w:r>
      <w:r w:rsidRPr="00F13569">
        <w:rPr>
          <w:spacing w:val="-11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desek.</w:t>
      </w:r>
      <w:r w:rsidRPr="00F13569">
        <w:rPr>
          <w:spacing w:val="-10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Na</w:t>
      </w:r>
      <w:r w:rsidRPr="00F13569">
        <w:rPr>
          <w:spacing w:val="-12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základě</w:t>
      </w:r>
      <w:r w:rsidRPr="00F13569">
        <w:rPr>
          <w:spacing w:val="-11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konzultace s</w:t>
      </w:r>
      <w:r w:rsidRPr="00F13569">
        <w:rPr>
          <w:spacing w:val="-9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architektem</w:t>
      </w:r>
      <w:r w:rsidRPr="00F13569">
        <w:rPr>
          <w:spacing w:val="-8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bylo</w:t>
      </w:r>
      <w:r w:rsidRPr="00F13569">
        <w:rPr>
          <w:spacing w:val="-9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navrženo</w:t>
      </w:r>
      <w:r w:rsidRPr="00F13569">
        <w:rPr>
          <w:spacing w:val="-8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použití</w:t>
      </w:r>
      <w:r w:rsidRPr="00F13569">
        <w:rPr>
          <w:spacing w:val="-10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vnitřních</w:t>
      </w:r>
      <w:r w:rsidRPr="00F13569">
        <w:rPr>
          <w:spacing w:val="-8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parapetní</w:t>
      </w:r>
      <w:r w:rsidRPr="00F13569">
        <w:rPr>
          <w:spacing w:val="-10"/>
          <w:w w:val="125"/>
          <w:lang w:val="cs-CZ"/>
        </w:rPr>
        <w:t xml:space="preserve"> </w:t>
      </w:r>
      <w:proofErr w:type="spellStart"/>
      <w:r w:rsidRPr="00F13569">
        <w:rPr>
          <w:w w:val="125"/>
          <w:lang w:val="cs-CZ"/>
        </w:rPr>
        <w:t>teraco</w:t>
      </w:r>
      <w:proofErr w:type="spellEnd"/>
      <w:r w:rsidRPr="00F13569">
        <w:rPr>
          <w:spacing w:val="-9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desek.</w:t>
      </w:r>
      <w:r w:rsidRPr="00F13569">
        <w:rPr>
          <w:spacing w:val="-8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Pro</w:t>
      </w:r>
      <w:r w:rsidRPr="00F13569">
        <w:rPr>
          <w:spacing w:val="-9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ní</w:t>
      </w:r>
      <w:r w:rsidRPr="00F13569">
        <w:rPr>
          <w:w w:val="125"/>
          <w:lang w:val="cs-CZ"/>
        </w:rPr>
        <w:t>žení</w:t>
      </w:r>
      <w:r w:rsidRPr="00F13569">
        <w:rPr>
          <w:spacing w:val="-9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nákladů</w:t>
      </w:r>
      <w:r w:rsidRPr="00F13569">
        <w:rPr>
          <w:spacing w:val="-8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víceprací</w:t>
      </w:r>
      <w:r w:rsidRPr="00F13569">
        <w:rPr>
          <w:spacing w:val="-10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budou</w:t>
      </w:r>
    </w:p>
    <w:p w:rsidR="002248B9" w:rsidRPr="00F13569" w:rsidRDefault="00F13569">
      <w:pPr>
        <w:pStyle w:val="Zkladntext"/>
        <w:spacing w:line="259" w:lineRule="auto"/>
        <w:ind w:left="112" w:right="101"/>
        <w:rPr>
          <w:lang w:val="cs-CZ"/>
        </w:rPr>
      </w:pPr>
      <w:r w:rsidRPr="00F13569">
        <w:rPr>
          <w:w w:val="125"/>
          <w:lang w:val="cs-CZ"/>
        </w:rPr>
        <w:t>původně</w:t>
      </w:r>
      <w:r w:rsidRPr="00F13569">
        <w:rPr>
          <w:spacing w:val="-18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navržené</w:t>
      </w:r>
      <w:r w:rsidRPr="00F13569">
        <w:rPr>
          <w:spacing w:val="-15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venkovní</w:t>
      </w:r>
      <w:r w:rsidRPr="00F13569">
        <w:rPr>
          <w:spacing w:val="-14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parapety</w:t>
      </w:r>
      <w:r w:rsidRPr="00F13569">
        <w:rPr>
          <w:spacing w:val="-14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z</w:t>
      </w:r>
      <w:r w:rsidRPr="00F13569">
        <w:rPr>
          <w:spacing w:val="-15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betonových</w:t>
      </w:r>
      <w:r w:rsidRPr="00F13569">
        <w:rPr>
          <w:spacing w:val="-14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desek</w:t>
      </w:r>
      <w:r w:rsidRPr="00F13569">
        <w:rPr>
          <w:spacing w:val="-15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použity</w:t>
      </w:r>
      <w:r w:rsidRPr="00F13569">
        <w:rPr>
          <w:spacing w:val="-13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pouze</w:t>
      </w:r>
      <w:r w:rsidRPr="00F13569">
        <w:rPr>
          <w:spacing w:val="-15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pro</w:t>
      </w:r>
      <w:r w:rsidRPr="00F13569">
        <w:rPr>
          <w:spacing w:val="-14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otvory</w:t>
      </w:r>
      <w:r w:rsidRPr="00F13569">
        <w:rPr>
          <w:spacing w:val="-13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přilehlé</w:t>
      </w:r>
      <w:r w:rsidRPr="00F13569">
        <w:rPr>
          <w:spacing w:val="-15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k</w:t>
      </w:r>
      <w:r w:rsidRPr="00F13569">
        <w:rPr>
          <w:spacing w:val="-15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verandě,</w:t>
      </w:r>
      <w:r w:rsidRPr="00F13569">
        <w:rPr>
          <w:spacing w:val="-14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ostatní venkovní</w:t>
      </w:r>
      <w:r w:rsidRPr="00F13569">
        <w:rPr>
          <w:spacing w:val="-6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parapety</w:t>
      </w:r>
      <w:r w:rsidRPr="00F13569">
        <w:rPr>
          <w:spacing w:val="-3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budou</w:t>
      </w:r>
      <w:r w:rsidRPr="00F13569">
        <w:rPr>
          <w:spacing w:val="-6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provedeny</w:t>
      </w:r>
      <w:r w:rsidRPr="00F13569">
        <w:rPr>
          <w:spacing w:val="-4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jako</w:t>
      </w:r>
      <w:r w:rsidRPr="00F13569">
        <w:rPr>
          <w:spacing w:val="-5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plechové</w:t>
      </w:r>
      <w:r w:rsidRPr="00F13569">
        <w:rPr>
          <w:spacing w:val="-8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s</w:t>
      </w:r>
      <w:r w:rsidRPr="00F13569">
        <w:rPr>
          <w:spacing w:val="-6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antikorozní</w:t>
      </w:r>
      <w:r w:rsidRPr="00F13569">
        <w:rPr>
          <w:spacing w:val="-5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úpravou.</w:t>
      </w:r>
    </w:p>
    <w:p w:rsidR="002248B9" w:rsidRPr="00F13569" w:rsidRDefault="00F13569">
      <w:pPr>
        <w:pStyle w:val="Zkladntext"/>
        <w:spacing w:before="157" w:line="259" w:lineRule="auto"/>
        <w:ind w:left="112" w:right="101" w:firstLine="708"/>
        <w:rPr>
          <w:lang w:val="cs-CZ"/>
        </w:rPr>
      </w:pPr>
      <w:r w:rsidRPr="00F13569">
        <w:rPr>
          <w:w w:val="125"/>
          <w:lang w:val="cs-CZ"/>
        </w:rPr>
        <w:t>Projektem</w:t>
      </w:r>
      <w:r w:rsidRPr="00F13569">
        <w:rPr>
          <w:spacing w:val="-15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neřešený</w:t>
      </w:r>
      <w:r w:rsidRPr="00F13569">
        <w:rPr>
          <w:spacing w:val="-14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detail</w:t>
      </w:r>
      <w:r w:rsidRPr="00F13569">
        <w:rPr>
          <w:spacing w:val="-16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napojení</w:t>
      </w:r>
      <w:r w:rsidRPr="00F13569">
        <w:rPr>
          <w:spacing w:val="-15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parotěsných</w:t>
      </w:r>
      <w:r w:rsidRPr="00F13569">
        <w:rPr>
          <w:spacing w:val="-15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vrstev</w:t>
      </w:r>
      <w:r w:rsidRPr="00F13569">
        <w:rPr>
          <w:spacing w:val="-15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střešních</w:t>
      </w:r>
      <w:r w:rsidRPr="00F13569">
        <w:rPr>
          <w:spacing w:val="-15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oken</w:t>
      </w:r>
      <w:r w:rsidRPr="00F13569">
        <w:rPr>
          <w:spacing w:val="-15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a</w:t>
      </w:r>
      <w:r w:rsidRPr="00F13569">
        <w:rPr>
          <w:spacing w:val="-16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střešního</w:t>
      </w:r>
      <w:r w:rsidRPr="00F13569">
        <w:rPr>
          <w:spacing w:val="-15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pláště</w:t>
      </w:r>
      <w:r w:rsidRPr="00F13569">
        <w:rPr>
          <w:spacing w:val="-15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 xml:space="preserve">vyžadoval opatření v podobě doplnění </w:t>
      </w:r>
      <w:proofErr w:type="spellStart"/>
      <w:r w:rsidRPr="00F13569">
        <w:rPr>
          <w:w w:val="125"/>
          <w:lang w:val="cs-CZ"/>
        </w:rPr>
        <w:t>parotěsnicích</w:t>
      </w:r>
      <w:proofErr w:type="spellEnd"/>
      <w:r w:rsidRPr="00F13569">
        <w:rPr>
          <w:w w:val="125"/>
          <w:lang w:val="cs-CZ"/>
        </w:rPr>
        <w:t xml:space="preserve"> pásků kolem jednotlivých</w:t>
      </w:r>
      <w:r w:rsidRPr="00F13569">
        <w:rPr>
          <w:spacing w:val="-37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otvorů.</w:t>
      </w:r>
    </w:p>
    <w:p w:rsidR="002248B9" w:rsidRPr="00F13569" w:rsidRDefault="00F13569">
      <w:pPr>
        <w:pStyle w:val="Zkladntext"/>
        <w:spacing w:before="159" w:line="259" w:lineRule="auto"/>
        <w:ind w:left="112" w:right="101" w:firstLine="708"/>
        <w:rPr>
          <w:lang w:val="cs-CZ"/>
        </w:rPr>
      </w:pPr>
      <w:r w:rsidRPr="00F13569">
        <w:rPr>
          <w:w w:val="125"/>
          <w:lang w:val="cs-CZ"/>
        </w:rPr>
        <w:t>Součástí</w:t>
      </w:r>
      <w:r w:rsidRPr="00F13569">
        <w:rPr>
          <w:spacing w:val="-12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změnového</w:t>
      </w:r>
      <w:r w:rsidRPr="00F13569">
        <w:rPr>
          <w:spacing w:val="-11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listu</w:t>
      </w:r>
      <w:r w:rsidRPr="00F13569">
        <w:rPr>
          <w:spacing w:val="-10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je</w:t>
      </w:r>
      <w:r w:rsidRPr="00F13569">
        <w:rPr>
          <w:spacing w:val="-11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i</w:t>
      </w:r>
      <w:r w:rsidRPr="00F13569">
        <w:rPr>
          <w:spacing w:val="-12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navýšení</w:t>
      </w:r>
      <w:r w:rsidRPr="00F13569">
        <w:rPr>
          <w:spacing w:val="-11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ceny</w:t>
      </w:r>
      <w:r w:rsidRPr="00F13569">
        <w:rPr>
          <w:spacing w:val="-13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za</w:t>
      </w:r>
      <w:r w:rsidRPr="00F13569">
        <w:rPr>
          <w:spacing w:val="-11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vedení</w:t>
      </w:r>
      <w:r w:rsidRPr="00F13569">
        <w:rPr>
          <w:spacing w:val="-12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skrytého</w:t>
      </w:r>
      <w:r w:rsidRPr="00F13569">
        <w:rPr>
          <w:spacing w:val="-11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hromosvodu,</w:t>
      </w:r>
      <w:r w:rsidRPr="00F13569">
        <w:rPr>
          <w:spacing w:val="-10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který</w:t>
      </w:r>
      <w:r w:rsidRPr="00F13569">
        <w:rPr>
          <w:spacing w:val="-10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tak</w:t>
      </w:r>
      <w:r w:rsidRPr="00F13569">
        <w:rPr>
          <w:spacing w:val="-12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splní architektonické požadavky na</w:t>
      </w:r>
      <w:r w:rsidRPr="00F13569">
        <w:rPr>
          <w:spacing w:val="-11"/>
          <w:w w:val="125"/>
          <w:lang w:val="cs-CZ"/>
        </w:rPr>
        <w:t xml:space="preserve"> </w:t>
      </w:r>
      <w:r w:rsidRPr="00F13569">
        <w:rPr>
          <w:w w:val="125"/>
          <w:lang w:val="cs-CZ"/>
        </w:rPr>
        <w:t>stavbu.</w:t>
      </w:r>
    </w:p>
    <w:p w:rsidR="002248B9" w:rsidRPr="00F13569" w:rsidRDefault="00F13569">
      <w:pPr>
        <w:pStyle w:val="Zkladntext"/>
        <w:spacing w:before="159" w:line="259" w:lineRule="auto"/>
        <w:ind w:left="112" w:right="101" w:firstLine="708"/>
        <w:rPr>
          <w:lang w:val="cs-CZ"/>
        </w:rPr>
      </w:pPr>
      <w:r w:rsidRPr="00F13569">
        <w:rPr>
          <w:w w:val="120"/>
          <w:lang w:val="cs-CZ"/>
        </w:rPr>
        <w:t>V důsledku špatné koordinace projektové dokumentace a zadávacího rozpočtu, byly provedeny chybné výkazy výměr pro dělící konstrukce se zvýšenými požadavky na akustickou neprůzvučnost. Z tohoto důvodu bylo rozhodnuto o doplnění akustické izolace do konstruk</w:t>
      </w:r>
      <w:r w:rsidRPr="00F13569">
        <w:rPr>
          <w:w w:val="120"/>
          <w:lang w:val="cs-CZ"/>
        </w:rPr>
        <w:t>ce podhledu.</w:t>
      </w:r>
    </w:p>
    <w:p w:rsidR="002248B9" w:rsidRPr="00F13569" w:rsidRDefault="002248B9">
      <w:pPr>
        <w:pStyle w:val="Zkladntext"/>
        <w:rPr>
          <w:sz w:val="20"/>
          <w:lang w:val="cs-CZ"/>
        </w:rPr>
      </w:pPr>
    </w:p>
    <w:p w:rsidR="002248B9" w:rsidRPr="00F13569" w:rsidRDefault="002248B9">
      <w:pPr>
        <w:pStyle w:val="Zkladntext"/>
        <w:rPr>
          <w:sz w:val="20"/>
          <w:lang w:val="cs-CZ"/>
        </w:rPr>
      </w:pPr>
    </w:p>
    <w:p w:rsidR="002248B9" w:rsidRPr="00F13569" w:rsidRDefault="002248B9">
      <w:pPr>
        <w:pStyle w:val="Zkladntext"/>
        <w:rPr>
          <w:sz w:val="20"/>
          <w:lang w:val="cs-CZ"/>
        </w:rPr>
      </w:pPr>
    </w:p>
    <w:p w:rsidR="002248B9" w:rsidRPr="00F13569" w:rsidRDefault="002248B9">
      <w:pPr>
        <w:pStyle w:val="Zkladntext"/>
        <w:spacing w:before="5"/>
        <w:rPr>
          <w:sz w:val="24"/>
          <w:lang w:val="cs-CZ"/>
        </w:rPr>
      </w:pPr>
    </w:p>
    <w:p w:rsidR="002248B9" w:rsidRPr="00F13569" w:rsidRDefault="002248B9">
      <w:pPr>
        <w:rPr>
          <w:sz w:val="24"/>
          <w:lang w:val="cs-CZ"/>
        </w:rPr>
        <w:sectPr w:rsidR="002248B9" w:rsidRPr="00F13569">
          <w:pgSz w:w="11900" w:h="16840"/>
          <w:pgMar w:top="1600" w:right="720" w:bottom="280" w:left="740" w:header="708" w:footer="708" w:gutter="0"/>
          <w:cols w:space="708"/>
        </w:sectPr>
      </w:pPr>
    </w:p>
    <w:p w:rsidR="002248B9" w:rsidRPr="00F13569" w:rsidRDefault="00F13569">
      <w:pPr>
        <w:pStyle w:val="Zkladntext"/>
        <w:spacing w:before="103"/>
        <w:ind w:left="820"/>
        <w:rPr>
          <w:lang w:val="cs-CZ"/>
        </w:rPr>
      </w:pPr>
      <w:r w:rsidRPr="00F13569">
        <w:rPr>
          <w:noProof/>
          <w:lang w:val="cs-CZ"/>
        </w:rPr>
        <w:drawing>
          <wp:anchor distT="0" distB="0" distL="0" distR="0" simplePos="0" relativeHeight="2515773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</wp:posOffset>
            </wp:positionV>
            <wp:extent cx="7555991" cy="1069135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91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3569">
        <w:rPr>
          <w:w w:val="120"/>
          <w:lang w:val="cs-CZ"/>
        </w:rPr>
        <w:t>V Rokycanech 5.8.2025</w:t>
      </w:r>
    </w:p>
    <w:p w:rsidR="002248B9" w:rsidRPr="00F13569" w:rsidRDefault="00F13569">
      <w:pPr>
        <w:pStyle w:val="Zkladntext"/>
        <w:rPr>
          <w:sz w:val="22"/>
          <w:lang w:val="cs-CZ"/>
        </w:rPr>
      </w:pPr>
      <w:r w:rsidRPr="00F13569">
        <w:rPr>
          <w:lang w:val="cs-CZ"/>
        </w:rPr>
        <w:br w:type="column"/>
      </w:r>
    </w:p>
    <w:p w:rsidR="002248B9" w:rsidRPr="00F13569" w:rsidRDefault="002248B9">
      <w:pPr>
        <w:pStyle w:val="Zkladntext"/>
        <w:spacing w:before="1"/>
        <w:rPr>
          <w:sz w:val="19"/>
          <w:lang w:val="cs-CZ"/>
        </w:rPr>
      </w:pPr>
    </w:p>
    <w:p w:rsidR="002248B9" w:rsidRDefault="00F13569">
      <w:pPr>
        <w:pStyle w:val="Zkladntext"/>
        <w:spacing w:line="432" w:lineRule="auto"/>
        <w:ind w:left="820" w:right="118" w:firstLine="456"/>
        <w:jc w:val="right"/>
        <w:rPr>
          <w:w w:val="120"/>
          <w:lang w:val="cs-CZ"/>
        </w:rPr>
      </w:pPr>
      <w:proofErr w:type="spellStart"/>
      <w:r>
        <w:rPr>
          <w:w w:val="120"/>
          <w:lang w:val="cs-CZ"/>
        </w:rPr>
        <w:t>xxx</w:t>
      </w:r>
      <w:proofErr w:type="spellEnd"/>
      <w:r w:rsidRPr="00F13569">
        <w:rPr>
          <w:rFonts w:ascii="Times New Roman" w:hAnsi="Times New Roman"/>
          <w:w w:val="117"/>
          <w:lang w:val="cs-CZ"/>
        </w:rPr>
        <w:t xml:space="preserve"> </w:t>
      </w:r>
    </w:p>
    <w:p w:rsidR="00F13569" w:rsidRPr="00F13569" w:rsidRDefault="00F13569">
      <w:pPr>
        <w:pStyle w:val="Zkladntext"/>
        <w:spacing w:line="432" w:lineRule="auto"/>
        <w:ind w:left="820" w:right="118" w:firstLine="456"/>
        <w:jc w:val="right"/>
        <w:rPr>
          <w:lang w:val="cs-CZ"/>
        </w:rPr>
      </w:pPr>
      <w:r>
        <w:rPr>
          <w:lang w:val="cs-CZ"/>
        </w:rPr>
        <w:t>x</w:t>
      </w:r>
      <w:bookmarkStart w:id="0" w:name="_GoBack"/>
      <w:bookmarkEnd w:id="0"/>
      <w:r>
        <w:rPr>
          <w:lang w:val="cs-CZ"/>
        </w:rPr>
        <w:t>xx</w:t>
      </w:r>
    </w:p>
    <w:p w:rsidR="002248B9" w:rsidRPr="00F13569" w:rsidRDefault="00F13569">
      <w:pPr>
        <w:pStyle w:val="Zkladntext"/>
        <w:spacing w:before="1"/>
        <w:ind w:right="117"/>
        <w:jc w:val="right"/>
        <w:rPr>
          <w:lang w:val="cs-CZ"/>
        </w:rPr>
      </w:pPr>
      <w:r w:rsidRPr="00F13569">
        <w:rPr>
          <w:spacing w:val="-1"/>
          <w:w w:val="125"/>
          <w:lang w:val="cs-CZ"/>
        </w:rPr>
        <w:t>---</w:t>
      </w:r>
    </w:p>
    <w:p w:rsidR="002248B9" w:rsidRPr="00F13569" w:rsidRDefault="00F13569">
      <w:pPr>
        <w:pStyle w:val="Zkladntext"/>
        <w:spacing w:before="176"/>
        <w:ind w:left="911" w:right="115" w:firstLine="86"/>
        <w:rPr>
          <w:lang w:val="cs-CZ"/>
        </w:rPr>
      </w:pPr>
      <w:r w:rsidRPr="00F13569">
        <w:rPr>
          <w:w w:val="115"/>
          <w:lang w:val="cs-CZ"/>
        </w:rPr>
        <w:t>A.D.S. Rokycany s.r.o.</w:t>
      </w:r>
      <w:hyperlink r:id="rId6">
        <w:r w:rsidRPr="00F13569">
          <w:rPr>
            <w:w w:val="115"/>
            <w:lang w:val="cs-CZ"/>
          </w:rPr>
          <w:t xml:space="preserve"> www.ads-rokycany.cz</w:t>
        </w:r>
      </w:hyperlink>
    </w:p>
    <w:sectPr w:rsidR="002248B9" w:rsidRPr="00F13569">
      <w:type w:val="continuous"/>
      <w:pgSz w:w="11900" w:h="16840"/>
      <w:pgMar w:top="1600" w:right="720" w:bottom="280" w:left="740" w:header="708" w:footer="708" w:gutter="0"/>
      <w:cols w:num="2" w:space="708" w:equalWidth="0">
        <w:col w:w="2911" w:space="4550"/>
        <w:col w:w="29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76535"/>
    <w:multiLevelType w:val="multilevel"/>
    <w:tmpl w:val="6DC45844"/>
    <w:lvl w:ilvl="0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spacing w:val="0"/>
        <w:w w:val="75"/>
        <w:sz w:val="18"/>
        <w:szCs w:val="18"/>
      </w:rPr>
    </w:lvl>
    <w:lvl w:ilvl="1">
      <w:start w:val="1"/>
      <w:numFmt w:val="decimal"/>
      <w:lvlText w:val="%1.%2."/>
      <w:lvlJc w:val="left"/>
      <w:pPr>
        <w:ind w:left="904" w:hanging="432"/>
        <w:jc w:val="left"/>
      </w:pPr>
      <w:rPr>
        <w:rFonts w:ascii="Calibri" w:eastAsia="Calibri" w:hAnsi="Calibri" w:cs="Calibri" w:hint="default"/>
        <w:spacing w:val="0"/>
        <w:w w:val="69"/>
        <w:sz w:val="18"/>
        <w:szCs w:val="18"/>
      </w:rPr>
    </w:lvl>
    <w:lvl w:ilvl="2">
      <w:numFmt w:val="bullet"/>
      <w:lvlText w:val="•"/>
      <w:lvlJc w:val="left"/>
      <w:pPr>
        <w:ind w:left="900" w:hanging="432"/>
      </w:pPr>
      <w:rPr>
        <w:rFonts w:hint="default"/>
      </w:rPr>
    </w:lvl>
    <w:lvl w:ilvl="3">
      <w:numFmt w:val="bullet"/>
      <w:lvlText w:val="•"/>
      <w:lvlJc w:val="left"/>
      <w:pPr>
        <w:ind w:left="2092" w:hanging="432"/>
      </w:pPr>
      <w:rPr>
        <w:rFonts w:hint="default"/>
      </w:rPr>
    </w:lvl>
    <w:lvl w:ilvl="4">
      <w:numFmt w:val="bullet"/>
      <w:lvlText w:val="•"/>
      <w:lvlJc w:val="left"/>
      <w:pPr>
        <w:ind w:left="3285" w:hanging="432"/>
      </w:pPr>
      <w:rPr>
        <w:rFonts w:hint="default"/>
      </w:rPr>
    </w:lvl>
    <w:lvl w:ilvl="5">
      <w:numFmt w:val="bullet"/>
      <w:lvlText w:val="•"/>
      <w:lvlJc w:val="left"/>
      <w:pPr>
        <w:ind w:left="4477" w:hanging="432"/>
      </w:pPr>
      <w:rPr>
        <w:rFonts w:hint="default"/>
      </w:rPr>
    </w:lvl>
    <w:lvl w:ilvl="6">
      <w:numFmt w:val="bullet"/>
      <w:lvlText w:val="•"/>
      <w:lvlJc w:val="left"/>
      <w:pPr>
        <w:ind w:left="5670" w:hanging="432"/>
      </w:pPr>
      <w:rPr>
        <w:rFonts w:hint="default"/>
      </w:rPr>
    </w:lvl>
    <w:lvl w:ilvl="7">
      <w:numFmt w:val="bullet"/>
      <w:lvlText w:val="•"/>
      <w:lvlJc w:val="left"/>
      <w:pPr>
        <w:ind w:left="6862" w:hanging="432"/>
      </w:pPr>
      <w:rPr>
        <w:rFonts w:hint="default"/>
      </w:rPr>
    </w:lvl>
    <w:lvl w:ilvl="8">
      <w:numFmt w:val="bullet"/>
      <w:lvlText w:val="•"/>
      <w:lvlJc w:val="left"/>
      <w:pPr>
        <w:ind w:left="8055" w:hanging="4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8B9"/>
    <w:rsid w:val="002248B9"/>
    <w:rsid w:val="00F1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6437"/>
  <w15:docId w15:val="{DC23CFCA-F81E-49A1-AD30-0B5AD149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182"/>
      <w:ind w:right="7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18"/>
      <w:ind w:left="472" w:hanging="43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s-rokycany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dùvodová zpráva TDS ZL è.7)</dc:title>
  <dc:creator>kostal</dc:creator>
  <cp:lastModifiedBy>Domov "Zvíkovecká kytička"</cp:lastModifiedBy>
  <cp:revision>2</cp:revision>
  <dcterms:created xsi:type="dcterms:W3CDTF">2025-08-08T06:18:00Z</dcterms:created>
  <dcterms:modified xsi:type="dcterms:W3CDTF">2025-08-08T08:15:00Z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2025-08-08T00:00:00Z</vt:filetime>
  </property>
</Properties>
</file>