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0F60" w:rsidRDefault="00350F60" w:rsidP="00350F6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August 6, 2025 1:38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Objednávky č. 185</w:t>
      </w:r>
      <w:r>
        <w:rPr>
          <w:rFonts w:eastAsia="Times New Roman"/>
          <w:lang w:eastAsia="cs-CZ"/>
        </w:rPr>
        <w:t>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350F60">
        <w:t>. č. 185</w:t>
      </w:r>
      <w:r>
        <w:t xml:space="preserve">/2025/OTS </w:t>
      </w:r>
      <w:r w:rsidR="001C6C53">
        <w:t>–</w:t>
      </w:r>
      <w:r w:rsidR="004C1435">
        <w:t xml:space="preserve"> </w:t>
      </w:r>
      <w:r w:rsidR="001C6C53">
        <w:t>Nákup materiálu v r</w:t>
      </w:r>
      <w:r w:rsidR="00350F60">
        <w:t xml:space="preserve">ámci stávajících odběr. </w:t>
      </w:r>
      <w:proofErr w:type="gramStart"/>
      <w:r w:rsidR="00350F60">
        <w:t>míst</w:t>
      </w:r>
      <w:proofErr w:type="gramEnd"/>
      <w:r w:rsidR="00350F60">
        <w:t xml:space="preserve"> – 7</w:t>
      </w:r>
      <w:r w:rsidR="001C6C53">
        <w:t>/2025</w:t>
      </w:r>
    </w:p>
    <w:p w:rsidR="00020134" w:rsidRDefault="00020134" w:rsidP="00020134">
      <w:r>
        <w:t xml:space="preserve">v celkové částce: </w:t>
      </w:r>
      <w:r w:rsidR="00350F60">
        <w:t>287.752,29</w:t>
      </w:r>
      <w:r>
        <w:t xml:space="preserve"> Kč včetně DPH, bez DPH: </w:t>
      </w:r>
      <w:r w:rsidR="00350F60">
        <w:t>237.811,81</w:t>
      </w:r>
      <w:r>
        <w:t xml:space="preserve"> Kč.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350F60">
        <w:t>Objednávky č. 185/2025/OTS ze dne 6. 8</w:t>
      </w:r>
      <w:bookmarkStart w:id="1" w:name="_GoBack"/>
      <w:bookmarkEnd w:id="1"/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50F60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571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2023-02-06T12:15:00Z</cp:lastPrinted>
  <dcterms:created xsi:type="dcterms:W3CDTF">2025-08-06T11:43:00Z</dcterms:created>
  <dcterms:modified xsi:type="dcterms:W3CDTF">2025-08-06T11:43:00Z</dcterms:modified>
</cp:coreProperties>
</file>