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99" w:after="9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167" w:left="1110" w:right="1102" w:bottom="1064" w:header="0" w:footer="3" w:gutter="0"/>
          <w:pgNumType w:start="1"/>
          <w:cols w:space="720"/>
          <w:noEndnote/>
          <w:rtlGutter w:val="0"/>
          <w:docGrid w:linePitch="360"/>
        </w:sectPr>
      </w:pPr>
    </w:p>
    <w:p>
      <w:pPr>
        <w:widowControl w:val="0"/>
        <w:spacing w:line="1" w:lineRule="exact"/>
      </w:pPr>
      <w:r>
        <mc:AlternateContent>
          <mc:Choice Requires="wps">
            <w:drawing>
              <wp:anchor distT="0" distB="4782185" distL="63500" distR="993140" simplePos="0" relativeHeight="125829378" behindDoc="0" locked="0" layoutInCell="1" allowOverlap="1">
                <wp:simplePos x="0" y="0"/>
                <wp:positionH relativeFrom="page">
                  <wp:posOffset>3219450</wp:posOffset>
                </wp:positionH>
                <wp:positionV relativeFrom="paragraph">
                  <wp:posOffset>2359025</wp:posOffset>
                </wp:positionV>
                <wp:extent cx="2225040" cy="387350"/>
                <wp:wrapSquare wrapText="left"/>
                <wp:docPr id="5" name="Shape 5"/>
                <a:graphic xmlns:a="http://schemas.openxmlformats.org/drawingml/2006/main">
                  <a:graphicData uri="http://schemas.microsoft.com/office/word/2010/wordprocessingShape">
                    <wps:wsp>
                      <wps:cNvSpPr txBox="1"/>
                      <wps:spPr>
                        <a:xfrm>
                          <a:ext cx="2225040"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31" type="#_x0000_t202" style="position:absolute;margin-left:253.5pt;margin-top:185.75pt;width:175.20000000000002pt;height:30.5pt;z-index:-125829375;mso-wrap-distance-left:5.pt;mso-wrap-distance-right:78.200000000000003pt;mso-wrap-distance-bottom:376.55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square" side="left" anchorx="page"/>
              </v:shape>
            </w:pict>
          </mc:Fallback>
        </mc:AlternateContent>
      </w:r>
      <w:r>
        <mc:AlternateContent>
          <mc:Choice Requires="wps">
            <w:drawing>
              <wp:anchor distT="1344295" distB="3437890" distL="63500" distR="2376805" simplePos="0" relativeHeight="125829380" behindDoc="0" locked="0" layoutInCell="1" allowOverlap="1">
                <wp:simplePos x="0" y="0"/>
                <wp:positionH relativeFrom="page">
                  <wp:posOffset>3219450</wp:posOffset>
                </wp:positionH>
                <wp:positionV relativeFrom="paragraph">
                  <wp:posOffset>3703320</wp:posOffset>
                </wp:positionV>
                <wp:extent cx="841375" cy="387350"/>
                <wp:wrapSquare wrapText="left"/>
                <wp:docPr id="7" name="Shape 7"/>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33" type="#_x0000_t202" style="position:absolute;margin-left:253.5pt;margin-top:291.60000000000002pt;width:66.25pt;height:30.5pt;z-index:-125829373;mso-wrap-distance-left:5.pt;mso-wrap-distance-top:105.85000000000001pt;mso-wrap-distance-right:187.15000000000001pt;mso-wrap-distance-bottom:270.6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v:textbox>
                <w10:wrap type="square" side="left" anchorx="page"/>
              </v:shape>
            </w:pict>
          </mc:Fallback>
        </mc:AlternateContent>
      </w:r>
      <w:r>
        <mc:AlternateContent>
          <mc:Choice Requires="wps">
            <w:drawing>
              <wp:anchor distT="1987550" distB="2794635" distL="63500" distR="264795" simplePos="0" relativeHeight="125829382" behindDoc="0" locked="0" layoutInCell="1" allowOverlap="1">
                <wp:simplePos x="0" y="0"/>
                <wp:positionH relativeFrom="page">
                  <wp:posOffset>3219450</wp:posOffset>
                </wp:positionH>
                <wp:positionV relativeFrom="paragraph">
                  <wp:posOffset>4346575</wp:posOffset>
                </wp:positionV>
                <wp:extent cx="2953385" cy="387350"/>
                <wp:wrapSquare wrapText="left"/>
                <wp:docPr id="9" name="Shape 9"/>
                <a:graphic xmlns:a="http://schemas.openxmlformats.org/drawingml/2006/main">
                  <a:graphicData uri="http://schemas.microsoft.com/office/word/2010/wordprocessingShape">
                    <wps:wsp>
                      <wps:cNvSpPr txBox="1"/>
                      <wps:spPr>
                        <a:xfrm>
                          <a:ext cx="2953385"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5" type="#_x0000_t202" style="position:absolute;margin-left:253.5pt;margin-top:342.25pt;width:232.55000000000001pt;height:30.5pt;z-index:-125829371;mso-wrap-distance-left:5.pt;mso-wrap-distance-top:156.5pt;mso-wrap-distance-right:20.850000000000001pt;mso-wrap-distance-bottom:220.05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square" side="left" anchorx="page"/>
              </v:shape>
            </w:pict>
          </mc:Fallback>
        </mc:AlternateContent>
      </w:r>
      <w:r>
        <mc:AlternateContent>
          <mc:Choice Requires="wps">
            <w:drawing>
              <wp:anchor distT="3191510" distB="0" distL="63500" distR="63500" simplePos="0" relativeHeight="125829384" behindDoc="0" locked="0" layoutInCell="1" allowOverlap="1">
                <wp:simplePos x="0" y="0"/>
                <wp:positionH relativeFrom="page">
                  <wp:posOffset>3219450</wp:posOffset>
                </wp:positionH>
                <wp:positionV relativeFrom="paragraph">
                  <wp:posOffset>5550535</wp:posOffset>
                </wp:positionV>
                <wp:extent cx="3154680" cy="1978025"/>
                <wp:wrapSquare wrapText="left"/>
                <wp:docPr id="11" name="Shape 11"/>
                <a:graphic xmlns:a="http://schemas.openxmlformats.org/drawingml/2006/main">
                  <a:graphicData uri="http://schemas.microsoft.com/office/word/2010/wordprocessingShape">
                    <wps:wsp>
                      <wps:cNvSpPr txBox="1"/>
                      <wps:spPr>
                        <a:xfrm>
                          <a:ext cx="3154680" cy="1978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HG partner s.r.o.</w:t>
                            </w:r>
                          </w:p>
                          <w:p>
                            <w:pPr>
                              <w:pStyle w:val="Style5"/>
                              <w:keepNext w:val="0"/>
                              <w:keepLines w:val="0"/>
                              <w:widowControl w:val="0"/>
                              <w:shd w:val="clear" w:color="auto" w:fill="auto"/>
                              <w:bidi w:val="0"/>
                              <w:spacing w:before="0" w:after="1180" w:line="240" w:lineRule="auto"/>
                              <w:ind w:left="0" w:right="0" w:firstLine="0"/>
                              <w:jc w:val="left"/>
                            </w:pPr>
                            <w:r>
                              <w:rPr>
                                <w:color w:val="000000"/>
                                <w:spacing w:val="0"/>
                                <w:w w:val="100"/>
                                <w:position w:val="0"/>
                                <w:shd w:val="clear" w:color="auto" w:fill="auto"/>
                                <w:lang w:val="cs-CZ" w:eastAsia="cs-CZ" w:bidi="cs-CZ"/>
                              </w:rPr>
                              <w:t>Smetanova 200, 250 82 Úvaly</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27221253</w:t>
                            </w:r>
                          </w:p>
                          <w:p>
                            <w:pPr>
                              <w:pStyle w:val="Style5"/>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CZ27221253</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v oddíl C, vložka č. 105510</w:t>
                            </w:r>
                          </w:p>
                        </w:txbxContent>
                      </wps:txbx>
                      <wps:bodyPr lIns="0" tIns="0" rIns="0" bIns="0">
                        <a:noAutoFit/>
                      </wps:bodyPr>
                    </wps:wsp>
                  </a:graphicData>
                </a:graphic>
              </wp:anchor>
            </w:drawing>
          </mc:Choice>
          <mc:Fallback>
            <w:pict>
              <v:shape id="_x0000_s1037" type="#_x0000_t202" style="position:absolute;margin-left:253.5pt;margin-top:437.05000000000001pt;width:248.40000000000001pt;height:155.75pt;z-index:-125829369;mso-wrap-distance-left:5.pt;mso-wrap-distance-top:251.30000000000001pt;mso-wrap-distance-right: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HG partner s.r.o.</w:t>
                      </w:r>
                    </w:p>
                    <w:p>
                      <w:pPr>
                        <w:pStyle w:val="Style5"/>
                        <w:keepNext w:val="0"/>
                        <w:keepLines w:val="0"/>
                        <w:widowControl w:val="0"/>
                        <w:shd w:val="clear" w:color="auto" w:fill="auto"/>
                        <w:bidi w:val="0"/>
                        <w:spacing w:before="0" w:after="1180" w:line="240" w:lineRule="auto"/>
                        <w:ind w:left="0" w:right="0" w:firstLine="0"/>
                        <w:jc w:val="left"/>
                      </w:pPr>
                      <w:r>
                        <w:rPr>
                          <w:color w:val="000000"/>
                          <w:spacing w:val="0"/>
                          <w:w w:val="100"/>
                          <w:position w:val="0"/>
                          <w:shd w:val="clear" w:color="auto" w:fill="auto"/>
                          <w:lang w:val="cs-CZ" w:eastAsia="cs-CZ" w:bidi="cs-CZ"/>
                        </w:rPr>
                        <w:t>Smetanova 200, 250 82 Úvaly</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27221253</w:t>
                      </w:r>
                    </w:p>
                    <w:p>
                      <w:pPr>
                        <w:pStyle w:val="Style5"/>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CZ27221253</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v oddíl C, vložka č. 105510</w:t>
                      </w:r>
                    </w:p>
                  </w:txbxContent>
                </v:textbox>
                <w10:wrap type="square" side="left" anchorx="page"/>
              </v:shape>
            </w:pict>
          </mc:Fallback>
        </mc:AlternateContent>
      </w:r>
    </w:p>
    <w:p>
      <w:pPr>
        <w:pStyle w:val="Style5"/>
        <w:keepNext w:val="0"/>
        <w:keepLines w:val="0"/>
        <w:widowControl w:val="0"/>
        <w:shd w:val="clear" w:color="auto" w:fill="auto"/>
        <w:bidi w:val="0"/>
        <w:spacing w:before="0" w:after="180" w:line="286" w:lineRule="auto"/>
        <w:ind w:left="0" w:right="0" w:firstLine="3040"/>
        <w:jc w:val="left"/>
        <w:rPr>
          <w:sz w:val="20"/>
          <w:szCs w:val="20"/>
        </w:rPr>
      </w:pPr>
      <w:bookmarkStart w:id="0" w:name="bookmark0"/>
      <w:r>
        <w:rPr>
          <w:b/>
          <w:bCs/>
          <w:color w:val="000000"/>
          <w:spacing w:val="0"/>
          <w:w w:val="100"/>
          <w:position w:val="0"/>
          <w:sz w:val="36"/>
          <w:szCs w:val="36"/>
          <w:shd w:val="clear" w:color="auto" w:fill="auto"/>
          <w:lang w:val="cs-CZ" w:eastAsia="cs-CZ" w:bidi="cs-CZ"/>
        </w:rPr>
        <w:t xml:space="preserve">PŘÍKAZNÍ SMLOUVA </w:t>
      </w:r>
      <w:r>
        <w:rPr>
          <w:color w:val="000000"/>
          <w:spacing w:val="0"/>
          <w:w w:val="100"/>
          <w:position w:val="0"/>
          <w:sz w:val="20"/>
          <w:szCs w:val="20"/>
          <w:shd w:val="clear" w:color="auto" w:fill="auto"/>
          <w:lang w:val="cs-CZ" w:eastAsia="cs-CZ" w:bidi="cs-CZ"/>
        </w:rPr>
        <w:t>uzavřená v souladu s § 2430 a násl. zákona č. 89/2012 Sb., občanský zákoník, ve znění pozdějších předpisů (dále jen „občanský zákoník“ nebo „OZ“), (dále jen „smlouva“)</w:t>
      </w:r>
      <w:bookmarkEnd w:id="0"/>
    </w:p>
    <w:p>
      <w:pPr>
        <w:pStyle w:val="Style5"/>
        <w:keepNext w:val="0"/>
        <w:keepLines w:val="0"/>
        <w:widowControl w:val="0"/>
        <w:shd w:val="clear" w:color="auto" w:fill="auto"/>
        <w:tabs>
          <w:tab w:pos="2832"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příkazce:</w:t>
        <w:tab/>
        <w:t>753/2025</w:t>
      </w:r>
    </w:p>
    <w:p>
      <w:pPr>
        <w:pStyle w:val="Style5"/>
        <w:keepNext w:val="0"/>
        <w:keepLines w:val="0"/>
        <w:widowControl w:val="0"/>
        <w:shd w:val="clear" w:color="auto" w:fill="auto"/>
        <w:bidi w:val="0"/>
        <w:spacing w:before="0" w:after="18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příkazníka:</w:t>
      </w:r>
    </w:p>
    <w:p>
      <w:pPr>
        <w:pStyle w:val="Style5"/>
        <w:keepNext w:val="0"/>
        <w:keepLines w:val="0"/>
        <w:widowControl w:val="0"/>
        <w:shd w:val="clear" w:color="auto" w:fill="auto"/>
        <w:bidi w:val="0"/>
        <w:spacing w:before="0" w:after="0" w:line="329" w:lineRule="auto"/>
        <w:ind w:left="0" w:right="0" w:firstLine="0"/>
        <w:jc w:val="both"/>
      </w:pPr>
      <w:r>
        <w:rPr>
          <w:b/>
          <w:bCs/>
          <w:color w:val="000000"/>
          <w:spacing w:val="0"/>
          <w:w w:val="100"/>
          <w:position w:val="0"/>
          <w:shd w:val="clear" w:color="auto" w:fill="auto"/>
          <w:lang w:val="cs-CZ" w:eastAsia="cs-CZ" w:bidi="cs-CZ"/>
        </w:rPr>
        <w:t>Název díla:</w:t>
      </w:r>
    </w:p>
    <w:p>
      <w:pPr>
        <w:pStyle w:val="Style5"/>
        <w:keepNext w:val="0"/>
        <w:keepLines w:val="0"/>
        <w:widowControl w:val="0"/>
        <w:shd w:val="clear" w:color="auto" w:fill="auto"/>
        <w:bidi w:val="0"/>
        <w:spacing w:before="0" w:after="500" w:line="329" w:lineRule="auto"/>
        <w:ind w:left="0" w:right="0" w:firstLine="0"/>
        <w:jc w:val="center"/>
      </w:pPr>
      <w:r>
        <w:rPr>
          <w:b/>
          <w:bCs/>
          <w:color w:val="000000"/>
          <w:spacing w:val="0"/>
          <w:w w:val="100"/>
          <w:position w:val="0"/>
          <w:shd w:val="clear" w:color="auto" w:fill="auto"/>
          <w:lang w:val="cs-CZ" w:eastAsia="cs-CZ" w:bidi="cs-CZ"/>
        </w:rPr>
        <w:t>„VD Horka - LG odtok” – autorský dozor</w:t>
      </w:r>
    </w:p>
    <w:p>
      <w:pPr>
        <w:pStyle w:val="Style10"/>
        <w:keepNext/>
        <w:keepLines/>
        <w:widowControl w:val="0"/>
        <w:shd w:val="clear" w:color="auto" w:fill="auto"/>
        <w:bidi w:val="0"/>
        <w:spacing w:before="0" w:after="180" w:line="240" w:lineRule="auto"/>
        <w:ind w:left="0" w:right="0" w:firstLine="0"/>
        <w:jc w:val="left"/>
      </w:pPr>
      <w:bookmarkStart w:id="1" w:name="bookmark1"/>
      <w:bookmarkStart w:id="2" w:name="bookmark2"/>
      <w:bookmarkStart w:id="3" w:name="bookmark3"/>
      <w:r>
        <w:rPr>
          <w:color w:val="000000"/>
          <w:spacing w:val="0"/>
          <w:w w:val="100"/>
          <w:position w:val="0"/>
          <w:shd w:val="clear" w:color="auto" w:fill="auto"/>
          <w:lang w:val="cs-CZ" w:eastAsia="cs-CZ" w:bidi="cs-CZ"/>
        </w:rPr>
        <w:t>SMLUVNÍ STRAN Y:</w:t>
      </w:r>
      <w:bookmarkEnd w:id="1"/>
      <w:bookmarkEnd w:id="2"/>
      <w:bookmarkEnd w:id="3"/>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5"/>
        <w:keepNext w:val="0"/>
        <w:keepLines w:val="0"/>
        <w:widowControl w:val="0"/>
        <w:shd w:val="clear" w:color="auto" w:fill="auto"/>
        <w:bidi w:val="0"/>
        <w:spacing w:before="0" w:after="220" w:line="283"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technický dozor investora: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DIČ: bankovní spojení: číslo účtu: zápis v obchodním rejstříku:</w:t>
      </w:r>
    </w:p>
    <w:p>
      <w:pPr>
        <w:pStyle w:val="Style5"/>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(dále jen „příkazce“)</w:t>
      </w:r>
    </w:p>
    <w:p>
      <w:pPr>
        <w:pStyle w:val="Style5"/>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a</w:t>
      </w:r>
    </w:p>
    <w:p>
      <w:pPr>
        <w:pStyle w:val="Style5"/>
        <w:keepNext w:val="0"/>
        <w:keepLines w:val="0"/>
        <w:widowControl w:val="0"/>
        <w:shd w:val="clear" w:color="auto" w:fill="auto"/>
        <w:bidi w:val="0"/>
        <w:spacing w:before="0" w:after="0" w:line="240" w:lineRule="auto"/>
        <w:ind w:left="0" w:right="0" w:firstLine="0"/>
        <w:jc w:val="left"/>
      </w:pPr>
      <w:bookmarkStart w:id="4" w:name="bookmark4"/>
      <w:r>
        <w:rPr>
          <w:b/>
          <w:bCs/>
          <w:color w:val="000000"/>
          <w:spacing w:val="0"/>
          <w:w w:val="100"/>
          <w:position w:val="0"/>
          <w:shd w:val="clear" w:color="auto" w:fill="auto"/>
          <w:lang w:val="cs-CZ" w:eastAsia="cs-CZ" w:bidi="cs-CZ"/>
        </w:rPr>
        <w:t>Příkazník</w:t>
      </w:r>
      <w:bookmarkEnd w:id="4"/>
    </w:p>
    <w:p>
      <w:pPr>
        <w:pStyle w:val="Style5"/>
        <w:keepNext w:val="0"/>
        <w:keepLines w:val="0"/>
        <w:widowControl w:val="0"/>
        <w:shd w:val="clear" w:color="auto" w:fill="auto"/>
        <w:bidi w:val="0"/>
        <w:spacing w:before="0" w:after="0" w:line="240" w:lineRule="auto"/>
        <w:ind w:left="0" w:right="0" w:firstLine="0"/>
        <w:jc w:val="left"/>
      </w:pPr>
      <w:bookmarkStart w:id="5" w:name="bookmark5"/>
      <w:r>
        <w:rPr>
          <w:color w:val="000000"/>
          <w:spacing w:val="0"/>
          <w:w w:val="100"/>
          <w:position w:val="0"/>
          <w:shd w:val="clear" w:color="auto" w:fill="auto"/>
          <w:lang w:val="cs-CZ" w:eastAsia="cs-CZ" w:bidi="cs-CZ"/>
        </w:rPr>
        <w:t>sídlo:</w:t>
      </w:r>
      <w:bookmarkEnd w:id="5"/>
    </w:p>
    <w:p>
      <w:pPr>
        <w:pStyle w:val="Style5"/>
        <w:keepNext w:val="0"/>
        <w:keepLines w:val="0"/>
        <w:widowControl w:val="0"/>
        <w:shd w:val="clear" w:color="auto" w:fill="auto"/>
        <w:bidi w:val="0"/>
        <w:spacing w:before="0" w:after="180" w:line="240" w:lineRule="auto"/>
        <w:ind w:left="0" w:right="0" w:firstLine="0"/>
        <w:jc w:val="left"/>
      </w:pPr>
      <w:bookmarkStart w:id="6" w:name="bookmark6"/>
      <w:r>
        <w:rPr>
          <w:color w:val="000000"/>
          <w:spacing w:val="0"/>
          <w:w w:val="100"/>
          <w:position w:val="0"/>
          <w:shd w:val="clear" w:color="auto" w:fill="auto"/>
          <w:lang w:val="cs-CZ" w:eastAsia="cs-CZ" w:bidi="cs-CZ"/>
        </w:rPr>
        <w:t>oprávněn k podpisu smlouvy: oprávněn jednat o věcech smluvních:</w:t>
      </w:r>
      <w:bookmarkEnd w:id="6"/>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„příkazník“)</w:t>
      </w:r>
    </w:p>
    <w:p>
      <w:pPr>
        <w:pStyle w:val="Style10"/>
        <w:keepNext/>
        <w:keepLines/>
        <w:widowControl w:val="0"/>
        <w:numPr>
          <w:ilvl w:val="0"/>
          <w:numId w:val="1"/>
        </w:numPr>
        <w:shd w:val="clear" w:color="auto" w:fill="auto"/>
        <w:tabs>
          <w:tab w:pos="322" w:val="left"/>
        </w:tabs>
        <w:bidi w:val="0"/>
        <w:spacing w:before="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Účel a předmět smlouvy</w:t>
      </w:r>
      <w:bookmarkEnd w:id="10"/>
      <w:bookmarkEnd w:id="7"/>
      <w:bookmarkEnd w:id="8"/>
    </w:p>
    <w:p>
      <w:pPr>
        <w:pStyle w:val="Style5"/>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1" w:name="bookmark11"/>
      <w:bookmarkEnd w:id="11"/>
      <w:r>
        <w:rPr>
          <w:color w:val="000000"/>
          <w:spacing w:val="0"/>
          <w:w w:val="100"/>
          <w:position w:val="0"/>
          <w:shd w:val="clear" w:color="auto" w:fill="auto"/>
          <w:lang w:val="cs-CZ" w:eastAsia="cs-CZ" w:bidi="cs-CZ"/>
        </w:rPr>
        <w:t xml:space="preserve">Příkazník bude za podmínek sjednaných v této smlouvě pro příkazce vykonávat autorský dozor projektanta ve smyslu § 161 odst. 2 zákona č. 283/2021 Sb. (stavební zákon), ve znění pozdějších předpisů (dále jen „autorský dozor“) stavby </w:t>
      </w:r>
      <w:r>
        <w:rPr>
          <w:b/>
          <w:bCs/>
          <w:color w:val="000000"/>
          <w:spacing w:val="0"/>
          <w:w w:val="100"/>
          <w:position w:val="0"/>
          <w:shd w:val="clear" w:color="auto" w:fill="auto"/>
          <w:lang w:val="cs-CZ" w:eastAsia="cs-CZ" w:bidi="cs-CZ"/>
        </w:rPr>
        <w:t xml:space="preserve">„VD Horka - LG odtok” </w:t>
      </w:r>
      <w:r>
        <w:rPr>
          <w:color w:val="000000"/>
          <w:spacing w:val="0"/>
          <w:w w:val="100"/>
          <w:position w:val="0"/>
          <w:shd w:val="clear" w:color="auto" w:fill="auto"/>
          <w:lang w:val="cs-CZ" w:eastAsia="cs-CZ" w:bidi="cs-CZ"/>
        </w:rPr>
        <w:t>(dále jen „stavba“).</w:t>
      </w:r>
    </w:p>
    <w:p>
      <w:pPr>
        <w:pStyle w:val="Style5"/>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2" w:name="bookmark12"/>
      <w:bookmarkEnd w:id="12"/>
      <w:r>
        <w:rPr>
          <w:color w:val="000000"/>
          <w:spacing w:val="0"/>
          <w:w w:val="100"/>
          <w:position w:val="0"/>
          <w:shd w:val="clear" w:color="auto" w:fill="auto"/>
          <w:lang w:val="cs-CZ" w:eastAsia="cs-CZ" w:bidi="cs-CZ"/>
        </w:rPr>
        <w:t>Podkladem pro výkon autorského dozoru je zejména příslušná dokumentace pro provádění stavby zpracovaná příkazníkem jako zhotovitelem na základě samostatné smlouvy o dílo včetně jejích případných změn (dále jen „projektová dokumentace“).</w:t>
      </w:r>
    </w:p>
    <w:p>
      <w:pPr>
        <w:pStyle w:val="Style5"/>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3" w:name="bookmark13"/>
      <w:bookmarkEnd w:id="13"/>
      <w:r>
        <w:rPr>
          <w:color w:val="000000"/>
          <w:spacing w:val="0"/>
          <w:w w:val="100"/>
          <w:position w:val="0"/>
          <w:shd w:val="clear" w:color="auto" w:fill="auto"/>
          <w:lang w:val="cs-CZ" w:eastAsia="cs-CZ" w:bidi="cs-CZ"/>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4" w:name="bookmark14"/>
      <w:bookmarkEnd w:id="14"/>
      <w:r>
        <w:rPr>
          <w:color w:val="000000"/>
          <w:spacing w:val="0"/>
          <w:w w:val="100"/>
          <w:position w:val="0"/>
          <w:shd w:val="clear" w:color="auto" w:fill="auto"/>
          <w:lang w:val="cs-CZ" w:eastAsia="cs-CZ" w:bidi="cs-CZ"/>
        </w:rPr>
        <w:t>kontrola souladu provádění stavby s projektovou dokumentací a stavebním povolením z hlediska vlastního řešení stavby a hlediska dodržení podmínek výstavby,</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5" w:name="bookmark15"/>
      <w:bookmarkEnd w:id="15"/>
      <w:r>
        <w:rPr>
          <w:color w:val="000000"/>
          <w:spacing w:val="0"/>
          <w:w w:val="100"/>
          <w:position w:val="0"/>
          <w:shd w:val="clear" w:color="auto" w:fill="auto"/>
          <w:lang w:val="cs-CZ" w:eastAsia="cs-CZ" w:bidi="cs-CZ"/>
        </w:rPr>
        <w:t>poskytování vysvětlení k projektové dokumentaci včetně vysvětlení nezbytných k vypracování realizační dokumentace zhotovitele stavby a k plynulému průběhu provádění stavby,</w:t>
      </w:r>
    </w:p>
    <w:p>
      <w:pPr>
        <w:pStyle w:val="Style5"/>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6" w:name="bookmark16"/>
      <w:bookmarkEnd w:id="16"/>
      <w:r>
        <w:rPr>
          <w:color w:val="000000"/>
          <w:spacing w:val="0"/>
          <w:w w:val="100"/>
          <w:position w:val="0"/>
          <w:shd w:val="clear" w:color="auto" w:fill="auto"/>
          <w:lang w:val="cs-CZ" w:eastAsia="cs-CZ" w:bidi="cs-CZ"/>
        </w:rPr>
        <w:t>kontrola souladu realizační dokumentace zhotovitele stavby s projektovou dokumentací,</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7" w:name="bookmark17"/>
      <w:bookmarkEnd w:id="17"/>
      <w:r>
        <w:rPr>
          <w:color w:val="000000"/>
          <w:spacing w:val="0"/>
          <w:w w:val="100"/>
          <w:position w:val="0"/>
          <w:shd w:val="clear" w:color="auto" w:fill="auto"/>
          <w:lang w:val="cs-CZ" w:eastAsia="cs-CZ" w:bidi="cs-CZ"/>
        </w:rPr>
        <w:t>kontrola souladu dokumentace dočasných zařízení staveniště nebo úprav trvalých objektů s projektovou dokumentací,</w:t>
      </w:r>
    </w:p>
    <w:p>
      <w:pPr>
        <w:pStyle w:val="Style5"/>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8" w:name="bookmark18"/>
      <w:bookmarkEnd w:id="18"/>
      <w:r>
        <w:rPr>
          <w:color w:val="000000"/>
          <w:spacing w:val="0"/>
          <w:w w:val="100"/>
          <w:position w:val="0"/>
          <w:shd w:val="clear" w:color="auto" w:fill="auto"/>
          <w:lang w:val="cs-CZ" w:eastAsia="cs-CZ" w:bidi="cs-CZ"/>
        </w:rPr>
        <w:t>kontrola souladu zabezpečení úrovně staveniště s projektovou dokumentací,</w:t>
      </w:r>
    </w:p>
    <w:p>
      <w:pPr>
        <w:pStyle w:val="Style5"/>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9" w:name="bookmark19"/>
      <w:bookmarkEnd w:id="19"/>
      <w:r>
        <w:rPr>
          <w:color w:val="000000"/>
          <w:spacing w:val="0"/>
          <w:w w:val="100"/>
          <w:position w:val="0"/>
          <w:shd w:val="clear" w:color="auto" w:fill="auto"/>
          <w:lang w:val="cs-CZ" w:eastAsia="cs-CZ" w:bidi="cs-CZ"/>
        </w:rPr>
        <w:t>kontrola souladu provádění vytyčovacích prací s projektovou dokumentací,</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0" w:name="bookmark20"/>
      <w:bookmarkEnd w:id="20"/>
      <w:r>
        <w:rPr>
          <w:color w:val="000000"/>
          <w:spacing w:val="0"/>
          <w:w w:val="100"/>
          <w:position w:val="0"/>
          <w:shd w:val="clear" w:color="auto" w:fill="auto"/>
          <w:lang w:val="cs-CZ" w:eastAsia="cs-CZ" w:bidi="cs-CZ"/>
        </w:rPr>
        <w:t>posouzení návrhů příkazce nebo zhotovitele stavby na změny stavby odchylující se od projektové dokumentace z hlediska dodržení technickoekonomických parametrů stavby, dodržení stanovených dob a termínů a dalších údajů a ukazatelů,</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1" w:name="bookmark21"/>
      <w:bookmarkEnd w:id="21"/>
      <w:r>
        <w:rPr>
          <w:color w:val="000000"/>
          <w:spacing w:val="0"/>
          <w:w w:val="100"/>
          <w:position w:val="0"/>
          <w:shd w:val="clear" w:color="auto" w:fill="auto"/>
          <w:lang w:val="cs-CZ" w:eastAsia="cs-CZ" w:bidi="cs-CZ"/>
        </w:rPr>
        <w:t>součinnost při provádění změn projektové dokumentace včetně zpracování návrhů změn projektové dokumentace a soupisu prací a dodávek a potvrzování změnových listů,</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2" w:name="bookmark22"/>
      <w:bookmarkEnd w:id="22"/>
      <w:r>
        <w:rPr>
          <w:color w:val="000000"/>
          <w:spacing w:val="0"/>
          <w:w w:val="100"/>
          <w:position w:val="0"/>
          <w:shd w:val="clear" w:color="auto" w:fill="auto"/>
          <w:lang w:val="cs-CZ" w:eastAsia="cs-CZ" w:bidi="cs-CZ"/>
        </w:rPr>
        <w:t>kontrola souladu průběhu zkoušek materiálů, konstrukcí a prací (individuálních vyzkoušení či komplexního vyzkoušení) prováděných zhotovitelem stavby včetně průběhu případného zkušebního provozu s projektovou dokumentací,</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3" w:name="bookmark23"/>
      <w:bookmarkEnd w:id="23"/>
      <w:r>
        <w:rPr>
          <w:color w:val="000000"/>
          <w:spacing w:val="0"/>
          <w:w w:val="100"/>
          <w:position w:val="0"/>
          <w:shd w:val="clear" w:color="auto" w:fill="auto"/>
          <w:lang w:val="cs-CZ" w:eastAsia="cs-CZ" w:bidi="cs-CZ"/>
        </w:rPr>
        <w:t>provedení kompletní samostatné prohlídky stavby a vypracování zápisu o zjištěných vadách a jeho předání příkazci,</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4" w:name="bookmark24"/>
      <w:bookmarkEnd w:id="24"/>
      <w:r>
        <w:rPr>
          <w:color w:val="000000"/>
          <w:spacing w:val="0"/>
          <w:w w:val="100"/>
          <w:position w:val="0"/>
          <w:shd w:val="clear" w:color="auto" w:fill="auto"/>
          <w:lang w:val="cs-CZ" w:eastAsia="cs-CZ" w:bidi="cs-CZ"/>
        </w:rPr>
        <w:t>kontrola souladu provozního řádu a návodů k údržbě předávaných příkazci zhotovitelem stavby s projektovou dokumentací skutečného provedení stavby,</w:t>
      </w:r>
    </w:p>
    <w:p>
      <w:pPr>
        <w:pStyle w:val="Style5"/>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25" w:name="bookmark25"/>
      <w:bookmarkEnd w:id="25"/>
      <w:r>
        <w:rPr>
          <w:color w:val="000000"/>
          <w:spacing w:val="0"/>
          <w:w w:val="100"/>
          <w:position w:val="0"/>
          <w:shd w:val="clear" w:color="auto" w:fill="auto"/>
          <w:lang w:val="cs-CZ" w:eastAsia="cs-CZ" w:bidi="cs-CZ"/>
        </w:rPr>
        <w:t>kontrola souladu dokumentace skutečného provedení stavby s dokončenou stavbou,</w:t>
      </w:r>
    </w:p>
    <w:p>
      <w:pPr>
        <w:pStyle w:val="Style5"/>
        <w:keepNext w:val="0"/>
        <w:keepLines w:val="0"/>
        <w:widowControl w:val="0"/>
        <w:numPr>
          <w:ilvl w:val="0"/>
          <w:numId w:val="5"/>
        </w:numPr>
        <w:shd w:val="clear" w:color="auto" w:fill="auto"/>
        <w:tabs>
          <w:tab w:pos="897" w:val="left"/>
        </w:tabs>
        <w:bidi w:val="0"/>
        <w:spacing w:before="0" w:after="40" w:line="240" w:lineRule="auto"/>
        <w:ind w:left="860" w:right="0" w:hanging="420"/>
        <w:jc w:val="both"/>
      </w:pPr>
      <w:bookmarkStart w:id="26" w:name="bookmark26"/>
      <w:bookmarkEnd w:id="26"/>
      <w:r>
        <w:rPr>
          <w:color w:val="000000"/>
          <w:spacing w:val="0"/>
          <w:w w:val="100"/>
          <w:position w:val="0"/>
          <w:shd w:val="clear" w:color="auto" w:fill="auto"/>
          <w:lang w:val="cs-CZ" w:eastAsia="cs-CZ" w:bidi="cs-CZ"/>
        </w:rPr>
        <w:t>poskytnutí vyjádření k souladu dokončené stavby s projektovou dokumentací a stavebním povolením,</w:t>
      </w:r>
    </w:p>
    <w:p>
      <w:pPr>
        <w:pStyle w:val="Style5"/>
        <w:keepNext w:val="0"/>
        <w:keepLines w:val="0"/>
        <w:widowControl w:val="0"/>
        <w:numPr>
          <w:ilvl w:val="0"/>
          <w:numId w:val="5"/>
        </w:numPr>
        <w:shd w:val="clear" w:color="auto" w:fill="auto"/>
        <w:tabs>
          <w:tab w:pos="897" w:val="left"/>
        </w:tabs>
        <w:bidi w:val="0"/>
        <w:spacing w:before="0" w:after="40" w:line="240" w:lineRule="auto"/>
        <w:ind w:left="0" w:right="0" w:firstLine="440"/>
        <w:jc w:val="both"/>
      </w:pPr>
      <w:bookmarkStart w:id="27" w:name="bookmark27"/>
      <w:bookmarkEnd w:id="27"/>
      <w:r>
        <w:rPr>
          <w:color w:val="000000"/>
          <w:spacing w:val="0"/>
          <w:w w:val="100"/>
          <w:position w:val="0"/>
          <w:shd w:val="clear" w:color="auto" w:fill="auto"/>
          <w:lang w:val="cs-CZ" w:eastAsia="cs-CZ" w:bidi="cs-CZ"/>
        </w:rPr>
        <w:t>sledování postupu provádění stavby z technického a časového hlediska a</w:t>
      </w:r>
    </w:p>
    <w:p>
      <w:pPr>
        <w:pStyle w:val="Style5"/>
        <w:keepNext w:val="0"/>
        <w:keepLines w:val="0"/>
        <w:widowControl w:val="0"/>
        <w:numPr>
          <w:ilvl w:val="0"/>
          <w:numId w:val="5"/>
        </w:numPr>
        <w:shd w:val="clear" w:color="auto" w:fill="auto"/>
        <w:tabs>
          <w:tab w:pos="897" w:val="left"/>
        </w:tabs>
        <w:bidi w:val="0"/>
        <w:spacing w:before="0" w:after="40" w:line="240" w:lineRule="auto"/>
        <w:ind w:left="860" w:right="0" w:hanging="420"/>
        <w:jc w:val="both"/>
      </w:pPr>
      <w:bookmarkStart w:id="28" w:name="bookmark28"/>
      <w:bookmarkEnd w:id="28"/>
      <w:r>
        <w:rPr>
          <w:color w:val="000000"/>
          <w:spacing w:val="0"/>
          <w:w w:val="100"/>
          <w:position w:val="0"/>
          <w:shd w:val="clear" w:color="auto" w:fill="auto"/>
          <w:lang w:val="cs-CZ" w:eastAsia="cs-CZ" w:bidi="cs-CZ"/>
        </w:rPr>
        <w:t>součinnost s příkazcem, zhotovitelem stavby, technickým dozorem stavebníka, koordinátorem BOZP a dalšími osobami účastnícími se provádění stavby, při řešení problémů vzniklých při provádění stavby.</w:t>
      </w:r>
    </w:p>
    <w:p>
      <w:pPr>
        <w:pStyle w:val="Style5"/>
        <w:keepNext w:val="0"/>
        <w:keepLines w:val="0"/>
        <w:widowControl w:val="0"/>
        <w:numPr>
          <w:ilvl w:val="0"/>
          <w:numId w:val="3"/>
        </w:numPr>
        <w:shd w:val="clear" w:color="auto" w:fill="auto"/>
        <w:tabs>
          <w:tab w:pos="413" w:val="left"/>
        </w:tabs>
        <w:bidi w:val="0"/>
        <w:spacing w:before="0" w:line="240" w:lineRule="auto"/>
        <w:ind w:left="440" w:right="0" w:hanging="440"/>
        <w:jc w:val="both"/>
      </w:pPr>
      <w:bookmarkStart w:id="29" w:name="bookmark29"/>
      <w:bookmarkEnd w:id="29"/>
      <w:r>
        <w:rPr>
          <w:color w:val="000000"/>
          <w:spacing w:val="0"/>
          <w:w w:val="100"/>
          <w:position w:val="0"/>
          <w:shd w:val="clear" w:color="auto" w:fill="auto"/>
          <w:lang w:val="cs-CZ" w:eastAsia="cs-CZ" w:bidi="cs-CZ"/>
        </w:rPr>
        <w:t>Příkazník je povinen na výzvu příkazce učiněnou za podmínek sjednaných v této smlouvě nad rámec aktivní účasti na kontrolních dnech stavby vykonávat následující činnosti:</w:t>
      </w:r>
    </w:p>
    <w:p>
      <w:pPr>
        <w:pStyle w:val="Style5"/>
        <w:keepNext w:val="0"/>
        <w:keepLines w:val="0"/>
        <w:widowControl w:val="0"/>
        <w:numPr>
          <w:ilvl w:val="0"/>
          <w:numId w:val="7"/>
        </w:numPr>
        <w:shd w:val="clear" w:color="auto" w:fill="auto"/>
        <w:tabs>
          <w:tab w:pos="867" w:val="left"/>
        </w:tabs>
        <w:bidi w:val="0"/>
        <w:spacing w:before="0" w:after="40" w:line="240" w:lineRule="auto"/>
        <w:ind w:left="860" w:right="0" w:hanging="420"/>
        <w:jc w:val="both"/>
      </w:pPr>
      <w:bookmarkStart w:id="30" w:name="bookmark30"/>
      <w:bookmarkEnd w:id="30"/>
      <w:r>
        <w:rPr>
          <w:color w:val="000000"/>
          <w:spacing w:val="0"/>
          <w:w w:val="100"/>
          <w:position w:val="0"/>
          <w:shd w:val="clear" w:color="auto" w:fill="auto"/>
          <w:lang w:val="cs-CZ" w:eastAsia="cs-CZ" w:bidi="cs-CZ"/>
        </w:rPr>
        <w:t>činnosti podle odstavce 3 písm. a) až o) tohoto článku, není-li je možné zejména vzhledem k rozsahu vyplývajícímu z pokynů příkazce vykonat v rámci aktivní účasti na kontrolních dnech stavby,</w:t>
      </w:r>
    </w:p>
    <w:p>
      <w:pPr>
        <w:pStyle w:val="Style5"/>
        <w:keepNext w:val="0"/>
        <w:keepLines w:val="0"/>
        <w:widowControl w:val="0"/>
        <w:numPr>
          <w:ilvl w:val="0"/>
          <w:numId w:val="7"/>
        </w:numPr>
        <w:shd w:val="clear" w:color="auto" w:fill="auto"/>
        <w:tabs>
          <w:tab w:pos="867" w:val="left"/>
        </w:tabs>
        <w:bidi w:val="0"/>
        <w:spacing w:before="0" w:after="40" w:line="240" w:lineRule="auto"/>
        <w:ind w:left="860" w:right="0" w:hanging="420"/>
        <w:jc w:val="both"/>
      </w:pPr>
      <w:bookmarkStart w:id="31" w:name="bookmark31"/>
      <w:bookmarkEnd w:id="31"/>
      <w:r>
        <w:rPr>
          <w:color w:val="000000"/>
          <w:spacing w:val="0"/>
          <w:w w:val="100"/>
          <w:position w:val="0"/>
          <w:shd w:val="clear" w:color="auto" w:fill="auto"/>
          <w:lang w:val="cs-CZ" w:eastAsia="cs-CZ" w:bidi="cs-CZ"/>
        </w:rPr>
        <w:t>výkon jiných činnosti souvisejících s výkonem autorského dozoru stavby, pokud s tím příkazník souhlasí,</w:t>
      </w:r>
    </w:p>
    <w:p>
      <w:pPr>
        <w:pStyle w:val="Style5"/>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(dále též souhrnně jen „další činnosti“).</w:t>
      </w:r>
    </w:p>
    <w:p>
      <w:pPr>
        <w:pStyle w:val="Style5"/>
        <w:keepNext w:val="0"/>
        <w:keepLines w:val="0"/>
        <w:widowControl w:val="0"/>
        <w:numPr>
          <w:ilvl w:val="0"/>
          <w:numId w:val="3"/>
        </w:numPr>
        <w:shd w:val="clear" w:color="auto" w:fill="auto"/>
        <w:tabs>
          <w:tab w:pos="413" w:val="left"/>
        </w:tabs>
        <w:bidi w:val="0"/>
        <w:spacing w:before="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pPr>
        <w:pStyle w:val="Style5"/>
        <w:keepNext w:val="0"/>
        <w:keepLines w:val="0"/>
        <w:widowControl w:val="0"/>
        <w:numPr>
          <w:ilvl w:val="0"/>
          <w:numId w:val="3"/>
        </w:numPr>
        <w:shd w:val="clear" w:color="auto" w:fill="auto"/>
        <w:tabs>
          <w:tab w:pos="413" w:val="left"/>
        </w:tabs>
        <w:bidi w:val="0"/>
        <w:spacing w:before="0" w:line="240" w:lineRule="auto"/>
        <w:ind w:left="440" w:right="0" w:hanging="440"/>
        <w:jc w:val="both"/>
      </w:pPr>
      <w:bookmarkStart w:id="33" w:name="bookmark33"/>
      <w:bookmarkEnd w:id="33"/>
      <w:r>
        <w:rPr>
          <w:color w:val="000000"/>
          <w:spacing w:val="0"/>
          <w:w w:val="100"/>
          <w:position w:val="0"/>
          <w:shd w:val="clear" w:color="auto" w:fill="auto"/>
          <w:lang w:val="cs-CZ" w:eastAsia="cs-CZ" w:bidi="cs-CZ"/>
        </w:rPr>
        <w:t>Místem plnění této smlouvy je místo provádění stavby a místa jednání, kterých se příkazník účastní na výzvu příkazce.</w:t>
      </w:r>
    </w:p>
    <w:p>
      <w:pPr>
        <w:pStyle w:val="Style5"/>
        <w:keepNext w:val="0"/>
        <w:keepLines w:val="0"/>
        <w:widowControl w:val="0"/>
        <w:numPr>
          <w:ilvl w:val="0"/>
          <w:numId w:val="3"/>
        </w:numPr>
        <w:shd w:val="clear" w:color="auto" w:fill="auto"/>
        <w:tabs>
          <w:tab w:pos="413" w:val="left"/>
        </w:tabs>
        <w:bidi w:val="0"/>
        <w:spacing w:before="0" w:line="240" w:lineRule="auto"/>
        <w:ind w:left="440" w:right="0" w:hanging="440"/>
        <w:jc w:val="both"/>
      </w:pPr>
      <w:bookmarkStart w:id="34" w:name="bookmark34"/>
      <w:bookmarkEnd w:id="34"/>
      <w:r>
        <w:rPr>
          <w:color w:val="000000"/>
          <w:spacing w:val="0"/>
          <w:w w:val="100"/>
          <w:position w:val="0"/>
          <w:shd w:val="clear" w:color="auto" w:fill="auto"/>
          <w:lang w:val="cs-CZ" w:eastAsia="cs-CZ" w:bidi="cs-CZ"/>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pPr>
        <w:pStyle w:val="Style5"/>
        <w:keepNext w:val="0"/>
        <w:keepLines w:val="0"/>
        <w:widowControl w:val="0"/>
        <w:numPr>
          <w:ilvl w:val="0"/>
          <w:numId w:val="3"/>
        </w:numPr>
        <w:shd w:val="clear" w:color="auto" w:fill="auto"/>
        <w:tabs>
          <w:tab w:pos="413" w:val="left"/>
        </w:tabs>
        <w:bidi w:val="0"/>
        <w:spacing w:before="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Příkazce poskytne příkazníkovi součinnost nezbytnou k plnění této smlouvy.</w:t>
      </w:r>
    </w:p>
    <w:p>
      <w:pPr>
        <w:pStyle w:val="Style5"/>
        <w:keepNext w:val="0"/>
        <w:keepLines w:val="0"/>
        <w:widowControl w:val="0"/>
        <w:numPr>
          <w:ilvl w:val="0"/>
          <w:numId w:val="3"/>
        </w:numPr>
        <w:shd w:val="clear" w:color="auto" w:fill="auto"/>
        <w:tabs>
          <w:tab w:pos="413" w:val="left"/>
        </w:tabs>
        <w:bidi w:val="0"/>
        <w:spacing w:before="0" w:after="24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pPr>
        <w:pStyle w:val="Style10"/>
        <w:keepNext/>
        <w:keepLines/>
        <w:widowControl w:val="0"/>
        <w:shd w:val="clear" w:color="auto" w:fill="auto"/>
        <w:bidi w:val="0"/>
        <w:spacing w:before="0" w:line="240" w:lineRule="auto"/>
        <w:ind w:left="0" w:right="0" w:firstLine="0"/>
        <w:jc w:val="center"/>
      </w:pPr>
      <w:bookmarkStart w:id="37" w:name="bookmark37"/>
      <w:bookmarkStart w:id="38" w:name="bookmark38"/>
      <w:bookmarkStart w:id="39" w:name="bookmark39"/>
      <w:r>
        <w:rPr>
          <w:color w:val="000000"/>
          <w:spacing w:val="0"/>
          <w:w w:val="100"/>
          <w:position w:val="0"/>
          <w:shd w:val="clear" w:color="auto" w:fill="auto"/>
          <w:lang w:val="cs-CZ" w:eastAsia="cs-CZ" w:bidi="cs-CZ"/>
        </w:rPr>
        <w:t>I I. Doba plněn í</w:t>
      </w:r>
      <w:bookmarkEnd w:id="37"/>
      <w:bookmarkEnd w:id="38"/>
      <w:bookmarkEnd w:id="39"/>
    </w:p>
    <w:p>
      <w:pPr>
        <w:pStyle w:val="Style5"/>
        <w:keepNext w:val="0"/>
        <w:keepLines w:val="0"/>
        <w:widowControl w:val="0"/>
        <w:numPr>
          <w:ilvl w:val="0"/>
          <w:numId w:val="9"/>
        </w:numPr>
        <w:shd w:val="clear" w:color="auto" w:fill="auto"/>
        <w:tabs>
          <w:tab w:pos="413" w:val="left"/>
        </w:tabs>
        <w:bidi w:val="0"/>
        <w:spacing w:before="0" w:line="240" w:lineRule="auto"/>
        <w:ind w:left="440" w:right="0" w:hanging="440"/>
        <w:jc w:val="both"/>
      </w:pPr>
      <w:bookmarkStart w:id="40" w:name="bookmark40"/>
      <w:bookmarkEnd w:id="40"/>
      <w:r>
        <w:rPr>
          <w:color w:val="000000"/>
          <w:spacing w:val="0"/>
          <w:w w:val="100"/>
          <w:position w:val="0"/>
          <w:shd w:val="clear" w:color="auto" w:fill="auto"/>
          <w:lang w:val="cs-CZ" w:eastAsia="cs-CZ" w:bidi="cs-CZ"/>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pPr>
        <w:pStyle w:val="Style5"/>
        <w:keepNext w:val="0"/>
        <w:keepLines w:val="0"/>
        <w:widowControl w:val="0"/>
        <w:numPr>
          <w:ilvl w:val="0"/>
          <w:numId w:val="9"/>
        </w:numPr>
        <w:shd w:val="clear" w:color="auto" w:fill="auto"/>
        <w:tabs>
          <w:tab w:pos="413" w:val="left"/>
        </w:tabs>
        <w:bidi w:val="0"/>
        <w:spacing w:before="0" w:line="240" w:lineRule="auto"/>
        <w:ind w:left="440" w:right="0" w:hanging="440"/>
        <w:jc w:val="both"/>
      </w:pPr>
      <w:bookmarkStart w:id="41" w:name="bookmark41"/>
      <w:bookmarkEnd w:id="41"/>
      <w:r>
        <w:rPr>
          <w:color w:val="000000"/>
          <w:spacing w:val="0"/>
          <w:w w:val="100"/>
          <w:position w:val="0"/>
          <w:shd w:val="clear" w:color="auto" w:fill="auto"/>
          <w:lang w:val="cs-CZ" w:eastAsia="cs-CZ" w:bidi="cs-CZ"/>
        </w:rPr>
        <w:t>Příkazník je povinen se aktivně účastnit kontrolního dnu stavby nebo vykonat další činnosti vždy v termínu určeném ve výzvě příkazce. Tento termín nemůže být kratší než 7 kalendářních dnů od doručení výzvy příkazce příkazníkovi, nedohodnou-li se osoby oprávněné jednat za smluvní strany ve věcech technických jinak, přičemž taková dohoda nemusí být učiněna písemně.</w:t>
      </w:r>
    </w:p>
    <w:p>
      <w:pPr>
        <w:pStyle w:val="Style5"/>
        <w:keepNext w:val="0"/>
        <w:keepLines w:val="0"/>
        <w:widowControl w:val="0"/>
        <w:numPr>
          <w:ilvl w:val="0"/>
          <w:numId w:val="9"/>
        </w:numPr>
        <w:shd w:val="clear" w:color="auto" w:fill="auto"/>
        <w:tabs>
          <w:tab w:pos="413" w:val="left"/>
        </w:tabs>
        <w:bidi w:val="0"/>
        <w:spacing w:before="0" w:after="240" w:line="240" w:lineRule="auto"/>
        <w:ind w:left="440" w:right="0" w:hanging="440"/>
        <w:jc w:val="both"/>
      </w:pPr>
      <w:bookmarkStart w:id="42" w:name="bookmark42"/>
      <w:bookmarkEnd w:id="42"/>
      <w:r>
        <w:rPr>
          <w:color w:val="000000"/>
          <w:spacing w:val="0"/>
          <w:w w:val="100"/>
          <w:position w:val="0"/>
          <w:shd w:val="clear" w:color="auto" w:fill="auto"/>
          <w:lang w:val="cs-CZ" w:eastAsia="cs-CZ" w:bidi="cs-CZ"/>
        </w:rPr>
        <w:t>Výzva příkazce podle předchozího odstavce musí být učiněna písemně, a to e-mailem, datovou schránkou nebo poštou, nedohodnou-li se osoby oprávněné jednat za smluvní strany ve věcech technických jinak, přičemž taková dohoda nemusí být učiněna písemně.</w:t>
      </w:r>
    </w:p>
    <w:p>
      <w:pPr>
        <w:pStyle w:val="Style10"/>
        <w:keepNext/>
        <w:keepLines/>
        <w:widowControl w:val="0"/>
        <w:numPr>
          <w:ilvl w:val="0"/>
          <w:numId w:val="11"/>
        </w:numPr>
        <w:shd w:val="clear" w:color="auto" w:fill="auto"/>
        <w:tabs>
          <w:tab w:pos="438" w:val="left"/>
        </w:tabs>
        <w:bidi w:val="0"/>
        <w:spacing w:before="0" w:line="240" w:lineRule="auto"/>
        <w:ind w:left="0" w:right="0" w:firstLine="0"/>
        <w:jc w:val="center"/>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Odměna a náhrada nákladů</w:t>
      </w:r>
      <w:bookmarkEnd w:id="43"/>
      <w:bookmarkEnd w:id="44"/>
      <w:bookmarkEnd w:id="46"/>
    </w:p>
    <w:p>
      <w:pPr>
        <w:pStyle w:val="Style5"/>
        <w:keepNext w:val="0"/>
        <w:keepLines w:val="0"/>
        <w:widowControl w:val="0"/>
        <w:numPr>
          <w:ilvl w:val="0"/>
          <w:numId w:val="13"/>
        </w:numPr>
        <w:shd w:val="clear" w:color="auto" w:fill="auto"/>
        <w:tabs>
          <w:tab w:pos="413" w:val="left"/>
        </w:tabs>
        <w:bidi w:val="0"/>
        <w:spacing w:before="0" w:line="240" w:lineRule="auto"/>
        <w:ind w:left="0" w:right="0" w:firstLine="0"/>
        <w:jc w:val="both"/>
      </w:pPr>
      <w:bookmarkStart w:id="47" w:name="bookmark47"/>
      <w:bookmarkEnd w:id="47"/>
      <w:r>
        <w:rPr>
          <w:color w:val="000000"/>
          <w:spacing w:val="0"/>
          <w:w w:val="100"/>
          <w:position w:val="0"/>
          <w:shd w:val="clear" w:color="auto" w:fill="auto"/>
          <w:lang w:val="cs-CZ" w:eastAsia="cs-CZ" w:bidi="cs-CZ"/>
        </w:rPr>
        <w:t>Příkazníkovi náleží odměna ve výši</w:t>
      </w:r>
    </w:p>
    <w:p>
      <w:pPr>
        <w:pStyle w:val="Style5"/>
        <w:keepNext w:val="0"/>
        <w:keepLines w:val="0"/>
        <w:widowControl w:val="0"/>
        <w:numPr>
          <w:ilvl w:val="0"/>
          <w:numId w:val="15"/>
        </w:numPr>
        <w:shd w:val="clear" w:color="auto" w:fill="auto"/>
        <w:tabs>
          <w:tab w:pos="867" w:val="left"/>
        </w:tabs>
        <w:bidi w:val="0"/>
        <w:spacing w:before="0" w:after="40" w:line="240" w:lineRule="auto"/>
        <w:ind w:left="0" w:right="0" w:firstLine="440"/>
        <w:jc w:val="both"/>
      </w:pPr>
      <w:bookmarkStart w:id="48" w:name="bookmark48"/>
      <w:bookmarkEnd w:id="48"/>
      <w:r>
        <w:rPr>
          <w:b/>
          <w:bCs/>
          <w:color w:val="000000"/>
          <w:spacing w:val="0"/>
          <w:w w:val="100"/>
          <w:position w:val="0"/>
          <w:shd w:val="clear" w:color="auto" w:fill="auto"/>
          <w:lang w:val="cs-CZ" w:eastAsia="cs-CZ" w:bidi="cs-CZ"/>
        </w:rPr>
        <w:t xml:space="preserve">10 800,- Kč bez DPH </w:t>
      </w:r>
      <w:r>
        <w:rPr>
          <w:color w:val="000000"/>
          <w:spacing w:val="0"/>
          <w:w w:val="100"/>
          <w:position w:val="0"/>
          <w:shd w:val="clear" w:color="auto" w:fill="auto"/>
          <w:lang w:val="cs-CZ" w:eastAsia="cs-CZ" w:bidi="cs-CZ"/>
        </w:rPr>
        <w:t>za aktivní účast na 1 kontrolním dnu stavby včetně dopravy</w:t>
      </w:r>
    </w:p>
    <w:p>
      <w:pPr>
        <w:pStyle w:val="Style5"/>
        <w:keepNext w:val="0"/>
        <w:keepLines w:val="0"/>
        <w:widowControl w:val="0"/>
        <w:numPr>
          <w:ilvl w:val="0"/>
          <w:numId w:val="15"/>
        </w:numPr>
        <w:shd w:val="clear" w:color="auto" w:fill="auto"/>
        <w:tabs>
          <w:tab w:pos="867" w:val="left"/>
        </w:tabs>
        <w:bidi w:val="0"/>
        <w:spacing w:before="0" w:after="40" w:line="240" w:lineRule="auto"/>
        <w:ind w:left="0" w:right="0" w:firstLine="440"/>
        <w:jc w:val="both"/>
      </w:pPr>
      <w:bookmarkStart w:id="49" w:name="bookmark49"/>
      <w:bookmarkEnd w:id="49"/>
      <w:r>
        <w:rPr>
          <w:b/>
          <w:bCs/>
          <w:color w:val="000000"/>
          <w:spacing w:val="0"/>
          <w:w w:val="100"/>
          <w:position w:val="0"/>
          <w:shd w:val="clear" w:color="auto" w:fill="auto"/>
          <w:lang w:val="cs-CZ" w:eastAsia="cs-CZ" w:bidi="cs-CZ"/>
        </w:rPr>
        <w:t xml:space="preserve">980,- Kč bez DPH </w:t>
      </w:r>
      <w:r>
        <w:rPr>
          <w:color w:val="000000"/>
          <w:spacing w:val="0"/>
          <w:w w:val="100"/>
          <w:position w:val="0"/>
          <w:shd w:val="clear" w:color="auto" w:fill="auto"/>
          <w:lang w:val="cs-CZ" w:eastAsia="cs-CZ" w:bidi="cs-CZ"/>
        </w:rPr>
        <w:t>za 1 člověkohodinu výkonu dalších činností</w:t>
      </w:r>
    </w:p>
    <w:p>
      <w:pPr>
        <w:pStyle w:val="Style5"/>
        <w:keepNext w:val="0"/>
        <w:keepLines w:val="0"/>
        <w:widowControl w:val="0"/>
        <w:shd w:val="clear" w:color="auto" w:fill="auto"/>
        <w:bidi w:val="0"/>
        <w:spacing w:before="0" w:line="240" w:lineRule="auto"/>
        <w:ind w:left="0" w:right="0" w:firstLine="860"/>
        <w:jc w:val="both"/>
      </w:pPr>
      <w:r>
        <w:rPr>
          <w:b/>
          <w:bCs/>
          <w:color w:val="000000"/>
          <w:spacing w:val="0"/>
          <w:w w:val="100"/>
          <w:position w:val="0"/>
          <w:shd w:val="clear" w:color="auto" w:fill="auto"/>
          <w:lang w:val="cs-CZ" w:eastAsia="cs-CZ" w:bidi="cs-CZ"/>
        </w:rPr>
        <w:t>Maximální odměna činí: 52 000,- Kč bez DPH.</w:t>
      </w:r>
    </w:p>
    <w:p>
      <w:pPr>
        <w:pStyle w:val="Style5"/>
        <w:keepNext w:val="0"/>
        <w:keepLines w:val="0"/>
        <w:widowControl w:val="0"/>
        <w:numPr>
          <w:ilvl w:val="0"/>
          <w:numId w:val="13"/>
        </w:numPr>
        <w:shd w:val="clear" w:color="auto" w:fill="auto"/>
        <w:tabs>
          <w:tab w:pos="413" w:val="left"/>
        </w:tabs>
        <w:bidi w:val="0"/>
        <w:spacing w:before="0" w:line="240" w:lineRule="auto"/>
        <w:ind w:left="440" w:right="0" w:hanging="440"/>
        <w:jc w:val="both"/>
        <w:sectPr>
          <w:footnotePr>
            <w:pos w:val="pageBottom"/>
            <w:numFmt w:val="decimal"/>
            <w:numRestart w:val="continuous"/>
          </w:footnotePr>
          <w:type w:val="continuous"/>
          <w:pgSz w:w="11909" w:h="16838"/>
          <w:pgMar w:top="1167" w:left="1110" w:right="1102" w:bottom="1064" w:header="0" w:footer="3" w:gutter="0"/>
          <w:cols w:space="720"/>
          <w:noEndnote/>
          <w:rtlGutter w:val="0"/>
          <w:docGrid w:linePitch="360"/>
        </w:sectPr>
      </w:pPr>
      <w:bookmarkStart w:id="50" w:name="bookmark50"/>
      <w:bookmarkEnd w:id="50"/>
      <w:r>
        <w:rPr>
          <w:color w:val="000000"/>
          <w:spacing w:val="0"/>
          <w:w w:val="100"/>
          <w:position w:val="0"/>
          <w:shd w:val="clear" w:color="auto" w:fill="auto"/>
          <w:lang w:val="cs-CZ" w:eastAsia="cs-CZ" w:bidi="cs-CZ"/>
        </w:rPr>
        <w:t>Odměna podle odstavce 1. písm. b) tohoto článku zahrnuje náhradu všech běžných nákladů spojených s výkonem dalších činností podle této smlouvy včetně nákladů na energie, dálkovou komunikaci, tisk apod.</w:t>
      </w:r>
    </w:p>
    <w:p>
      <w:pPr>
        <w:pStyle w:val="Style5"/>
        <w:keepNext w:val="0"/>
        <w:keepLines w:val="0"/>
        <w:widowControl w:val="0"/>
        <w:shd w:val="clear" w:color="auto" w:fill="auto"/>
        <w:bidi w:val="0"/>
        <w:spacing w:before="0" w:after="240" w:line="269" w:lineRule="auto"/>
        <w:ind w:left="0" w:right="0" w:firstLine="8380"/>
        <w:jc w:val="both"/>
      </w:pPr>
      <w:r>
        <mc:AlternateContent>
          <mc:Choice Requires="wps">
            <w:drawing>
              <wp:anchor distT="0" distB="0" distL="101600" distR="101600" simplePos="0" relativeHeight="125829386" behindDoc="0" locked="0" layoutInCell="1" allowOverlap="1">
                <wp:simplePos x="0" y="0"/>
                <wp:positionH relativeFrom="page">
                  <wp:posOffset>706120</wp:posOffset>
                </wp:positionH>
                <wp:positionV relativeFrom="paragraph">
                  <wp:posOffset>254000</wp:posOffset>
                </wp:positionV>
                <wp:extent cx="152400" cy="225425"/>
                <wp:wrapSquare wrapText="bothSides"/>
                <wp:docPr id="13" name="Shape 13"/>
                <a:graphic xmlns:a="http://schemas.openxmlformats.org/drawingml/2006/main">
                  <a:graphicData uri="http://schemas.microsoft.com/office/word/2010/wordprocessingShape">
                    <wps:wsp>
                      <wps:cNvSpPr txBox="1"/>
                      <wps:spPr>
                        <a:xfrm>
                          <a:ext cx="152400" cy="2254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wps:txbx>
                      <wps:bodyPr wrap="none" lIns="0" tIns="0" rIns="0" bIns="0">
                        <a:noAutoFit/>
                      </wps:bodyPr>
                    </wps:wsp>
                  </a:graphicData>
                </a:graphic>
              </wp:anchor>
            </w:drawing>
          </mc:Choice>
          <mc:Fallback>
            <w:pict>
              <v:shape id="_x0000_s1039" type="#_x0000_t202" style="position:absolute;margin-left:55.600000000000001pt;margin-top:20.pt;width:12.pt;height:17.75pt;z-index:-125829367;mso-wrap-distance-left:8.pt;mso-wrap-distance-right:8.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v:textbox>
                <w10:wrap type="square" anchorx="page"/>
              </v:shape>
            </w:pict>
          </mc:Fallback>
        </mc:AlternateContent>
      </w:r>
      <w:r>
        <w:rPr>
          <w:color w:val="000000"/>
          <w:spacing w:val="0"/>
          <w:w w:val="100"/>
          <w:position w:val="0"/>
          <w:sz w:val="16"/>
          <w:szCs w:val="16"/>
          <w:shd w:val="clear" w:color="auto" w:fill="auto"/>
          <w:lang w:val="cs-CZ" w:eastAsia="cs-CZ" w:bidi="cs-CZ"/>
        </w:rPr>
        <w:t xml:space="preserve">Příkazní smlouva Akce č. 502 811 </w:t>
      </w:r>
      <w:r>
        <w:rPr>
          <w:color w:val="000000"/>
          <w:spacing w:val="0"/>
          <w:w w:val="100"/>
          <w:position w:val="0"/>
          <w:shd w:val="clear" w:color="auto" w:fill="auto"/>
          <w:lang w:val="cs-CZ" w:eastAsia="cs-CZ" w:bidi="cs-CZ"/>
        </w:rPr>
        <w:t>K odměně bude připočtena daň z přidané hodnoty (dále jen „DPH“) ve výši odpovídající zákonné úpravě v době uskutečnění zdanitelného plnění.</w:t>
      </w:r>
    </w:p>
    <w:p>
      <w:pPr>
        <w:pStyle w:val="Style10"/>
        <w:keepNext/>
        <w:keepLines/>
        <w:widowControl w:val="0"/>
        <w:numPr>
          <w:ilvl w:val="0"/>
          <w:numId w:val="11"/>
        </w:numPr>
        <w:shd w:val="clear" w:color="auto" w:fill="auto"/>
        <w:tabs>
          <w:tab w:pos="404" w:val="left"/>
        </w:tabs>
        <w:bidi w:val="0"/>
        <w:spacing w:before="0" w:line="240" w:lineRule="auto"/>
        <w:ind w:left="0" w:right="0" w:firstLine="0"/>
        <w:jc w:val="center"/>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Vykazování a platební podmínky</w:t>
      </w:r>
      <w:bookmarkEnd w:id="51"/>
      <w:bookmarkEnd w:id="52"/>
      <w:bookmarkEnd w:id="54"/>
    </w:p>
    <w:p>
      <w:pPr>
        <w:pStyle w:val="Style5"/>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55" w:name="bookmark55"/>
      <w:bookmarkEnd w:id="55"/>
      <w:r>
        <w:rPr>
          <w:color w:val="000000"/>
          <w:spacing w:val="0"/>
          <w:w w:val="100"/>
          <w:position w:val="0"/>
          <w:shd w:val="clear" w:color="auto" w:fill="auto"/>
          <w:lang w:val="cs-CZ" w:eastAsia="cs-CZ" w:bidi="cs-CZ"/>
        </w:rPr>
        <w:t>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jednotkou považuje každá odpracovaná čtvrthodina.</w:t>
      </w:r>
    </w:p>
    <w:p>
      <w:pPr>
        <w:pStyle w:val="Style5"/>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pPr>
        <w:pStyle w:val="Style5"/>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pPr>
        <w:pStyle w:val="Style5"/>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Pokud faktura neobsahuje zákonné nebo sjednané náležitosti nebo neodpovídá odsouhlasenému výkazu, má příkazce právo vrátit fakturu příkazníkovi. V takovém případě běží nová lhůta splatnosti ode dne doručení nové faktury.</w:t>
      </w:r>
    </w:p>
    <w:p>
      <w:pPr>
        <w:pStyle w:val="Style5"/>
        <w:keepNext w:val="0"/>
        <w:keepLines w:val="0"/>
        <w:widowControl w:val="0"/>
        <w:numPr>
          <w:ilvl w:val="0"/>
          <w:numId w:val="17"/>
        </w:numPr>
        <w:shd w:val="clear" w:color="auto" w:fill="auto"/>
        <w:tabs>
          <w:tab w:pos="414" w:val="left"/>
        </w:tabs>
        <w:bidi w:val="0"/>
        <w:spacing w:before="0" w:line="240" w:lineRule="auto"/>
        <w:ind w:left="0" w:right="0" w:firstLine="0"/>
        <w:jc w:val="both"/>
      </w:pPr>
      <w:bookmarkStart w:id="59" w:name="bookmark59"/>
      <w:bookmarkEnd w:id="59"/>
      <w:r>
        <w:rPr>
          <w:color w:val="000000"/>
          <w:spacing w:val="0"/>
          <w:w w:val="100"/>
          <w:position w:val="0"/>
          <w:shd w:val="clear" w:color="auto" w:fill="auto"/>
          <w:lang w:val="cs-CZ" w:eastAsia="cs-CZ" w:bidi="cs-CZ"/>
        </w:rPr>
        <w:t>Splatnost každé faktury je do 30 kalendářních dnů ode dne doručení příkazci.</w:t>
      </w:r>
    </w:p>
    <w:p>
      <w:pPr>
        <w:pStyle w:val="Style5"/>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0" w:name="bookmark60"/>
      <w:bookmarkEnd w:id="60"/>
      <w:r>
        <w:rPr>
          <w:color w:val="000000"/>
          <w:spacing w:val="0"/>
          <w:w w:val="100"/>
          <w:position w:val="0"/>
          <w:shd w:val="clear" w:color="auto" w:fill="auto"/>
          <w:lang w:val="cs-CZ" w:eastAsia="cs-CZ" w:bidi="cs-CZ"/>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pPr>
        <w:pStyle w:val="Style5"/>
        <w:keepNext w:val="0"/>
        <w:keepLines w:val="0"/>
        <w:widowControl w:val="0"/>
        <w:numPr>
          <w:ilvl w:val="0"/>
          <w:numId w:val="17"/>
        </w:numPr>
        <w:shd w:val="clear" w:color="auto" w:fill="auto"/>
        <w:tabs>
          <w:tab w:pos="414" w:val="left"/>
        </w:tabs>
        <w:bidi w:val="0"/>
        <w:spacing w:before="0" w:after="24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pPr>
        <w:pStyle w:val="Style10"/>
        <w:keepNext/>
        <w:keepLines/>
        <w:widowControl w:val="0"/>
        <w:numPr>
          <w:ilvl w:val="0"/>
          <w:numId w:val="11"/>
        </w:numPr>
        <w:shd w:val="clear" w:color="auto" w:fill="auto"/>
        <w:tabs>
          <w:tab w:pos="346" w:val="left"/>
        </w:tabs>
        <w:bidi w:val="0"/>
        <w:spacing w:before="0" w:line="240" w:lineRule="auto"/>
        <w:ind w:left="0" w:right="0" w:firstLine="0"/>
        <w:jc w:val="center"/>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Odpovědnost za škodu</w:t>
      </w:r>
      <w:bookmarkEnd w:id="62"/>
      <w:bookmarkEnd w:id="63"/>
      <w:bookmarkEnd w:id="65"/>
    </w:p>
    <w:p>
      <w:pPr>
        <w:pStyle w:val="Style5"/>
        <w:keepNext w:val="0"/>
        <w:keepLines w:val="0"/>
        <w:widowControl w:val="0"/>
        <w:numPr>
          <w:ilvl w:val="0"/>
          <w:numId w:val="19"/>
        </w:numPr>
        <w:shd w:val="clear" w:color="auto" w:fill="auto"/>
        <w:tabs>
          <w:tab w:pos="414" w:val="left"/>
        </w:tabs>
        <w:bidi w:val="0"/>
        <w:spacing w:before="0" w:line="240" w:lineRule="auto"/>
        <w:ind w:left="440" w:right="0" w:hanging="440"/>
        <w:jc w:val="both"/>
      </w:pPr>
      <w:bookmarkStart w:id="66" w:name="bookmark66"/>
      <w:bookmarkEnd w:id="66"/>
      <w:r>
        <w:rPr>
          <w:color w:val="000000"/>
          <w:spacing w:val="0"/>
          <w:w w:val="100"/>
          <w:position w:val="0"/>
          <w:shd w:val="clear" w:color="auto" w:fill="auto"/>
          <w:lang w:val="cs-CZ" w:eastAsia="cs-CZ" w:bidi="cs-CZ"/>
        </w:rPr>
        <w:t>Příkazník odpovídá za odborný, včasný a řádný výkon autorského dozoru stavby v zájmu příkazce a v souladu s jeho pokyny.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pPr>
        <w:pStyle w:val="Style5"/>
        <w:keepNext w:val="0"/>
        <w:keepLines w:val="0"/>
        <w:widowControl w:val="0"/>
        <w:numPr>
          <w:ilvl w:val="0"/>
          <w:numId w:val="19"/>
        </w:numPr>
        <w:shd w:val="clear" w:color="auto" w:fill="auto"/>
        <w:tabs>
          <w:tab w:pos="414" w:val="left"/>
        </w:tabs>
        <w:bidi w:val="0"/>
        <w:spacing w:before="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Příkazník neodpovídá za škodu, která vznikla v důsledku plnění vadných pokynů příkazce nebo neposkytnutí součinnosti příkazce nezbytné k plnění této smlouvy příkazníkem. Příkazce dále neodpovídá za škodu, které nebylo možné zabránit ani při vynaložení veškerého úsilí, které lze od příkazníka požadovat.</w:t>
      </w:r>
    </w:p>
    <w:p>
      <w:pPr>
        <w:pStyle w:val="Style5"/>
        <w:keepNext w:val="0"/>
        <w:keepLines w:val="0"/>
        <w:widowControl w:val="0"/>
        <w:numPr>
          <w:ilvl w:val="0"/>
          <w:numId w:val="19"/>
        </w:numPr>
        <w:shd w:val="clear" w:color="auto" w:fill="auto"/>
        <w:tabs>
          <w:tab w:pos="414" w:val="left"/>
        </w:tabs>
        <w:bidi w:val="0"/>
        <w:spacing w:before="0" w:line="240" w:lineRule="auto"/>
        <w:ind w:left="0" w:right="0" w:firstLine="0"/>
        <w:jc w:val="both"/>
      </w:pPr>
      <w:bookmarkStart w:id="68" w:name="bookmark68"/>
      <w:bookmarkEnd w:id="68"/>
      <w:r>
        <w:rPr>
          <w:color w:val="000000"/>
          <w:spacing w:val="0"/>
          <w:w w:val="100"/>
          <w:position w:val="0"/>
          <w:shd w:val="clear" w:color="auto" w:fill="auto"/>
          <w:lang w:val="cs-CZ" w:eastAsia="cs-CZ" w:bidi="cs-CZ"/>
        </w:rPr>
        <w:t>Pokud příkazník svěří provedení příkazu jiné osobě, odpovídá, jakoby příkaz prováděl sám.</w:t>
      </w:r>
    </w:p>
    <w:p>
      <w:pPr>
        <w:pStyle w:val="Style13"/>
        <w:keepNext w:val="0"/>
        <w:keepLines w:val="0"/>
        <w:widowControl w:val="0"/>
        <w:shd w:val="clear" w:color="auto" w:fill="auto"/>
        <w:bidi w:val="0"/>
        <w:spacing w:before="0" w:after="0"/>
        <w:ind w:right="0" w:firstLine="0"/>
        <w:jc w:val="right"/>
      </w:pPr>
      <w:r>
        <w:rPr>
          <w:color w:val="000000"/>
          <w:spacing w:val="0"/>
          <w:w w:val="100"/>
          <w:position w:val="0"/>
          <w:shd w:val="clear" w:color="auto" w:fill="auto"/>
          <w:lang w:val="cs-CZ" w:eastAsia="cs-CZ" w:bidi="cs-CZ"/>
        </w:rPr>
        <w:t>Příkazní smlouva Akce č. 502 811</w:t>
      </w:r>
    </w:p>
    <w:p>
      <w:pPr>
        <w:pStyle w:val="Style10"/>
        <w:keepNext/>
        <w:keepLines/>
        <w:widowControl w:val="0"/>
        <w:numPr>
          <w:ilvl w:val="0"/>
          <w:numId w:val="11"/>
        </w:numPr>
        <w:shd w:val="clear" w:color="auto" w:fill="auto"/>
        <w:tabs>
          <w:tab w:pos="412" w:val="left"/>
        </w:tabs>
        <w:bidi w:val="0"/>
        <w:spacing w:before="0" w:line="276" w:lineRule="auto"/>
        <w:ind w:left="0" w:right="0" w:firstLine="0"/>
        <w:jc w:val="center"/>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Sankce</w:t>
      </w:r>
      <w:bookmarkEnd w:id="69"/>
      <w:bookmarkEnd w:id="70"/>
      <w:bookmarkEnd w:id="72"/>
    </w:p>
    <w:p>
      <w:pPr>
        <w:pStyle w:val="Style5"/>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1. V případě, že se příkazník aktivně neúčastní v termínu určeném ve výzvě příkazce učiněné za podmínek sjednaných v této smlouvě kontrolního dne stavby se příkazník zavazuje zaplatit smluvní pokutu ve výši 1000 Kč za každý případ.</w:t>
      </w:r>
    </w:p>
    <w:p>
      <w:pPr>
        <w:pStyle w:val="Style5"/>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V případě, že příkazník nevykoná příkazcem požadovanou další činnost v termínu určeném ve výzvě příkazce učiněné za podmínek sjednaných v této smlouvě, se příkazník zavazuje zaplatit smluvní pokutu ve výši 1000 Kč za každý započatý den prodlení.</w:t>
      </w:r>
    </w:p>
    <w:p>
      <w:pPr>
        <w:pStyle w:val="Style5"/>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Smluvní pokutu je příkazník povinen zaplatit do 21 kalendářních dnů od doručení písemné výzvy příkazce k zaplacení smluvní pokuty příkazníkovi.</w:t>
      </w:r>
    </w:p>
    <w:p>
      <w:pPr>
        <w:pStyle w:val="Style5"/>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Uplatnění nároku na zaplacení jedné smluvní pokuty nevylučuje souběžně uplatnění nároku na zaplacení jiné smluvní pokuty. Úhradou smluvní pokuty není dotčeno právo příkazce na náhradu škody způsobené porušením povinností příkazníka, na kterou se smluvní pokuta vztahuje, v plné výši vedle smluvní pokuty vedle zaplacené smluvní pokuty.</w:t>
      </w:r>
    </w:p>
    <w:p>
      <w:pPr>
        <w:pStyle w:val="Style5"/>
        <w:keepNext w:val="0"/>
        <w:keepLines w:val="0"/>
        <w:widowControl w:val="0"/>
        <w:numPr>
          <w:ilvl w:val="0"/>
          <w:numId w:val="21"/>
        </w:numPr>
        <w:shd w:val="clear" w:color="auto" w:fill="auto"/>
        <w:tabs>
          <w:tab w:pos="402" w:val="left"/>
        </w:tabs>
        <w:bidi w:val="0"/>
        <w:spacing w:before="0" w:after="24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V případě prodlení příkazce se zaplacením příkazníkem oprávněně vystavené a příkazci doručené faktury má příkazník právo účtovat příkazci úrok z prodlení ve výši 0,05 % dlužné částky za každý den prodlení. Úrok z prodlení je příkazce povinen zaplatit do 21 kalendářních dnů od doručení písemné výzvy příkazníka k zaplacení úroku z prodlení příkazci.</w:t>
      </w:r>
    </w:p>
    <w:p>
      <w:pPr>
        <w:pStyle w:val="Style10"/>
        <w:keepNext/>
        <w:keepLines/>
        <w:widowControl w:val="0"/>
        <w:numPr>
          <w:ilvl w:val="0"/>
          <w:numId w:val="11"/>
        </w:numPr>
        <w:shd w:val="clear" w:color="auto" w:fill="auto"/>
        <w:tabs>
          <w:tab w:pos="474" w:val="left"/>
        </w:tabs>
        <w:bidi w:val="0"/>
        <w:spacing w:before="0" w:line="240" w:lineRule="auto"/>
        <w:ind w:left="0" w:right="0" w:firstLine="0"/>
        <w:jc w:val="center"/>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Odstoupení od smlouvy, výpověď</w:t>
      </w:r>
      <w:bookmarkEnd w:id="78"/>
      <w:bookmarkEnd w:id="79"/>
      <w:bookmarkEnd w:id="81"/>
    </w:p>
    <w:p>
      <w:pPr>
        <w:pStyle w:val="Style5"/>
        <w:keepNext w:val="0"/>
        <w:keepLines w:val="0"/>
        <w:widowControl w:val="0"/>
        <w:numPr>
          <w:ilvl w:val="0"/>
          <w:numId w:val="23"/>
        </w:numPr>
        <w:shd w:val="clear" w:color="auto" w:fill="auto"/>
        <w:tabs>
          <w:tab w:pos="402" w:val="left"/>
        </w:tabs>
        <w:bidi w:val="0"/>
        <w:spacing w:before="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Příkazce a příkazník jsou oprávněni odstoupit od této smlouvy v případě podstatného porušení smluvních povinností druhou ze smluvních stran. Za podstatné porušení této smlouvy příkazníkem se považuje zejména to, že příkazník postupuje v rozporu s touto smlouvou, přičemž takový postup nenapravil ani v přiměřené době následující po výzvě příkazce.</w:t>
      </w:r>
    </w:p>
    <w:p>
      <w:pPr>
        <w:pStyle w:val="Style5"/>
        <w:keepNext w:val="0"/>
        <w:keepLines w:val="0"/>
        <w:widowControl w:val="0"/>
        <w:numPr>
          <w:ilvl w:val="0"/>
          <w:numId w:val="23"/>
        </w:numPr>
        <w:shd w:val="clear" w:color="auto" w:fill="auto"/>
        <w:tabs>
          <w:tab w:pos="402" w:val="left"/>
        </w:tabs>
        <w:bidi w:val="0"/>
        <w:spacing w:before="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Každá ze smluvních stran je oprávněna odstoupit od této smlouvy bylo-li zahájeno insolvenční řízení druhé smluvní strany podle zákona č. 182/2006 Sb., insolvenčního zákona, ve znění pozdějších předpisů.</w:t>
      </w:r>
    </w:p>
    <w:p>
      <w:pPr>
        <w:pStyle w:val="Style5"/>
        <w:keepNext w:val="0"/>
        <w:keepLines w:val="0"/>
        <w:widowControl w:val="0"/>
        <w:numPr>
          <w:ilvl w:val="0"/>
          <w:numId w:val="23"/>
        </w:numPr>
        <w:shd w:val="clear" w:color="auto" w:fill="auto"/>
        <w:tabs>
          <w:tab w:pos="402" w:val="left"/>
        </w:tabs>
        <w:bidi w:val="0"/>
        <w:spacing w:before="0" w:after="40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Příkazce je oprávněn vypovědět tuto smlouvu bez výpovědní doby v případě, že bude smlouva o dílo, jejímž předmětem je provedení stavby, ukončena předtím, než by mohl být ukončen výkon autorského dozoru stavby v souladu s čl. II. odst. 1. této smlouvy.</w:t>
      </w:r>
    </w:p>
    <w:p>
      <w:pPr>
        <w:pStyle w:val="Style10"/>
        <w:keepNext/>
        <w:keepLines/>
        <w:widowControl w:val="0"/>
        <w:numPr>
          <w:ilvl w:val="0"/>
          <w:numId w:val="11"/>
        </w:numPr>
        <w:shd w:val="clear" w:color="auto" w:fill="auto"/>
        <w:tabs>
          <w:tab w:pos="532" w:val="left"/>
        </w:tabs>
        <w:bidi w:val="0"/>
        <w:spacing w:before="0" w:line="240" w:lineRule="auto"/>
        <w:ind w:left="0" w:right="0" w:firstLine="0"/>
        <w:jc w:val="center"/>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Compliance doložka</w:t>
      </w:r>
      <w:bookmarkEnd w:id="85"/>
      <w:bookmarkEnd w:id="86"/>
      <w:bookmarkEnd w:id="88"/>
    </w:p>
    <w:p>
      <w:pPr>
        <w:pStyle w:val="Style5"/>
        <w:keepNext w:val="0"/>
        <w:keepLines w:val="0"/>
        <w:widowControl w:val="0"/>
        <w:numPr>
          <w:ilvl w:val="0"/>
          <w:numId w:val="25"/>
        </w:numPr>
        <w:shd w:val="clear" w:color="auto" w:fill="auto"/>
        <w:tabs>
          <w:tab w:pos="402"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numPr>
          <w:ilvl w:val="0"/>
          <w:numId w:val="25"/>
        </w:numPr>
        <w:shd w:val="clear" w:color="auto" w:fill="auto"/>
        <w:tabs>
          <w:tab w:pos="402" w:val="left"/>
        </w:tabs>
        <w:bidi w:val="0"/>
        <w:spacing w:before="0" w:after="6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numPr>
          <w:ilvl w:val="0"/>
          <w:numId w:val="25"/>
        </w:numPr>
        <w:shd w:val="clear" w:color="auto" w:fill="auto"/>
        <w:tabs>
          <w:tab w:pos="402" w:val="left"/>
        </w:tabs>
        <w:bidi w:val="0"/>
        <w:spacing w:before="0" w:line="240" w:lineRule="auto"/>
        <w:ind w:left="380" w:right="0" w:hanging="380"/>
        <w:jc w:val="both"/>
        <w:sectPr>
          <w:headerReference w:type="default" r:id="rId7"/>
          <w:footerReference w:type="default" r:id="rId8"/>
          <w:footnotePr>
            <w:pos w:val="pageBottom"/>
            <w:numFmt w:val="decimal"/>
            <w:numRestart w:val="continuous"/>
          </w:footnotePr>
          <w:pgSz w:w="11909" w:h="16838"/>
          <w:pgMar w:top="667" w:left="1110" w:right="1103" w:bottom="1110" w:header="239" w:footer="3" w:gutter="0"/>
          <w:cols w:space="720"/>
          <w:noEndnote/>
          <w:rtlGutter w:val="0"/>
          <w:docGrid w:linePitch="360"/>
        </w:sectPr>
      </w:pPr>
      <w:bookmarkStart w:id="91" w:name="bookmark91"/>
      <w:bookmarkEnd w:id="91"/>
      <w:r>
        <w:rPr>
          <w:color w:val="000000"/>
          <w:spacing w:val="0"/>
          <w:w w:val="100"/>
          <w:position w:val="0"/>
          <w:shd w:val="clear" w:color="auto" w:fill="auto"/>
          <w:lang w:val="cs-CZ" w:eastAsia="cs-CZ" w:bidi="cs-CZ"/>
        </w:rPr>
        <w:t xml:space="preserve">Příkazník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Příkazník se při plnění této Smlouvy zavazuje po celou dobu jejího trvání dodržovat zásady a hodnoty obsažené v uvedených dokumentech, pokud to jejich povaha umožňuje.</w:t>
      </w:r>
    </w:p>
    <w:p>
      <w:pPr>
        <w:pStyle w:val="Style5"/>
        <w:keepNext w:val="0"/>
        <w:keepLines w:val="0"/>
        <w:widowControl w:val="0"/>
        <w:numPr>
          <w:ilvl w:val="0"/>
          <w:numId w:val="25"/>
        </w:numPr>
        <w:shd w:val="clear" w:color="auto" w:fill="auto"/>
        <w:tabs>
          <w:tab w:pos="382" w:val="left"/>
        </w:tabs>
        <w:bidi w:val="0"/>
        <w:spacing w:before="0" w:after="32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0"/>
        <w:keepNext/>
        <w:keepLines/>
        <w:widowControl w:val="0"/>
        <w:numPr>
          <w:ilvl w:val="0"/>
          <w:numId w:val="11"/>
        </w:numPr>
        <w:shd w:val="clear" w:color="auto" w:fill="auto"/>
        <w:tabs>
          <w:tab w:pos="409" w:val="left"/>
        </w:tabs>
        <w:bidi w:val="0"/>
        <w:spacing w:before="0" w:after="180" w:line="240" w:lineRule="auto"/>
        <w:ind w:left="0" w:right="0" w:firstLine="0"/>
        <w:jc w:val="center"/>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Ochrana a zpracování osobních údajů</w:t>
      </w:r>
      <w:bookmarkEnd w:id="93"/>
      <w:bookmarkEnd w:id="94"/>
      <w:bookmarkEnd w:id="96"/>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p>
    <w:p>
      <w:pPr>
        <w:pStyle w:val="Style5"/>
        <w:keepNext w:val="0"/>
        <w:keepLines w:val="0"/>
        <w:widowControl w:val="0"/>
        <w:numPr>
          <w:ilvl w:val="0"/>
          <w:numId w:val="23"/>
        </w:numPr>
        <w:shd w:val="clear" w:color="auto" w:fill="auto"/>
        <w:tabs>
          <w:tab w:pos="382" w:val="left"/>
        </w:tabs>
        <w:bidi w:val="0"/>
        <w:spacing w:before="0" w:after="500" w:line="240" w:lineRule="auto"/>
        <w:ind w:left="0" w:right="0" w:firstLine="0"/>
        <w:jc w:val="both"/>
      </w:pPr>
      <w:bookmarkStart w:id="97" w:name="bookmark97"/>
      <w:bookmarkEnd w:id="97"/>
      <w:r>
        <w:rPr>
          <w:color w:val="000000"/>
          <w:spacing w:val="0"/>
          <w:w w:val="100"/>
          <w:position w:val="0"/>
          <w:shd w:val="clear" w:color="auto" w:fill="auto"/>
          <w:lang w:val="cs-CZ" w:eastAsia="cs-CZ" w:bidi="cs-CZ"/>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0"/>
        <w:keepNext/>
        <w:keepLines/>
        <w:widowControl w:val="0"/>
        <w:numPr>
          <w:ilvl w:val="0"/>
          <w:numId w:val="11"/>
        </w:numPr>
        <w:shd w:val="clear" w:color="auto" w:fill="auto"/>
        <w:tabs>
          <w:tab w:pos="382" w:val="left"/>
        </w:tabs>
        <w:bidi w:val="0"/>
        <w:spacing w:before="0" w:line="240" w:lineRule="auto"/>
        <w:ind w:left="0" w:right="0" w:firstLine="0"/>
        <w:jc w:val="center"/>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Závěrečná ustanovení</w:t>
      </w:r>
      <w:bookmarkEnd w:id="101"/>
      <w:bookmarkEnd w:id="98"/>
      <w:bookmarkEnd w:id="99"/>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454" w:left="1111" w:right="1106" w:bottom="1368" w:header="0" w:footer="3" w:gutter="0"/>
          <w:cols w:space="720"/>
          <w:noEndnote/>
          <w:rtlGutter w:val="0"/>
          <w:docGrid w:linePitch="360"/>
        </w:sectPr>
      </w:pPr>
      <w:bookmarkStart w:id="109" w:name="bookmark109"/>
      <w:bookmarkEnd w:id="109"/>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 přijetím návrhu na uzavření dodatku této smlouvy, a to ani, když podstatně nemění podmínky návrhu.</w:t>
      </w:r>
    </w:p>
    <w:p>
      <w:pPr>
        <w:pStyle w:val="Style13"/>
        <w:keepNext w:val="0"/>
        <w:keepLines w:val="0"/>
        <w:widowControl w:val="0"/>
        <w:shd w:val="clear" w:color="auto" w:fill="auto"/>
        <w:bidi w:val="0"/>
        <w:spacing w:before="0" w:after="0"/>
        <w:ind w:right="0" w:firstLine="0"/>
        <w:jc w:val="right"/>
      </w:pPr>
      <w:r>
        <w:rPr>
          <w:color w:val="000000"/>
          <w:spacing w:val="0"/>
          <w:w w:val="100"/>
          <w:position w:val="0"/>
          <w:shd w:val="clear" w:color="auto" w:fill="auto"/>
          <w:lang w:val="cs-CZ" w:eastAsia="cs-CZ" w:bidi="cs-CZ"/>
        </w:rPr>
        <w:t>Příkazní smlouva Akce č. 502 811</w:t>
      </w:r>
    </w:p>
    <w:p>
      <w:pPr>
        <w:pStyle w:val="Style5"/>
        <w:keepNext w:val="0"/>
        <w:keepLines w:val="0"/>
        <w:widowControl w:val="0"/>
        <w:numPr>
          <w:ilvl w:val="0"/>
          <w:numId w:val="27"/>
        </w:numPr>
        <w:shd w:val="clear" w:color="auto" w:fill="auto"/>
        <w:tabs>
          <w:tab w:pos="422" w:val="left"/>
        </w:tabs>
        <w:bidi w:val="0"/>
        <w:spacing w:before="0" w:after="660" w:line="276" w:lineRule="auto"/>
        <w:ind w:left="0" w:right="0" w:firstLine="0"/>
        <w:jc w:val="both"/>
      </w:pPr>
      <w:bookmarkStart w:id="110" w:name="bookmark110"/>
      <w:bookmarkEnd w:id="110"/>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5"/>
        <w:keepNext w:val="0"/>
        <w:keepLines w:val="0"/>
        <w:widowControl w:val="0"/>
        <w:numPr>
          <w:ilvl w:val="0"/>
          <w:numId w:val="27"/>
        </w:numPr>
        <w:shd w:val="clear" w:color="auto" w:fill="auto"/>
        <w:tabs>
          <w:tab w:pos="489" w:val="left"/>
        </w:tabs>
        <w:bidi w:val="0"/>
        <w:spacing w:before="0" w:line="240" w:lineRule="auto"/>
        <w:ind w:left="440" w:right="0" w:hanging="440"/>
        <w:jc w:val="both"/>
      </w:pPr>
      <w:bookmarkStart w:id="111" w:name="bookmark111"/>
      <w:bookmarkEnd w:id="111"/>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5"/>
        <w:keepNext w:val="0"/>
        <w:keepLines w:val="0"/>
        <w:widowControl w:val="0"/>
        <w:numPr>
          <w:ilvl w:val="0"/>
          <w:numId w:val="27"/>
        </w:numPr>
        <w:shd w:val="clear" w:color="auto" w:fill="auto"/>
        <w:tabs>
          <w:tab w:pos="489" w:val="left"/>
        </w:tabs>
        <w:bidi w:val="0"/>
        <w:spacing w:before="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p>
    <w:p>
      <w:pPr>
        <w:pStyle w:val="Style5"/>
        <w:keepNext w:val="0"/>
        <w:keepLines w:val="0"/>
        <w:widowControl w:val="0"/>
        <w:numPr>
          <w:ilvl w:val="0"/>
          <w:numId w:val="27"/>
        </w:numPr>
        <w:shd w:val="clear" w:color="auto" w:fill="auto"/>
        <w:tabs>
          <w:tab w:pos="489" w:val="left"/>
        </w:tabs>
        <w:bidi w:val="0"/>
        <w:spacing w:before="0" w:after="40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5"/>
        <w:keepNext w:val="0"/>
        <w:keepLines w:val="0"/>
        <w:widowControl w:val="0"/>
        <w:shd w:val="clear" w:color="auto" w:fill="auto"/>
        <w:bidi w:val="0"/>
        <w:spacing w:before="0" w:after="0" w:line="240" w:lineRule="auto"/>
        <w:ind w:left="0" w:right="0" w:firstLine="0"/>
        <w:jc w:val="both"/>
        <w:sectPr>
          <w:headerReference w:type="default" r:id="rId11"/>
          <w:footerReference w:type="default" r:id="rId12"/>
          <w:footnotePr>
            <w:pos w:val="pageBottom"/>
            <w:numFmt w:val="decimal"/>
            <w:numRestart w:val="continuous"/>
          </w:footnotePr>
          <w:pgSz w:w="11909" w:h="16838"/>
          <w:pgMar w:top="667" w:left="1111" w:right="1106" w:bottom="8046" w:header="239" w:footer="3" w:gutter="0"/>
          <w:cols w:space="720"/>
          <w:noEndnote/>
          <w:rtlGutter w:val="0"/>
          <w:docGrid w:linePitch="360"/>
        </w:sectPr>
      </w:pPr>
      <w:r>
        <mc:AlternateContent>
          <mc:Choice Requires="wps">
            <w:drawing>
              <wp:anchor distT="0" distB="0" distL="114300" distR="114300" simplePos="0" relativeHeight="125829388" behindDoc="0" locked="0" layoutInCell="1" allowOverlap="1">
                <wp:simplePos x="0" y="0"/>
                <wp:positionH relativeFrom="page">
                  <wp:posOffset>3856990</wp:posOffset>
                </wp:positionH>
                <wp:positionV relativeFrom="paragraph">
                  <wp:posOffset>12700</wp:posOffset>
                </wp:positionV>
                <wp:extent cx="670560" cy="228600"/>
                <wp:wrapSquare wrapText="left"/>
                <wp:docPr id="23" name="Shape 23"/>
                <a:graphic xmlns:a="http://schemas.openxmlformats.org/drawingml/2006/main">
                  <a:graphicData uri="http://schemas.microsoft.com/office/word/2010/wordprocessingShape">
                    <wps:wsp>
                      <wps:cNvSpPr txBox="1"/>
                      <wps:spPr>
                        <a:xfrm>
                          <a:ext cx="670560" cy="2286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w:t>
                            </w:r>
                          </w:p>
                        </w:txbxContent>
                      </wps:txbx>
                      <wps:bodyPr wrap="none" lIns="0" tIns="0" rIns="0" bIns="0">
                        <a:noAutoFit/>
                      </wps:bodyPr>
                    </wps:wsp>
                  </a:graphicData>
                </a:graphic>
              </wp:anchor>
            </w:drawing>
          </mc:Choice>
          <mc:Fallback>
            <w:pict>
              <v:shape id="_x0000_s1049" type="#_x0000_t202" style="position:absolute;margin-left:303.69999999999999pt;margin-top:1.pt;width:52.800000000000004pt;height:18.pt;z-index:-12582936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w:t>
                      </w:r>
                    </w:p>
                  </w:txbxContent>
                </v:textbox>
                <w10:wrap type="square" side="left" anchorx="page"/>
              </v:shape>
            </w:pict>
          </mc:Fallback>
        </mc:AlternateContent>
      </w:r>
      <w:r>
        <w:rPr>
          <w:color w:val="000000"/>
          <w:spacing w:val="0"/>
          <w:w w:val="100"/>
          <w:position w:val="0"/>
          <w:shd w:val="clear" w:color="auto" w:fill="auto"/>
          <w:lang w:val="cs-CZ" w:eastAsia="cs-CZ" w:bidi="cs-CZ"/>
        </w:rPr>
        <w:t>V Chomutově</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 w:after="1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67" w:left="0" w:right="0" w:bottom="907" w:header="0" w:footer="3" w:gutter="0"/>
          <w:cols w:space="720"/>
          <w:noEndnote/>
          <w:rtlGutter w:val="0"/>
          <w:docGrid w:linePitch="360"/>
        </w:sectPr>
      </w:pPr>
    </w:p>
    <w:p>
      <w:pPr>
        <w:pStyle w:val="Style5"/>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pPr>
      <w:r>
        <w:rPr>
          <w:color w:val="000000"/>
          <w:spacing w:val="0"/>
          <w:w w:val="100"/>
          <w:position w:val="0"/>
          <w:shd w:val="clear" w:color="auto" w:fill="auto"/>
          <w:lang w:val="cs-CZ" w:eastAsia="cs-CZ" w:bidi="cs-CZ"/>
        </w:rPr>
        <w:t>HG partner s.r.o.</w:t>
      </w:r>
    </w:p>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3435985</wp:posOffset>
              </wp:positionH>
              <wp:positionV relativeFrom="page">
                <wp:posOffset>10150475</wp:posOffset>
              </wp:positionV>
              <wp:extent cx="920750" cy="137160"/>
              <wp:wrapNone/>
              <wp:docPr id="3" name="Shape 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29" type="#_x0000_t202" style="position:absolute;margin-left:270.55000000000001pt;margin-top:799.25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3437255</wp:posOffset>
              </wp:positionH>
              <wp:positionV relativeFrom="page">
                <wp:posOffset>10116185</wp:posOffset>
              </wp:positionV>
              <wp:extent cx="920750" cy="137160"/>
              <wp:wrapNone/>
              <wp:docPr id="15" name="Shape 15"/>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1" type="#_x0000_t202" style="position:absolute;margin-left:270.64999999999998pt;margin-top:796.55000000000007pt;width:72.5pt;height:10.8000000000000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3435985</wp:posOffset>
              </wp:positionH>
              <wp:positionV relativeFrom="page">
                <wp:posOffset>10150475</wp:posOffset>
              </wp:positionV>
              <wp:extent cx="920750" cy="137160"/>
              <wp:wrapNone/>
              <wp:docPr id="19" name="Shape 19"/>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5" type="#_x0000_t202" style="position:absolute;margin-left:270.55000000000001pt;margin-top:799.25pt;width:72.5pt;height:10.800000000000001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3437255</wp:posOffset>
              </wp:positionH>
              <wp:positionV relativeFrom="page">
                <wp:posOffset>10116185</wp:posOffset>
              </wp:positionV>
              <wp:extent cx="920750" cy="137160"/>
              <wp:wrapNone/>
              <wp:docPr id="21" name="Shape 21"/>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7" type="#_x0000_t202" style="position:absolute;margin-left:270.64999999999998pt;margin-top:796.55000000000007pt;width:72.5pt;height:10.800000000000001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6032500</wp:posOffset>
              </wp:positionH>
              <wp:positionV relativeFrom="page">
                <wp:posOffset>424815</wp:posOffset>
              </wp:positionV>
              <wp:extent cx="807720" cy="252730"/>
              <wp:wrapNone/>
              <wp:docPr id="1" name="Shape 1"/>
              <a:graphic xmlns:a="http://schemas.openxmlformats.org/drawingml/2006/main">
                <a:graphicData uri="http://schemas.microsoft.com/office/word/2010/wordprocessingShape">
                  <wps:wsp>
                    <wps:cNvSpPr txBox="1"/>
                    <wps:spPr>
                      <a:xfrm>
                        <a:ext cx="80772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502 811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pt;margin-top:33.450000000000003pt;width:63.600000000000001pt;height:19.900000000000002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502 811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6032500</wp:posOffset>
              </wp:positionH>
              <wp:positionV relativeFrom="page">
                <wp:posOffset>424815</wp:posOffset>
              </wp:positionV>
              <wp:extent cx="807720" cy="252730"/>
              <wp:wrapNone/>
              <wp:docPr id="17" name="Shape 17"/>
              <a:graphic xmlns:a="http://schemas.openxmlformats.org/drawingml/2006/main">
                <a:graphicData uri="http://schemas.microsoft.com/office/word/2010/wordprocessingShape">
                  <wps:wsp>
                    <wps:cNvSpPr txBox="1"/>
                    <wps:spPr>
                      <a:xfrm>
                        <a:ext cx="80772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502 811</w:t>
                          </w:r>
                        </w:p>
                      </w:txbxContent>
                    </wps:txbx>
                    <wps:bodyPr wrap="none" lIns="0" tIns="0" rIns="0" bIns="0">
                      <a:spAutoFit/>
                    </wps:bodyPr>
                  </wps:wsp>
                </a:graphicData>
              </a:graphic>
            </wp:anchor>
          </w:drawing>
        </mc:Choice>
        <mc:Fallback>
          <w:pict>
            <v:shape id="_x0000_s1043" type="#_x0000_t202" style="position:absolute;margin-left:475.pt;margin-top:33.450000000000003pt;width:63.600000000000001pt;height:19.900000000000002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502 811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16"/>
      <w:szCs w:val="16"/>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140"/>
      <w:jc w:val="center"/>
      <w:outlineLvl w:val="0"/>
    </w:pPr>
    <w:rPr>
      <w:rFonts w:ascii="Arial" w:eastAsia="Arial" w:hAnsi="Arial" w:cs="Arial"/>
      <w:b/>
      <w:bCs/>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line="276" w:lineRule="auto"/>
      <w:ind w:left="8340"/>
      <w:jc w:val="right"/>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Zbyněk Pochmon</dc:creator>
  <cp:keywords/>
</cp:coreProperties>
</file>