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b/>
          <w:bCs/>
          <w:sz w:val="21"/>
          <w:szCs w:val="21"/>
          <w:lang w:eastAsia="cs-CZ"/>
        </w:rPr>
        <w:t>SMLOUVA O DÍLO</w:t>
      </w:r>
      <w:r w:rsidRPr="00BA1A99">
        <w:rPr>
          <w:rFonts w:ascii="Segoe UI" w:eastAsia="Times New Roman" w:hAnsi="Segoe UI" w:cs="Segoe UI"/>
          <w:sz w:val="21"/>
          <w:szCs w:val="21"/>
          <w:lang w:eastAsia="cs-CZ"/>
        </w:rPr>
        <w:br/>
        <w:t>uzavřená podle § 2586 a násl. zákona č. 89/2012 Sb., občanský zákoník (dále jen „OZ“)</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 Smluvní strany</w:t>
      </w:r>
    </w:p>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b/>
          <w:bCs/>
          <w:sz w:val="21"/>
          <w:szCs w:val="21"/>
          <w:lang w:eastAsia="cs-CZ"/>
        </w:rPr>
        <w:t>Objednatel</w:t>
      </w:r>
      <w:r w:rsidRPr="00BA1A99">
        <w:rPr>
          <w:rFonts w:ascii="Segoe UI" w:eastAsia="Times New Roman" w:hAnsi="Segoe UI" w:cs="Segoe UI"/>
          <w:sz w:val="21"/>
          <w:szCs w:val="21"/>
          <w:lang w:eastAsia="cs-CZ"/>
        </w:rPr>
        <w:br/>
        <w:t>Základní škola a mateřská škola Ústavní, Praha 8 - Bohnice</w:t>
      </w:r>
      <w:r w:rsidRPr="00BA1A99">
        <w:rPr>
          <w:rFonts w:ascii="Segoe UI" w:eastAsia="Times New Roman" w:hAnsi="Segoe UI" w:cs="Segoe UI"/>
          <w:sz w:val="21"/>
          <w:szCs w:val="21"/>
          <w:lang w:eastAsia="cs-CZ"/>
        </w:rPr>
        <w:br/>
        <w:t>sídlo: Hlivická 400/1, 181 00 Praha 8</w:t>
      </w:r>
      <w:r w:rsidRPr="00BA1A99">
        <w:rPr>
          <w:rFonts w:ascii="Segoe UI" w:eastAsia="Times New Roman" w:hAnsi="Segoe UI" w:cs="Segoe UI"/>
          <w:sz w:val="21"/>
          <w:szCs w:val="21"/>
          <w:lang w:eastAsia="cs-CZ"/>
        </w:rPr>
        <w:br/>
        <w:t>IČO: 604 33 337, DIČ: CZ60433337</w:t>
      </w:r>
      <w:r w:rsidRPr="00BA1A99">
        <w:rPr>
          <w:rFonts w:ascii="Segoe UI" w:eastAsia="Times New Roman" w:hAnsi="Segoe UI" w:cs="Segoe UI"/>
          <w:sz w:val="21"/>
          <w:szCs w:val="21"/>
          <w:lang w:eastAsia="cs-CZ"/>
        </w:rPr>
        <w:br/>
        <w:t>zastoupena: Mgr. Renatou Sedláčkovou, ředitelkou školy</w:t>
      </w:r>
      <w:r w:rsidRPr="00BA1A99">
        <w:rPr>
          <w:rFonts w:ascii="Segoe UI" w:eastAsia="Times New Roman" w:hAnsi="Segoe UI" w:cs="Segoe UI"/>
          <w:sz w:val="21"/>
          <w:szCs w:val="21"/>
          <w:lang w:eastAsia="cs-CZ"/>
        </w:rPr>
        <w:br/>
        <w:t xml:space="preserve">kontaktní e-mail: </w:t>
      </w:r>
      <w:r w:rsidR="00B67C5D">
        <w:rPr>
          <w:rFonts w:ascii="Segoe UI" w:eastAsia="Times New Roman" w:hAnsi="Segoe UI" w:cs="Segoe UI"/>
          <w:sz w:val="21"/>
          <w:szCs w:val="21"/>
          <w:lang w:eastAsia="cs-CZ"/>
        </w:rPr>
        <w:t>reditelka@zs-ustavni.cz</w:t>
      </w:r>
    </w:p>
    <w:p w:rsidR="00A53D80"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b/>
          <w:bCs/>
          <w:sz w:val="21"/>
          <w:szCs w:val="21"/>
          <w:lang w:eastAsia="cs-CZ"/>
        </w:rPr>
        <w:t>Zhotovitel</w:t>
      </w:r>
      <w:r w:rsidRPr="00BA1A99">
        <w:rPr>
          <w:rFonts w:ascii="Segoe UI" w:eastAsia="Times New Roman" w:hAnsi="Segoe UI" w:cs="Segoe UI"/>
          <w:sz w:val="21"/>
          <w:szCs w:val="21"/>
          <w:lang w:eastAsia="cs-CZ"/>
        </w:rPr>
        <w:br/>
      </w:r>
      <w:r w:rsidR="00A53D80">
        <w:rPr>
          <w:rFonts w:ascii="Segoe UI" w:eastAsia="Times New Roman" w:hAnsi="Segoe UI" w:cs="Segoe UI"/>
          <w:sz w:val="21"/>
          <w:szCs w:val="21"/>
          <w:lang w:eastAsia="cs-CZ"/>
        </w:rPr>
        <w:t>Pavel Voňka</w:t>
      </w:r>
    </w:p>
    <w:p w:rsidR="00A53D80"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sídlo</w:t>
      </w:r>
      <w:r w:rsidR="00A53D80">
        <w:rPr>
          <w:rFonts w:ascii="Segoe UI" w:eastAsia="Times New Roman" w:hAnsi="Segoe UI" w:cs="Segoe UI"/>
          <w:sz w:val="21"/>
          <w:szCs w:val="21"/>
          <w:lang w:eastAsia="cs-CZ"/>
        </w:rPr>
        <w:t>: Sámova 1183/23, Praha 10, 101 00</w:t>
      </w:r>
    </w:p>
    <w:p w:rsid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IČO: </w:t>
      </w:r>
      <w:r w:rsidR="00A53D80">
        <w:rPr>
          <w:rFonts w:ascii="Segoe UI" w:eastAsia="Times New Roman" w:hAnsi="Segoe UI" w:cs="Segoe UI"/>
          <w:sz w:val="21"/>
          <w:szCs w:val="21"/>
          <w:lang w:eastAsia="cs-CZ"/>
        </w:rPr>
        <w:t>71279</w:t>
      </w:r>
      <w:bookmarkStart w:id="0" w:name="_GoBack"/>
      <w:bookmarkEnd w:id="0"/>
      <w:r w:rsidR="00A53D80">
        <w:rPr>
          <w:rFonts w:ascii="Segoe UI" w:eastAsia="Times New Roman" w:hAnsi="Segoe UI" w:cs="Segoe UI"/>
          <w:sz w:val="21"/>
          <w:szCs w:val="21"/>
          <w:lang w:eastAsia="cs-CZ"/>
        </w:rPr>
        <w:t>342</w:t>
      </w:r>
      <w:r w:rsidRPr="00BA1A99">
        <w:rPr>
          <w:rFonts w:ascii="Segoe UI" w:eastAsia="Times New Roman" w:hAnsi="Segoe UI" w:cs="Segoe UI"/>
          <w:sz w:val="21"/>
          <w:szCs w:val="21"/>
          <w:lang w:eastAsia="cs-CZ"/>
        </w:rPr>
        <w:t>, DIČ: CZ</w:t>
      </w:r>
      <w:r w:rsidR="00A53D80">
        <w:rPr>
          <w:rFonts w:ascii="Segoe UI" w:eastAsia="Times New Roman" w:hAnsi="Segoe UI" w:cs="Segoe UI"/>
          <w:sz w:val="21"/>
          <w:szCs w:val="21"/>
          <w:lang w:eastAsia="cs-CZ"/>
        </w:rPr>
        <w:t>7</w:t>
      </w:r>
      <w:r w:rsidR="00406E76">
        <w:rPr>
          <w:rFonts w:ascii="Segoe UI" w:eastAsia="Times New Roman" w:hAnsi="Segoe UI" w:cs="Segoe UI"/>
          <w:sz w:val="21"/>
          <w:szCs w:val="21"/>
          <w:lang w:eastAsia="cs-CZ"/>
        </w:rPr>
        <w:t>505260136</w:t>
      </w:r>
      <w:r w:rsidRPr="00BA1A99">
        <w:rPr>
          <w:rFonts w:ascii="Segoe UI" w:eastAsia="Times New Roman" w:hAnsi="Segoe UI" w:cs="Segoe UI"/>
          <w:sz w:val="21"/>
          <w:szCs w:val="21"/>
          <w:lang w:eastAsia="cs-CZ"/>
        </w:rPr>
        <w:br/>
        <w:t xml:space="preserve">kontaktní e-mail: </w:t>
      </w:r>
      <w:r w:rsidR="00A53D80">
        <w:rPr>
          <w:rFonts w:ascii="Segoe UI" w:eastAsia="Times New Roman" w:hAnsi="Segoe UI" w:cs="Segoe UI"/>
          <w:sz w:val="21"/>
          <w:szCs w:val="21"/>
          <w:lang w:eastAsia="cs-CZ"/>
        </w:rPr>
        <w:t>pvonka@seznam.cz</w:t>
      </w:r>
    </w:p>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a Zhotovitel dále také jednotlivě „Smluvní strana“ a společně „Smluvní strany“.</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6"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II. Předmět smlouvy</w:t>
      </w:r>
    </w:p>
    <w:p w:rsidR="00BA1A99" w:rsidRPr="00BA1A99" w:rsidRDefault="00BA1A99" w:rsidP="00BA1A99">
      <w:pPr>
        <w:numPr>
          <w:ilvl w:val="0"/>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Zhotovitel se zavazuje na svůj náklad a nebezpečí pro Objednatele provést dílo spočívající v opravě </w:t>
      </w:r>
      <w:r w:rsidR="00A53D80">
        <w:rPr>
          <w:rFonts w:ascii="Segoe UI" w:eastAsia="Times New Roman" w:hAnsi="Segoe UI" w:cs="Segoe UI"/>
          <w:sz w:val="21"/>
          <w:szCs w:val="21"/>
          <w:lang w:eastAsia="cs-CZ"/>
        </w:rPr>
        <w:t xml:space="preserve">zdí v </w:t>
      </w:r>
      <w:r w:rsidRPr="00BA1A99">
        <w:rPr>
          <w:rFonts w:ascii="Segoe UI" w:eastAsia="Times New Roman" w:hAnsi="Segoe UI" w:cs="Segoe UI"/>
          <w:sz w:val="21"/>
          <w:szCs w:val="21"/>
          <w:lang w:eastAsia="cs-CZ"/>
        </w:rPr>
        <w:t>1. patře budovy ZŠ a MŠ Ústavní, Hlivická 400/1, Praha 8 (dále jen „Dílo“).</w:t>
      </w:r>
    </w:p>
    <w:p w:rsidR="00BA1A99" w:rsidRPr="00BA1A99" w:rsidRDefault="00BA1A99" w:rsidP="00BA1A99">
      <w:pPr>
        <w:numPr>
          <w:ilvl w:val="0"/>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Přesná specifikace Díla je uvedena v Příloze č. 1 - „Technická specifikace</w:t>
      </w:r>
      <w:r w:rsidR="00A53D80">
        <w:rPr>
          <w:rFonts w:ascii="Segoe UI" w:eastAsia="Times New Roman" w:hAnsi="Segoe UI" w:cs="Segoe UI"/>
          <w:sz w:val="21"/>
          <w:szCs w:val="21"/>
          <w:lang w:eastAsia="cs-CZ"/>
        </w:rPr>
        <w:t>,</w:t>
      </w:r>
      <w:r w:rsidRPr="00BA1A99">
        <w:rPr>
          <w:rFonts w:ascii="Segoe UI" w:eastAsia="Times New Roman" w:hAnsi="Segoe UI" w:cs="Segoe UI"/>
          <w:sz w:val="21"/>
          <w:szCs w:val="21"/>
          <w:lang w:eastAsia="cs-CZ"/>
        </w:rPr>
        <w:t xml:space="preserve"> která tvoří nedílnou součást této smlouvy.</w:t>
      </w:r>
    </w:p>
    <w:p w:rsidR="00BA1A99" w:rsidRPr="00BA1A99" w:rsidRDefault="00BA1A99" w:rsidP="00BA1A99">
      <w:pPr>
        <w:numPr>
          <w:ilvl w:val="0"/>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Změny rozsahu Díla nebo tzv. </w:t>
      </w:r>
      <w:proofErr w:type="spellStart"/>
      <w:r w:rsidRPr="00BA1A99">
        <w:rPr>
          <w:rFonts w:ascii="Segoe UI" w:eastAsia="Times New Roman" w:hAnsi="Segoe UI" w:cs="Segoe UI"/>
          <w:sz w:val="21"/>
          <w:szCs w:val="21"/>
          <w:lang w:eastAsia="cs-CZ"/>
        </w:rPr>
        <w:t>více-či</w:t>
      </w:r>
      <w:proofErr w:type="spellEnd"/>
      <w:r w:rsidRPr="00BA1A99">
        <w:rPr>
          <w:rFonts w:ascii="Segoe UI" w:eastAsia="Times New Roman" w:hAnsi="Segoe UI" w:cs="Segoe UI"/>
          <w:sz w:val="21"/>
          <w:szCs w:val="21"/>
          <w:lang w:eastAsia="cs-CZ"/>
        </w:rPr>
        <w:t xml:space="preserve"> méně-prací lze provádět pouze na základě písemného dodatku, v němž se Smluvní strany dohodnou zejména na:</w:t>
      </w:r>
    </w:p>
    <w:p w:rsidR="00BA1A99" w:rsidRPr="00BA1A99" w:rsidRDefault="00BA1A99" w:rsidP="00BA1A99">
      <w:pPr>
        <w:numPr>
          <w:ilvl w:val="1"/>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rozsahu změny,</w:t>
      </w:r>
    </w:p>
    <w:p w:rsidR="00BA1A99" w:rsidRPr="00BA1A99" w:rsidRDefault="00BA1A99" w:rsidP="00BA1A99">
      <w:pPr>
        <w:numPr>
          <w:ilvl w:val="1"/>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nové ceně nebo způsobu jejího určení (viz čl. IV odst. 5),</w:t>
      </w:r>
    </w:p>
    <w:p w:rsidR="00BA1A99" w:rsidRPr="00BA1A99" w:rsidRDefault="00BA1A99" w:rsidP="00BA1A99">
      <w:pPr>
        <w:numPr>
          <w:ilvl w:val="1"/>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úpravě termínu dokončení, vyžaduje-li si to povaha změny (§ 2614 OZ).</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7"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III. Termín plnění</w:t>
      </w:r>
    </w:p>
    <w:p w:rsidR="00BA1A99" w:rsidRPr="00BA1A99" w:rsidRDefault="00BA1A99" w:rsidP="00BA1A99">
      <w:pPr>
        <w:numPr>
          <w:ilvl w:val="0"/>
          <w:numId w:val="2"/>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Termín zahájení prací: 7. 7. 2025.</w:t>
      </w:r>
    </w:p>
    <w:p w:rsidR="00BA1A99" w:rsidRPr="00BA1A99" w:rsidRDefault="00BA1A99" w:rsidP="00BA1A99">
      <w:pPr>
        <w:numPr>
          <w:ilvl w:val="0"/>
          <w:numId w:val="2"/>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Termín dokončení a předání Díla dle § 2604 OZ: </w:t>
      </w:r>
      <w:r>
        <w:rPr>
          <w:rFonts w:ascii="Segoe UI" w:eastAsia="Times New Roman" w:hAnsi="Segoe UI" w:cs="Segoe UI"/>
          <w:sz w:val="21"/>
          <w:szCs w:val="21"/>
          <w:lang w:eastAsia="cs-CZ"/>
        </w:rPr>
        <w:t xml:space="preserve">do </w:t>
      </w:r>
      <w:r w:rsidR="00A53D80">
        <w:rPr>
          <w:rFonts w:ascii="Segoe UI" w:eastAsia="Times New Roman" w:hAnsi="Segoe UI" w:cs="Segoe UI"/>
          <w:sz w:val="21"/>
          <w:szCs w:val="21"/>
          <w:lang w:eastAsia="cs-CZ"/>
        </w:rPr>
        <w:t>14</w:t>
      </w:r>
      <w:r w:rsidRPr="00BA1A99">
        <w:rPr>
          <w:rFonts w:ascii="Segoe UI" w:eastAsia="Times New Roman" w:hAnsi="Segoe UI" w:cs="Segoe UI"/>
          <w:sz w:val="21"/>
          <w:szCs w:val="21"/>
          <w:lang w:eastAsia="cs-CZ"/>
        </w:rPr>
        <w:t>. 8. 2025.</w:t>
      </w:r>
    </w:p>
    <w:p w:rsidR="00BA1A99" w:rsidRPr="00BA1A99" w:rsidRDefault="00BA1A99" w:rsidP="00BA1A99">
      <w:pPr>
        <w:numPr>
          <w:ilvl w:val="0"/>
          <w:numId w:val="2"/>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V případě, že Objednatel neposkytne včas součinnost nezbytnou pro řádné plnění, dohodnou se Smluvní strany písemně na prodloužení termínu dokončení o dobu odpovídající prodlení Objednatele.</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8"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IV. Cena Díla a její změny</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Cena Díla je sjednána jako cena pevná ve výši </w:t>
      </w:r>
      <w:r w:rsidR="00A53D80">
        <w:rPr>
          <w:rFonts w:ascii="Segoe UI" w:eastAsia="Times New Roman" w:hAnsi="Segoe UI" w:cs="Segoe UI"/>
          <w:b/>
          <w:sz w:val="21"/>
          <w:szCs w:val="21"/>
          <w:lang w:eastAsia="cs-CZ"/>
        </w:rPr>
        <w:t>219.736 vč.</w:t>
      </w:r>
      <w:r w:rsidRPr="00BA1A99">
        <w:rPr>
          <w:rFonts w:ascii="Segoe UI" w:eastAsia="Times New Roman" w:hAnsi="Segoe UI" w:cs="Segoe UI"/>
          <w:b/>
          <w:sz w:val="21"/>
          <w:szCs w:val="21"/>
          <w:lang w:eastAsia="cs-CZ"/>
        </w:rPr>
        <w:t xml:space="preserve"> DPH 21 %.</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Základ daně (bez DPH): </w:t>
      </w:r>
      <w:r w:rsidR="00A53D80">
        <w:rPr>
          <w:rFonts w:ascii="Segoe UI" w:eastAsia="Times New Roman" w:hAnsi="Segoe UI" w:cs="Segoe UI"/>
          <w:sz w:val="21"/>
          <w:szCs w:val="21"/>
          <w:lang w:eastAsia="cs-CZ"/>
        </w:rPr>
        <w:t>181.600,-</w:t>
      </w:r>
      <w:r w:rsidRPr="00BA1A99">
        <w:rPr>
          <w:rFonts w:ascii="Segoe UI" w:eastAsia="Times New Roman" w:hAnsi="Segoe UI" w:cs="Segoe UI"/>
          <w:sz w:val="21"/>
          <w:szCs w:val="21"/>
          <w:lang w:eastAsia="cs-CZ"/>
        </w:rPr>
        <w:t xml:space="preserve"> Kč.</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DPH 21 %: </w:t>
      </w:r>
      <w:r w:rsidR="00A53D80">
        <w:rPr>
          <w:rFonts w:ascii="Segoe UI" w:eastAsia="Times New Roman" w:hAnsi="Segoe UI" w:cs="Segoe UI"/>
          <w:sz w:val="21"/>
          <w:szCs w:val="21"/>
          <w:lang w:eastAsia="cs-CZ"/>
        </w:rPr>
        <w:t>38.136,-</w:t>
      </w:r>
      <w:r w:rsidRPr="00BA1A99">
        <w:rPr>
          <w:rFonts w:ascii="Segoe UI" w:eastAsia="Times New Roman" w:hAnsi="Segoe UI" w:cs="Segoe UI"/>
          <w:sz w:val="21"/>
          <w:szCs w:val="21"/>
          <w:lang w:eastAsia="cs-CZ"/>
        </w:rPr>
        <w:t xml:space="preserve"> Kč.</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Cena zahrnuje veškeré náklady Zhotovitele na provedení Díla v rozsahu specifikovaném touto smlouvou a v Příloze č. 1.</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Ceny měrných jednotek uvedené ve výkazu výměr jsou po dobu plnění neměnné.</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Více- / méně-práce:</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Návrh na změnu rozsahu Díla vyhotoví Zhotovitel v písemné kalkulaci.</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Cena se určí na základě jednotkových cen z Přílohy č. 1; není-li to možné, podle cen obvyklých ke dni návrhu.</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Dokud nebude dodatek podepsán oběma stranami, nesmí Zhotovitel práce zahájit.</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lastRenderedPageBreak/>
        <w:t>Dojde-li k omezení rozsahu Díla, sníží se cena podle § 2614 OZ s přihlédnutím k ušetřeným nákladům.</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9"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 Platební podmínky</w:t>
      </w:r>
    </w:p>
    <w:p w:rsidR="00BA1A99" w:rsidRPr="00BA1A99" w:rsidRDefault="00BA1A99" w:rsidP="005E68CD">
      <w:pPr>
        <w:numPr>
          <w:ilvl w:val="0"/>
          <w:numId w:val="4"/>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vystaví: konečnou fakturu po předání Díla bez vad a nedodělků bránících užívání.</w:t>
      </w:r>
    </w:p>
    <w:p w:rsidR="00BA1A99" w:rsidRPr="00BA1A99" w:rsidRDefault="00BA1A99" w:rsidP="00BA1A99">
      <w:pPr>
        <w:numPr>
          <w:ilvl w:val="0"/>
          <w:numId w:val="4"/>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Splatnost faktury je 14 dnů ode dne jejího doručení Objednateli (e-mail + datová schránka/pošta).</w:t>
      </w:r>
    </w:p>
    <w:p w:rsidR="00BA1A99" w:rsidRPr="00BA1A99" w:rsidRDefault="00BA1A99" w:rsidP="00BA1A99">
      <w:pPr>
        <w:numPr>
          <w:ilvl w:val="0"/>
          <w:numId w:val="4"/>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je oprávněn zadržet 5 % z ceny Díla (retence) po dobu 12 měsíců ode dne převzetí Díla jako jistotu pro krytí vad. Částka bude vyplacena do 14 dnů po uplynutí uvedené lhůty, popř. po odstranění zjištěných vad.</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0"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VI. Povinnosti Zhotovitele</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Provést Dílo odborně, v souladu s platnými právními předpisy, normami ČSN, hygienickými a bezpečnostními požadavky.</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Udržovat staveniště v pořádku, zajišťovat BOZP a ochranu životního prostředí; odpad likvidovat dle zákona č. 541/2020 Sb., o odpadech.</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Upozornit Objednatele bez zbytečného odkladu na nevhodné pokyny nebo podklady (§ 2595 OZ); jinak odpovídá za vady z tohoto důvodu vzniklé.</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1"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VII. Předání a převzetí Díla</w:t>
      </w:r>
    </w:p>
    <w:p w:rsidR="00BA1A99" w:rsidRPr="00BA1A99" w:rsidRDefault="00BA1A99" w:rsidP="00BA1A99">
      <w:pPr>
        <w:numPr>
          <w:ilvl w:val="0"/>
          <w:numId w:val="6"/>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 předání a převzetí se pořídí písemný protokol podepsaný oběma stranami.</w:t>
      </w:r>
    </w:p>
    <w:p w:rsidR="00BA1A99" w:rsidRPr="00BA1A99" w:rsidRDefault="00BA1A99" w:rsidP="00BA1A99">
      <w:pPr>
        <w:numPr>
          <w:ilvl w:val="0"/>
          <w:numId w:val="6"/>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je povinen Dílo převzít, pokud nemá vady bránící jeho užívání. Vady a nedodělky budou v protokolu výslovně uvedeny s termínem jejich odstranění.</w:t>
      </w:r>
    </w:p>
    <w:p w:rsidR="00BA1A99" w:rsidRPr="00BA1A99" w:rsidRDefault="00BA1A99" w:rsidP="00BA1A99">
      <w:pPr>
        <w:numPr>
          <w:ilvl w:val="0"/>
          <w:numId w:val="6"/>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Okamžikem podpisu protokolu přechází na Objednatele nebezpečí škody na Díle.</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2"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VIII. Odpovědnost za vady a záruka</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odpovídá za vady podle § 2615 a násl. OZ.</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poskytuje záruku za jakost v délce 36 měsíců od převzetí Díla.</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oznámí zjištěné vady písemně bez zbytečného odkladu. Zhotovitel je odstraní nejpozději do 14 dnů, nedohodnou-li se strany jinak.</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Neuplatní-li Objednatel právo na odstranění vady a vady nebrání užívání Díla, může požadovat přiměřenou slevu z ceny (§ 2619 OZ).</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3"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IX. Smluvní pokuty</w:t>
      </w:r>
    </w:p>
    <w:p w:rsidR="00BA1A99" w:rsidRPr="00BA1A99" w:rsidRDefault="00BA1A99" w:rsidP="00BA1A99">
      <w:pPr>
        <w:numPr>
          <w:ilvl w:val="0"/>
          <w:numId w:val="8"/>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zaplatí za prodlení s termínem dokončení smluvní pokutu 0,1 % z pevné ceny Díla za každý den prodlení, maximálně však 10 % z pevné ceny Díla.</w:t>
      </w:r>
    </w:p>
    <w:p w:rsidR="00BA1A99" w:rsidRPr="00BA1A99" w:rsidRDefault="00BA1A99" w:rsidP="00BA1A99">
      <w:pPr>
        <w:numPr>
          <w:ilvl w:val="0"/>
          <w:numId w:val="8"/>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zaplatí za prodlení s úhradou faktury smluvní pokutu 0,05 % z dlužné částky za každý den prodlení, maximálně však 5 % z dlužné částky.</w:t>
      </w:r>
    </w:p>
    <w:p w:rsidR="00BA1A99" w:rsidRPr="00BA1A99" w:rsidRDefault="00BA1A99" w:rsidP="00BA1A99">
      <w:pPr>
        <w:numPr>
          <w:ilvl w:val="0"/>
          <w:numId w:val="8"/>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Zaplacením smluvní pokuty není dotčeno právo na náhradu škody (§ 2050 OZ).</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4"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X. Odstoupení od smlouvy</w:t>
      </w:r>
    </w:p>
    <w:p w:rsidR="00BA1A99" w:rsidRPr="00BA1A99" w:rsidRDefault="00BA1A99" w:rsidP="00BA1A99">
      <w:pPr>
        <w:numPr>
          <w:ilvl w:val="0"/>
          <w:numId w:val="9"/>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může odstoupit, zejména pokud:</w:t>
      </w:r>
      <w:r w:rsidRPr="00BA1A99">
        <w:rPr>
          <w:rFonts w:ascii="Segoe UI" w:eastAsia="Times New Roman" w:hAnsi="Segoe UI" w:cs="Segoe UI"/>
          <w:sz w:val="21"/>
          <w:szCs w:val="21"/>
          <w:lang w:eastAsia="cs-CZ"/>
        </w:rPr>
        <w:br/>
        <w:t>a) Zhotovitel bezdůvodně přeruší práce na dobu delší než 14 dnů;</w:t>
      </w:r>
      <w:r w:rsidRPr="00BA1A99">
        <w:rPr>
          <w:rFonts w:ascii="Segoe UI" w:eastAsia="Times New Roman" w:hAnsi="Segoe UI" w:cs="Segoe UI"/>
          <w:sz w:val="21"/>
          <w:szCs w:val="21"/>
          <w:lang w:eastAsia="cs-CZ"/>
        </w:rPr>
        <w:br/>
        <w:t>b) Zhotovitel je v prodlení se zahájením prací déle než 14 dnů;</w:t>
      </w:r>
      <w:r w:rsidRPr="00BA1A99">
        <w:rPr>
          <w:rFonts w:ascii="Segoe UI" w:eastAsia="Times New Roman" w:hAnsi="Segoe UI" w:cs="Segoe UI"/>
          <w:sz w:val="21"/>
          <w:szCs w:val="21"/>
          <w:lang w:eastAsia="cs-CZ"/>
        </w:rPr>
        <w:br/>
        <w:t>c) Zhotovitel opakovaně nebo závažně poruší podmínky kvality.</w:t>
      </w:r>
    </w:p>
    <w:p w:rsidR="00BA1A99" w:rsidRPr="00BA1A99" w:rsidRDefault="00BA1A99" w:rsidP="00BA1A99">
      <w:pPr>
        <w:numPr>
          <w:ilvl w:val="0"/>
          <w:numId w:val="9"/>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může odstoupit, zejména pokud:</w:t>
      </w:r>
      <w:r w:rsidRPr="00BA1A99">
        <w:rPr>
          <w:rFonts w:ascii="Segoe UI" w:eastAsia="Times New Roman" w:hAnsi="Segoe UI" w:cs="Segoe UI"/>
          <w:sz w:val="21"/>
          <w:szCs w:val="21"/>
          <w:lang w:eastAsia="cs-CZ"/>
        </w:rPr>
        <w:br/>
        <w:t>a) nastanou okolnosti dle § 2595 OZ (trvání Objednatele na nevhodném příkazu či materiálu);</w:t>
      </w:r>
      <w:r w:rsidRPr="00BA1A99">
        <w:rPr>
          <w:rFonts w:ascii="Segoe UI" w:eastAsia="Times New Roman" w:hAnsi="Segoe UI" w:cs="Segoe UI"/>
          <w:sz w:val="21"/>
          <w:szCs w:val="21"/>
          <w:lang w:eastAsia="cs-CZ"/>
        </w:rPr>
        <w:br/>
        <w:t>b) bude vůči Objednateli zahájeno insolvenční řízení.</w:t>
      </w:r>
    </w:p>
    <w:p w:rsidR="00BA1A99" w:rsidRPr="00BA1A99" w:rsidRDefault="00BA1A99" w:rsidP="00BA1A99">
      <w:pPr>
        <w:numPr>
          <w:ilvl w:val="0"/>
          <w:numId w:val="9"/>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lastRenderedPageBreak/>
        <w:t>Účinky odstoupení nastávají doručením písemného oznámení druhé straně; Zhotovitel náleží odměna odpovídající již provedené části Díla (§ 2597 OZ).</w:t>
      </w:r>
    </w:p>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5"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XI. Závěrečná ustanovení</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Právní poměry touto smlouvou výslovně neupravené se řídí občanským zákoníkem.</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Smlouvu lze měnit nebo doplňovat pouze písemnými číslovanými dodatky podepsanými oběma Smluvními stranami.</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Smlouva je vyhotovena ve dvou stejnopisech s platností originálu; každá Smluvní strana obdrží jeden.</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Smlouva nabývá účinnosti dnem jejího podpisu oběma Smluvními stranami.</w:t>
      </w:r>
    </w:p>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V Praze dne ………………</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270"/>
        <w:gridCol w:w="1744"/>
      </w:tblGrid>
      <w:tr w:rsidR="00BA1A99" w:rsidRPr="00BA1A99" w:rsidTr="00BA1A99">
        <w:trPr>
          <w:tblHeader/>
          <w:tblCellSpacing w:w="15" w:type="dxa"/>
        </w:trPr>
        <w:tc>
          <w:tcPr>
            <w:tcW w:w="0" w:type="auto"/>
            <w:tcBorders>
              <w:top w:val="single" w:sz="6" w:space="0" w:color="auto"/>
              <w:left w:val="single" w:sz="6" w:space="0" w:color="auto"/>
              <w:bottom w:val="single" w:sz="2" w:space="0" w:color="auto"/>
              <w:right w:val="single" w:sz="6" w:space="0" w:color="auto"/>
            </w:tcBorders>
            <w:shd w:val="clear" w:color="auto" w:fill="FFFFFF"/>
            <w:vAlign w:val="center"/>
            <w:hideMark/>
          </w:tcPr>
          <w:p w:rsidR="00BA1A99" w:rsidRPr="00BA1A99" w:rsidRDefault="00BA1A99" w:rsidP="00BA1A99">
            <w:pPr>
              <w:spacing w:after="0" w:line="240" w:lineRule="auto"/>
              <w:rPr>
                <w:rFonts w:ascii="Segoe UI" w:eastAsia="Times New Roman" w:hAnsi="Segoe UI" w:cs="Segoe UI"/>
                <w:b/>
                <w:bCs/>
                <w:sz w:val="21"/>
                <w:szCs w:val="21"/>
                <w:lang w:eastAsia="cs-CZ"/>
              </w:rPr>
            </w:pPr>
            <w:r w:rsidRPr="00BA1A99">
              <w:rPr>
                <w:rFonts w:ascii="Segoe UI" w:eastAsia="Times New Roman" w:hAnsi="Segoe UI" w:cs="Segoe UI"/>
                <w:b/>
                <w:bCs/>
                <w:sz w:val="21"/>
                <w:szCs w:val="21"/>
                <w:lang w:eastAsia="cs-CZ"/>
              </w:rPr>
              <w:t>Za Objednatele</w:t>
            </w:r>
          </w:p>
        </w:tc>
        <w:tc>
          <w:tcPr>
            <w:tcW w:w="0" w:type="auto"/>
            <w:tcBorders>
              <w:top w:val="single" w:sz="6" w:space="0" w:color="auto"/>
              <w:left w:val="single" w:sz="6" w:space="0" w:color="auto"/>
              <w:bottom w:val="single" w:sz="2" w:space="0" w:color="auto"/>
              <w:right w:val="single" w:sz="6" w:space="0" w:color="auto"/>
            </w:tcBorders>
            <w:shd w:val="clear" w:color="auto" w:fill="FFFFFF"/>
            <w:vAlign w:val="center"/>
            <w:hideMark/>
          </w:tcPr>
          <w:p w:rsidR="00BA1A99" w:rsidRPr="00BA1A99" w:rsidRDefault="00BA1A99" w:rsidP="00BA1A99">
            <w:pPr>
              <w:spacing w:after="0" w:line="240" w:lineRule="auto"/>
              <w:rPr>
                <w:rFonts w:ascii="Segoe UI" w:eastAsia="Times New Roman" w:hAnsi="Segoe UI" w:cs="Segoe UI"/>
                <w:b/>
                <w:bCs/>
                <w:sz w:val="21"/>
                <w:szCs w:val="21"/>
                <w:lang w:eastAsia="cs-CZ"/>
              </w:rPr>
            </w:pPr>
            <w:r w:rsidRPr="00BA1A99">
              <w:rPr>
                <w:rFonts w:ascii="Segoe UI" w:eastAsia="Times New Roman" w:hAnsi="Segoe UI" w:cs="Segoe UI"/>
                <w:b/>
                <w:bCs/>
                <w:sz w:val="21"/>
                <w:szCs w:val="21"/>
                <w:lang w:eastAsia="cs-CZ"/>
              </w:rPr>
              <w:t>Za Zhotovitele</w:t>
            </w:r>
          </w:p>
        </w:tc>
      </w:tr>
      <w:tr w:rsidR="00BA1A99" w:rsidRPr="00BA1A99" w:rsidTr="00BA1A99">
        <w:trPr>
          <w:tblCellSpacing w:w="15" w:type="dxa"/>
        </w:trPr>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w:t>
            </w:r>
          </w:p>
        </w:tc>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w:t>
            </w:r>
          </w:p>
        </w:tc>
      </w:tr>
      <w:tr w:rsidR="00BA1A99" w:rsidRPr="00BA1A99" w:rsidTr="00A53D80">
        <w:trPr>
          <w:tblCellSpacing w:w="15" w:type="dxa"/>
        </w:trPr>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Mgr. Renata Sedláčková</w:t>
            </w:r>
          </w:p>
        </w:tc>
        <w:tc>
          <w:tcPr>
            <w:tcW w:w="0" w:type="auto"/>
            <w:shd w:val="clear" w:color="auto" w:fill="FFFFFF"/>
            <w:vAlign w:val="center"/>
          </w:tcPr>
          <w:p w:rsidR="00BA1A99" w:rsidRPr="00BA1A99" w:rsidRDefault="00A53D80" w:rsidP="00BA1A99">
            <w:pPr>
              <w:spacing w:after="0" w:line="240" w:lineRule="auto"/>
              <w:rPr>
                <w:rFonts w:ascii="Segoe UI" w:eastAsia="Times New Roman" w:hAnsi="Segoe UI" w:cs="Segoe UI"/>
                <w:sz w:val="21"/>
                <w:szCs w:val="21"/>
                <w:lang w:eastAsia="cs-CZ"/>
              </w:rPr>
            </w:pPr>
            <w:r>
              <w:rPr>
                <w:rFonts w:ascii="Segoe UI" w:eastAsia="Times New Roman" w:hAnsi="Segoe UI" w:cs="Segoe UI"/>
                <w:sz w:val="21"/>
                <w:szCs w:val="21"/>
                <w:lang w:eastAsia="cs-CZ"/>
              </w:rPr>
              <w:t>Pavel Voňka</w:t>
            </w:r>
          </w:p>
        </w:tc>
      </w:tr>
      <w:tr w:rsidR="00BA1A99" w:rsidRPr="00BA1A99" w:rsidTr="00A53D80">
        <w:trPr>
          <w:tblCellSpacing w:w="15" w:type="dxa"/>
        </w:trPr>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ředitelka školy</w:t>
            </w:r>
          </w:p>
        </w:tc>
        <w:tc>
          <w:tcPr>
            <w:tcW w:w="0" w:type="auto"/>
            <w:shd w:val="clear" w:color="auto" w:fill="FFFFFF"/>
            <w:vAlign w:val="center"/>
          </w:tcPr>
          <w:p w:rsidR="00BA1A99" w:rsidRPr="00BA1A99" w:rsidRDefault="00BA1A99" w:rsidP="00BA1A99">
            <w:pPr>
              <w:spacing w:after="0" w:line="240" w:lineRule="auto"/>
              <w:rPr>
                <w:rFonts w:ascii="Segoe UI" w:eastAsia="Times New Roman" w:hAnsi="Segoe UI" w:cs="Segoe UI"/>
                <w:sz w:val="21"/>
                <w:szCs w:val="21"/>
                <w:lang w:eastAsia="cs-CZ"/>
              </w:rPr>
            </w:pPr>
          </w:p>
        </w:tc>
      </w:tr>
    </w:tbl>
    <w:p w:rsidR="00BA1A99" w:rsidRPr="00BA1A99" w:rsidRDefault="005B5213"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6"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Přílohy</w:t>
      </w:r>
    </w:p>
    <w:p w:rsidR="00BA1A99" w:rsidRPr="00BA1A99" w:rsidRDefault="00BA1A99" w:rsidP="00BA1A99">
      <w:pPr>
        <w:numPr>
          <w:ilvl w:val="0"/>
          <w:numId w:val="1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Technická specifikace a výkaz výměr</w:t>
      </w:r>
    </w:p>
    <w:p w:rsidR="00BD3FA0" w:rsidRDefault="00BD3FA0"/>
    <w:sectPr w:rsidR="00BD3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DC5"/>
    <w:multiLevelType w:val="multilevel"/>
    <w:tmpl w:val="BC20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A728B"/>
    <w:multiLevelType w:val="multilevel"/>
    <w:tmpl w:val="250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842D9"/>
    <w:multiLevelType w:val="multilevel"/>
    <w:tmpl w:val="9DB6B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E7994"/>
    <w:multiLevelType w:val="multilevel"/>
    <w:tmpl w:val="E5EA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0193E"/>
    <w:multiLevelType w:val="multilevel"/>
    <w:tmpl w:val="45925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A4AF2"/>
    <w:multiLevelType w:val="multilevel"/>
    <w:tmpl w:val="D234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D7419"/>
    <w:multiLevelType w:val="multilevel"/>
    <w:tmpl w:val="498E6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51448"/>
    <w:multiLevelType w:val="multilevel"/>
    <w:tmpl w:val="7A00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E530A1"/>
    <w:multiLevelType w:val="multilevel"/>
    <w:tmpl w:val="7FDE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E6B2A"/>
    <w:multiLevelType w:val="multilevel"/>
    <w:tmpl w:val="F482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A46439"/>
    <w:multiLevelType w:val="multilevel"/>
    <w:tmpl w:val="73A6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7"/>
  </w:num>
  <w:num w:numId="5">
    <w:abstractNumId w:val="1"/>
  </w:num>
  <w:num w:numId="6">
    <w:abstractNumId w:val="3"/>
  </w:num>
  <w:num w:numId="7">
    <w:abstractNumId w:val="5"/>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99"/>
    <w:rsid w:val="00406E76"/>
    <w:rsid w:val="005B5213"/>
    <w:rsid w:val="00A53D80"/>
    <w:rsid w:val="00B67C5D"/>
    <w:rsid w:val="00BA1A99"/>
    <w:rsid w:val="00BD3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A298"/>
  <w15:chartTrackingRefBased/>
  <w15:docId w15:val="{DB1AA0CF-560C-4505-A387-19AA2A0C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A1A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A1A9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1A9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A1A9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A1A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A1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782</Words>
  <Characters>4619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Sedláčková</dc:creator>
  <cp:keywords/>
  <dc:description/>
  <cp:lastModifiedBy>Petra</cp:lastModifiedBy>
  <cp:revision>4</cp:revision>
  <dcterms:created xsi:type="dcterms:W3CDTF">2025-08-06T08:13:00Z</dcterms:created>
  <dcterms:modified xsi:type="dcterms:W3CDTF">2025-08-06T08:46:00Z</dcterms:modified>
</cp:coreProperties>
</file>