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D4D" w:rsidRPr="00CC01DE" w:rsidRDefault="00DC421E" w:rsidP="00472A58">
      <w:pPr>
        <w:pStyle w:val="cotext"/>
        <w:spacing w:before="60" w:after="120" w:line="320" w:lineRule="atLeast"/>
        <w:ind w:left="0"/>
        <w:jc w:val="center"/>
        <w:rPr>
          <w:rFonts w:ascii="Times New Roman" w:hAnsi="Times New Roman" w:cs="Times New Roman"/>
          <w:b/>
          <w:sz w:val="36"/>
          <w:szCs w:val="36"/>
        </w:rPr>
      </w:pPr>
      <w:bookmarkStart w:id="0" w:name="_GoBack"/>
      <w:bookmarkEnd w:id="0"/>
      <w:r w:rsidRPr="00CC01DE">
        <w:rPr>
          <w:rFonts w:ascii="Times New Roman" w:hAnsi="Times New Roman" w:cs="Times New Roman"/>
          <w:sz w:val="36"/>
          <w:szCs w:val="36"/>
        </w:rPr>
        <w:t>SMLOUVA O DÍLO</w:t>
      </w:r>
    </w:p>
    <w:p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rsidR="00DC421E" w:rsidRPr="00472A58" w:rsidRDefault="00DC421E">
      <w:pPr>
        <w:pStyle w:val="cotext"/>
        <w:spacing w:before="60" w:after="60" w:line="320" w:lineRule="atLeast"/>
        <w:ind w:left="0"/>
        <w:rPr>
          <w:rFonts w:ascii="Times New Roman" w:hAnsi="Times New Roman" w:cs="Times New Roman"/>
          <w:b/>
          <w:sz w:val="16"/>
          <w:szCs w:val="16"/>
        </w:rPr>
      </w:pPr>
    </w:p>
    <w:p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000E1E6C">
        <w:rPr>
          <w:b/>
          <w:sz w:val="28"/>
          <w:szCs w:val="28"/>
          <w:u w:val="single"/>
        </w:rPr>
        <w:t xml:space="preserve"> </w:t>
      </w:r>
      <w:r w:rsidRPr="00CC01DE">
        <w:rPr>
          <w:b/>
          <w:sz w:val="28"/>
          <w:szCs w:val="28"/>
          <w:u w:val="single"/>
        </w:rPr>
        <w:t>strany</w:t>
      </w:r>
    </w:p>
    <w:p w:rsidR="00750045" w:rsidRPr="00651A5D" w:rsidRDefault="00B30E69"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Firma</w:t>
      </w:r>
      <w:r w:rsidR="00BE21AF">
        <w:t>:</w:t>
      </w:r>
      <w:r>
        <w:t xml:space="preserve"> Gymnázium Františka Martina Pelcla, Rychnov nad Kněžnou, Hrdinů odboje 36</w:t>
      </w:r>
      <w:r w:rsidR="00BE21AF">
        <w:tab/>
      </w:r>
    </w:p>
    <w:p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00B30E69">
        <w:rPr>
          <w:rFonts w:ascii="Times New Roman" w:hAnsi="Times New Roman" w:cs="Times New Roman"/>
          <w:sz w:val="24"/>
        </w:rPr>
        <w:t xml:space="preserve"> Hrdinů odboje 36, 516 11 Rychnov nad Kněžnou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750045"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00B30E69">
        <w:rPr>
          <w:rFonts w:ascii="Times New Roman" w:hAnsi="Times New Roman" w:cs="Times New Roman"/>
          <w:sz w:val="24"/>
        </w:rPr>
        <w:t xml:space="preserve"> 60884703</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p>
    <w:p w:rsidR="006D22C3" w:rsidRPr="00651A5D" w:rsidRDefault="006D22C3" w:rsidP="006D22C3">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DIČ</w:t>
      </w:r>
      <w:r w:rsidRPr="00651A5D">
        <w:rPr>
          <w:rFonts w:ascii="Times New Roman" w:hAnsi="Times New Roman" w:cs="Times New Roman"/>
          <w:sz w:val="24"/>
        </w:rPr>
        <w:t>:</w:t>
      </w:r>
      <w:r w:rsidR="00B30E69">
        <w:rPr>
          <w:rFonts w:ascii="Times New Roman" w:hAnsi="Times New Roman" w:cs="Times New Roman"/>
          <w:sz w:val="24"/>
        </w:rPr>
        <w:t xml:space="preserve"> CZ60884703</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472A58" w:rsidRDefault="00741170" w:rsidP="00CC01DE">
      <w:pPr>
        <w:pStyle w:val="cotext"/>
        <w:spacing w:before="60" w:after="60" w:line="320" w:lineRule="atLeast"/>
        <w:ind w:left="426"/>
        <w:rPr>
          <w:rFonts w:ascii="Times New Roman" w:hAnsi="Times New Roman" w:cs="Times New Roman"/>
          <w:sz w:val="24"/>
        </w:rPr>
      </w:pPr>
      <w:r w:rsidRPr="000E1E6C">
        <w:rPr>
          <w:rFonts w:ascii="Times New Roman" w:hAnsi="Times New Roman" w:cs="Times New Roman"/>
          <w:sz w:val="24"/>
        </w:rPr>
        <w:t>zastoupen:</w:t>
      </w:r>
      <w:r w:rsidR="00B30E69">
        <w:rPr>
          <w:rFonts w:ascii="Times New Roman" w:hAnsi="Times New Roman" w:cs="Times New Roman"/>
          <w:sz w:val="24"/>
        </w:rPr>
        <w:t xml:space="preserve"> Mgr. Pavlína Školníková, statutární zástupce</w:t>
      </w:r>
      <w:r w:rsidR="00D87AF5">
        <w:rPr>
          <w:rFonts w:ascii="Times New Roman" w:hAnsi="Times New Roman" w:cs="Times New Roman"/>
          <w:sz w:val="24"/>
        </w:rPr>
        <w:tab/>
      </w:r>
    </w:p>
    <w:p w:rsidR="00472A58" w:rsidRDefault="00472A58"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ve věcech smluvních:</w:t>
      </w:r>
      <w:r w:rsidR="00B30E69">
        <w:rPr>
          <w:rFonts w:ascii="Times New Roman" w:hAnsi="Times New Roman" w:cs="Times New Roman"/>
          <w:sz w:val="24"/>
        </w:rPr>
        <w:t xml:space="preserve"> Mgr. Pavlína Školníková, </w:t>
      </w:r>
      <w:hyperlink r:id="rId8" w:history="1">
        <w:r w:rsidR="00B30E69" w:rsidRPr="00232CBA">
          <w:rPr>
            <w:rStyle w:val="Hypertextovodkaz"/>
            <w:rFonts w:ascii="Times New Roman" w:hAnsi="Times New Roman" w:cs="Times New Roman"/>
            <w:sz w:val="24"/>
          </w:rPr>
          <w:t>skolnikova@grk.cz</w:t>
        </w:r>
      </w:hyperlink>
      <w:r w:rsidR="00FE6655">
        <w:rPr>
          <w:rStyle w:val="Hypertextovodkaz"/>
          <w:rFonts w:ascii="Times New Roman" w:hAnsi="Times New Roman" w:cs="Times New Roman"/>
          <w:sz w:val="24"/>
        </w:rPr>
        <w:t>,</w:t>
      </w:r>
      <w:r w:rsidR="00B30E69">
        <w:rPr>
          <w:rFonts w:ascii="Times New Roman" w:hAnsi="Times New Roman" w:cs="Times New Roman"/>
          <w:sz w:val="24"/>
        </w:rPr>
        <w:t xml:space="preserve"> </w:t>
      </w:r>
      <w:r w:rsidR="00FE6655">
        <w:rPr>
          <w:rFonts w:ascii="Times New Roman" w:hAnsi="Times New Roman" w:cs="Times New Roman"/>
          <w:sz w:val="24"/>
        </w:rPr>
        <w:t>733 124 931</w:t>
      </w:r>
    </w:p>
    <w:p w:rsidR="00741170" w:rsidRPr="00651A5D" w:rsidRDefault="00472A58"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ve věcech technických:</w:t>
      </w:r>
      <w:r w:rsidR="00B30E69">
        <w:rPr>
          <w:rFonts w:ascii="Times New Roman" w:hAnsi="Times New Roman" w:cs="Times New Roman"/>
          <w:sz w:val="24"/>
        </w:rPr>
        <w:t xml:space="preserve"> Mgr. Petr Kačírek, </w:t>
      </w:r>
      <w:hyperlink r:id="rId9" w:history="1">
        <w:r w:rsidR="00B30E69" w:rsidRPr="00232CBA">
          <w:rPr>
            <w:rStyle w:val="Hypertextovodkaz"/>
            <w:rFonts w:ascii="Times New Roman" w:hAnsi="Times New Roman" w:cs="Times New Roman"/>
            <w:sz w:val="24"/>
          </w:rPr>
          <w:t>kacirek@grk.cz</w:t>
        </w:r>
      </w:hyperlink>
      <w:r w:rsidR="00FE6655">
        <w:rPr>
          <w:rStyle w:val="Hypertextovodkaz"/>
          <w:rFonts w:ascii="Times New Roman" w:hAnsi="Times New Roman" w:cs="Times New Roman"/>
          <w:sz w:val="24"/>
        </w:rPr>
        <w:t>,</w:t>
      </w:r>
      <w:r w:rsidR="00B30E69">
        <w:rPr>
          <w:rFonts w:ascii="Times New Roman" w:hAnsi="Times New Roman" w:cs="Times New Roman"/>
          <w:sz w:val="24"/>
        </w:rPr>
        <w:t xml:space="preserve"> </w:t>
      </w:r>
      <w:r w:rsidR="00FE6655">
        <w:rPr>
          <w:rFonts w:ascii="Times New Roman" w:hAnsi="Times New Roman" w:cs="Times New Roman"/>
          <w:sz w:val="24"/>
        </w:rPr>
        <w:t>733 124 931</w:t>
      </w:r>
      <w:r w:rsidR="00D87AF5">
        <w:rPr>
          <w:rFonts w:ascii="Times New Roman" w:hAnsi="Times New Roman" w:cs="Times New Roman"/>
          <w:sz w:val="24"/>
        </w:rPr>
        <w:tab/>
      </w:r>
      <w:r w:rsidR="00D87AF5">
        <w:rPr>
          <w:rFonts w:ascii="Times New Roman" w:hAnsi="Times New Roman" w:cs="Times New Roman"/>
          <w:sz w:val="24"/>
        </w:rPr>
        <w:tab/>
      </w:r>
    </w:p>
    <w:p w:rsidR="006D22C3" w:rsidRDefault="00741170"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bankovní spojení:</w:t>
      </w:r>
      <w:r w:rsidR="00B30E69">
        <w:rPr>
          <w:rFonts w:ascii="Times New Roman" w:hAnsi="Times New Roman" w:cs="Times New Roman"/>
          <w:sz w:val="24"/>
        </w:rPr>
        <w:t xml:space="preserve"> Komerční banka, a.s., pobočka Rychnov nad Kněžnou</w:t>
      </w:r>
      <w:r w:rsidR="006D22C3">
        <w:rPr>
          <w:rFonts w:ascii="Times New Roman" w:hAnsi="Times New Roman" w:cs="Times New Roman"/>
          <w:sz w:val="24"/>
        </w:rPr>
        <w:tab/>
      </w:r>
      <w:r w:rsidR="006D22C3">
        <w:rPr>
          <w:rFonts w:ascii="Times New Roman" w:hAnsi="Times New Roman" w:cs="Times New Roman"/>
          <w:sz w:val="24"/>
        </w:rPr>
        <w:tab/>
      </w:r>
    </w:p>
    <w:p w:rsidR="00741170"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číslo účtu</w:t>
      </w:r>
      <w:r w:rsidR="00741170" w:rsidRPr="00651A5D">
        <w:rPr>
          <w:rFonts w:ascii="Times New Roman" w:hAnsi="Times New Roman" w:cs="Times New Roman"/>
          <w:sz w:val="24"/>
        </w:rPr>
        <w:t>:</w:t>
      </w:r>
      <w:r w:rsidR="00B30E69">
        <w:rPr>
          <w:rFonts w:ascii="Times New Roman" w:hAnsi="Times New Roman" w:cs="Times New Roman"/>
          <w:sz w:val="24"/>
        </w:rPr>
        <w:t xml:space="preserve"> </w:t>
      </w:r>
      <w:r w:rsidR="006657BD" w:rsidRPr="006657BD">
        <w:rPr>
          <w:rFonts w:ascii="Times New Roman" w:hAnsi="Times New Roman" w:cs="Times New Roman"/>
          <w:sz w:val="24"/>
        </w:rPr>
        <w:t>78-9355970277/0100</w:t>
      </w:r>
      <w:r w:rsidR="006D22C3">
        <w:rPr>
          <w:rFonts w:ascii="Times New Roman" w:hAnsi="Times New Roman" w:cs="Times New Roman"/>
          <w:sz w:val="24"/>
        </w:rPr>
        <w:tab/>
      </w:r>
    </w:p>
    <w:p w:rsidR="007F3D4D" w:rsidRDefault="007F3D4D" w:rsidP="00472A58">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Objednatel</w:t>
      </w:r>
      <w:r w:rsidRPr="00651A5D">
        <w:rPr>
          <w:rFonts w:ascii="Times New Roman" w:hAnsi="Times New Roman" w:cs="Times New Roman"/>
          <w:sz w:val="24"/>
        </w:rPr>
        <w:t>“)</w:t>
      </w:r>
    </w:p>
    <w:p w:rsidR="00472A58" w:rsidRPr="00472A58" w:rsidRDefault="00472A58" w:rsidP="00472A58">
      <w:pPr>
        <w:pStyle w:val="cotext"/>
        <w:spacing w:after="60" w:line="320" w:lineRule="atLeast"/>
        <w:ind w:left="425"/>
        <w:rPr>
          <w:rFonts w:ascii="Times New Roman" w:hAnsi="Times New Roman" w:cs="Times New Roman"/>
          <w:sz w:val="16"/>
          <w:szCs w:val="16"/>
        </w:rPr>
      </w:pPr>
    </w:p>
    <w:p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rsidR="007F3D4D" w:rsidRPr="00472A58" w:rsidRDefault="007F3D4D">
      <w:pPr>
        <w:pStyle w:val="cotext"/>
        <w:spacing w:before="60" w:after="60" w:line="320" w:lineRule="atLeast"/>
        <w:ind w:left="0"/>
        <w:rPr>
          <w:rFonts w:ascii="Times New Roman" w:hAnsi="Times New Roman" w:cs="Times New Roman"/>
          <w:sz w:val="16"/>
          <w:szCs w:val="16"/>
        </w:rPr>
      </w:pPr>
    </w:p>
    <w:p w:rsidR="00D87AF5" w:rsidRPr="00651A5D" w:rsidRDefault="00D87AF5"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7107B">
        <w:t>(Firma či jméno a příjmení)</w:t>
      </w:r>
      <w:r>
        <w:t>:</w:t>
      </w:r>
      <w:r>
        <w:tab/>
      </w:r>
      <w:r>
        <w:tab/>
      </w:r>
      <w:r w:rsidR="006D22C3" w:rsidRPr="00472A58">
        <w:rPr>
          <w:b/>
        </w:rPr>
        <w:t>ROYAL</w:t>
      </w:r>
      <w:r w:rsidR="000E1E6C" w:rsidRPr="00472A58">
        <w:rPr>
          <w:b/>
        </w:rPr>
        <w:t xml:space="preserve"> </w:t>
      </w:r>
      <w:r w:rsidR="006D22C3" w:rsidRPr="00472A58">
        <w:rPr>
          <w:b/>
        </w:rPr>
        <w:t>TECH s.r.o.</w:t>
      </w:r>
    </w:p>
    <w:p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spellStart"/>
      <w:r w:rsidR="004701EA">
        <w:rPr>
          <w:rFonts w:ascii="Times New Roman" w:hAnsi="Times New Roman" w:cs="Times New Roman"/>
          <w:sz w:val="24"/>
        </w:rPr>
        <w:t>Fáblovka</w:t>
      </w:r>
      <w:proofErr w:type="spellEnd"/>
      <w:r w:rsidR="004701EA">
        <w:rPr>
          <w:rFonts w:ascii="Times New Roman" w:hAnsi="Times New Roman" w:cs="Times New Roman"/>
          <w:sz w:val="24"/>
        </w:rPr>
        <w:t xml:space="preserve"> 404, 533 52 Pardubice</w:t>
      </w:r>
    </w:p>
    <w:p w:rsidR="00D87AF5"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D22C3">
        <w:rPr>
          <w:rFonts w:ascii="Times New Roman" w:hAnsi="Times New Roman" w:cs="Times New Roman"/>
          <w:sz w:val="24"/>
        </w:rPr>
        <w:t>27558657</w:t>
      </w:r>
    </w:p>
    <w:p w:rsidR="006D22C3" w:rsidRPr="00651A5D" w:rsidRDefault="006D22C3" w:rsidP="00D87AF5">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DIČ:</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CZ27558657</w:t>
      </w:r>
    </w:p>
    <w:p w:rsidR="00D87AF5" w:rsidRPr="00651A5D" w:rsidRDefault="00D87AF5" w:rsidP="006D22C3">
      <w:pPr>
        <w:pStyle w:val="cotext"/>
        <w:spacing w:before="60" w:after="60" w:line="320" w:lineRule="atLeast"/>
        <w:ind w:left="426"/>
        <w:jc w:val="left"/>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sidR="006D22C3">
        <w:rPr>
          <w:rFonts w:ascii="Times New Roman" w:hAnsi="Times New Roman" w:cs="Times New Roman"/>
          <w:sz w:val="24"/>
        </w:rPr>
        <w:t>Krajským soudem v Hradci Králové</w:t>
      </w:r>
      <w:r w:rsidR="000E1E6C">
        <w:rPr>
          <w:rFonts w:ascii="Times New Roman" w:hAnsi="Times New Roman" w:cs="Times New Roman"/>
          <w:sz w:val="24"/>
        </w:rPr>
        <w:t xml:space="preserve"> </w:t>
      </w:r>
      <w:r>
        <w:rPr>
          <w:rFonts w:ascii="Times New Roman" w:hAnsi="Times New Roman" w:cs="Times New Roman"/>
          <w:sz w:val="24"/>
        </w:rPr>
        <w:t xml:space="preserve">spisová značka </w:t>
      </w:r>
      <w:r w:rsidR="006D22C3">
        <w:rPr>
          <w:rFonts w:ascii="Times New Roman" w:hAnsi="Times New Roman" w:cs="Times New Roman"/>
          <w:sz w:val="24"/>
        </w:rPr>
        <w:t>C 25966</w:t>
      </w:r>
    </w:p>
    <w:p w:rsidR="00472A58" w:rsidRDefault="00D87AF5" w:rsidP="00472A58">
      <w:pPr>
        <w:pStyle w:val="cotext"/>
        <w:spacing w:before="60" w:after="60" w:line="320" w:lineRule="atLeast"/>
        <w:ind w:left="426"/>
        <w:rPr>
          <w:rStyle w:val="platne"/>
          <w:rFonts w:ascii="Times New Roman" w:hAnsi="Times New Roman" w:cs="Times New Roman"/>
          <w:sz w:val="24"/>
        </w:rPr>
      </w:pPr>
      <w:r w:rsidRPr="006D22C3">
        <w:rPr>
          <w:rFonts w:ascii="Times New Roman" w:hAnsi="Times New Roman" w:cs="Times New Roman"/>
          <w:sz w:val="24"/>
        </w:rPr>
        <w:t>zastoupen/a: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D22C3">
        <w:rPr>
          <w:rStyle w:val="platne"/>
          <w:rFonts w:ascii="Times New Roman" w:hAnsi="Times New Roman" w:cs="Times New Roman"/>
          <w:sz w:val="24"/>
        </w:rPr>
        <w:t>Ing. Františkem Zmekem, jednatelem</w:t>
      </w:r>
      <w:r w:rsidR="00472A58">
        <w:rPr>
          <w:rStyle w:val="platne"/>
          <w:rFonts w:ascii="Times New Roman" w:hAnsi="Times New Roman" w:cs="Times New Roman"/>
          <w:sz w:val="24"/>
        </w:rPr>
        <w:tab/>
      </w:r>
      <w:r w:rsidR="00472A58">
        <w:rPr>
          <w:rStyle w:val="platne"/>
          <w:rFonts w:ascii="Times New Roman" w:hAnsi="Times New Roman" w:cs="Times New Roman"/>
          <w:sz w:val="24"/>
        </w:rPr>
        <w:tab/>
        <w:t xml:space="preserve">     ve věcech smluvních</w:t>
      </w:r>
      <w:r w:rsidR="00472A58">
        <w:rPr>
          <w:rStyle w:val="platne"/>
          <w:rFonts w:ascii="Times New Roman" w:hAnsi="Times New Roman" w:cs="Times New Roman"/>
          <w:sz w:val="24"/>
        </w:rPr>
        <w:tab/>
      </w:r>
      <w:r w:rsidR="00472A58">
        <w:rPr>
          <w:rStyle w:val="platne"/>
          <w:rFonts w:ascii="Times New Roman" w:hAnsi="Times New Roman" w:cs="Times New Roman"/>
          <w:sz w:val="24"/>
        </w:rPr>
        <w:tab/>
      </w:r>
      <w:r w:rsidR="00472A58">
        <w:rPr>
          <w:rStyle w:val="platne"/>
          <w:rFonts w:ascii="Times New Roman" w:hAnsi="Times New Roman" w:cs="Times New Roman"/>
          <w:sz w:val="24"/>
        </w:rPr>
        <w:tab/>
        <w:t xml:space="preserve">Ing. František Zmek, </w:t>
      </w:r>
      <w:hyperlink r:id="rId10" w:history="1">
        <w:r w:rsidR="00472A58" w:rsidRPr="00C2128B">
          <w:rPr>
            <w:rStyle w:val="Hypertextovodkaz"/>
            <w:rFonts w:ascii="Times New Roman" w:hAnsi="Times New Roman" w:cs="Times New Roman"/>
            <w:sz w:val="24"/>
          </w:rPr>
          <w:t>zmek@royaltech.cz</w:t>
        </w:r>
      </w:hyperlink>
      <w:r w:rsidR="00472A58">
        <w:rPr>
          <w:rStyle w:val="platne"/>
          <w:rFonts w:ascii="Times New Roman" w:hAnsi="Times New Roman" w:cs="Times New Roman"/>
          <w:sz w:val="24"/>
        </w:rPr>
        <w:t>, 604 183 738</w:t>
      </w:r>
    </w:p>
    <w:p w:rsidR="00472A58" w:rsidRDefault="00472A58" w:rsidP="00D87AF5">
      <w:pPr>
        <w:pStyle w:val="cotext"/>
        <w:spacing w:before="60" w:after="60" w:line="320" w:lineRule="atLeast"/>
        <w:ind w:left="426"/>
        <w:rPr>
          <w:rStyle w:val="platne"/>
          <w:rFonts w:ascii="Times New Roman" w:hAnsi="Times New Roman" w:cs="Times New Roman"/>
          <w:sz w:val="24"/>
        </w:rPr>
      </w:pPr>
      <w:r>
        <w:rPr>
          <w:rStyle w:val="platne"/>
          <w:rFonts w:ascii="Times New Roman" w:hAnsi="Times New Roman" w:cs="Times New Roman"/>
          <w:sz w:val="24"/>
        </w:rPr>
        <w:t>ve věcech technických</w:t>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t xml:space="preserve">Jiří Skořepa, </w:t>
      </w:r>
      <w:hyperlink r:id="rId11" w:history="1">
        <w:r w:rsidRPr="00C2128B">
          <w:rPr>
            <w:rStyle w:val="Hypertextovodkaz"/>
            <w:rFonts w:ascii="Times New Roman" w:hAnsi="Times New Roman" w:cs="Times New Roman"/>
            <w:sz w:val="24"/>
          </w:rPr>
          <w:t>skorepa@royaltech.cz</w:t>
        </w:r>
      </w:hyperlink>
      <w:r>
        <w:rPr>
          <w:rStyle w:val="platne"/>
          <w:rFonts w:ascii="Times New Roman" w:hAnsi="Times New Roman" w:cs="Times New Roman"/>
          <w:sz w:val="24"/>
        </w:rPr>
        <w:t>, 605 548 318</w:t>
      </w:r>
    </w:p>
    <w:p w:rsidR="00472A58" w:rsidRPr="00651A5D" w:rsidRDefault="00472A58" w:rsidP="00D87AF5">
      <w:pPr>
        <w:pStyle w:val="cotext"/>
        <w:spacing w:before="60" w:after="60" w:line="320" w:lineRule="atLeast"/>
        <w:ind w:left="426"/>
        <w:rPr>
          <w:rFonts w:ascii="Times New Roman" w:hAnsi="Times New Roman" w:cs="Times New Roman"/>
          <w:sz w:val="24"/>
        </w:rPr>
      </w:pP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t>Petr Rakušan 776 776 786</w:t>
      </w:r>
    </w:p>
    <w:p w:rsidR="006D22C3"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bankovní spojení:</w:t>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t>Komerční banka, a.s., pobočka Havlíčkův Brod</w:t>
      </w:r>
    </w:p>
    <w:p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číslo účtu: </w:t>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r>
      <w:r w:rsidR="006D22C3" w:rsidRPr="006D22C3">
        <w:rPr>
          <w:rFonts w:ascii="Times New Roman" w:hAnsi="Times New Roman" w:cs="Times New Roman"/>
          <w:sz w:val="24"/>
        </w:rPr>
        <w:t>43-4361030297/0100</w:t>
      </w:r>
    </w:p>
    <w:p w:rsidR="00767FE5" w:rsidRPr="00651A5D" w:rsidRDefault="00767FE5"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Zhotovitel</w:t>
      </w:r>
      <w:r w:rsidRPr="00651A5D">
        <w:rPr>
          <w:rFonts w:ascii="Times New Roman" w:hAnsi="Times New Roman" w:cs="Times New Roman"/>
          <w:sz w:val="24"/>
        </w:rPr>
        <w:t>“)</w:t>
      </w:r>
    </w:p>
    <w:p w:rsidR="007F3D4D" w:rsidRPr="00472A58" w:rsidRDefault="007F3D4D">
      <w:pPr>
        <w:pStyle w:val="cotext"/>
        <w:spacing w:before="60" w:after="60" w:line="320" w:lineRule="atLeast"/>
        <w:ind w:left="0"/>
        <w:rPr>
          <w:rFonts w:ascii="Times New Roman" w:hAnsi="Times New Roman" w:cs="Times New Roman"/>
          <w:sz w:val="16"/>
          <w:szCs w:val="16"/>
        </w:rPr>
      </w:pPr>
    </w:p>
    <w:p w:rsidR="00BE5326" w:rsidRPr="007D6B9E" w:rsidRDefault="007F3D4D" w:rsidP="007D6B9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0E1E6C">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rsidR="00C04CDD" w:rsidRDefault="00C04CDD" w:rsidP="00821C2B">
      <w:pPr>
        <w:pStyle w:val="cotext"/>
        <w:spacing w:before="60" w:after="60" w:line="320" w:lineRule="atLeast"/>
        <w:ind w:left="0"/>
        <w:rPr>
          <w:rFonts w:ascii="Times New Roman" w:hAnsi="Times New Roman" w:cs="Times New Roman"/>
          <w:sz w:val="24"/>
        </w:rPr>
      </w:pPr>
    </w:p>
    <w:p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rsidR="007F3D4D" w:rsidRPr="00651A5D" w:rsidRDefault="007F3D4D">
      <w:pPr>
        <w:widowControl w:val="0"/>
        <w:numPr>
          <w:ilvl w:val="0"/>
          <w:numId w:val="14"/>
        </w:numPr>
        <w:spacing w:before="60" w:after="60" w:line="320" w:lineRule="atLeast"/>
        <w:ind w:left="993"/>
        <w:jc w:val="both"/>
        <w:rPr>
          <w:sz w:val="24"/>
          <w:szCs w:val="24"/>
          <w:lang w:val="cs-CZ"/>
        </w:rPr>
      </w:pPr>
      <w:proofErr w:type="spellStart"/>
      <w:r w:rsidRPr="00651A5D">
        <w:rPr>
          <w:sz w:val="24"/>
          <w:szCs w:val="24"/>
          <w:lang w:val="cs-CZ"/>
        </w:rPr>
        <w:t>Méněpráce</w:t>
      </w:r>
      <w:proofErr w:type="spellEnd"/>
      <w:r w:rsidRPr="00651A5D">
        <w:rPr>
          <w:sz w:val="24"/>
          <w:szCs w:val="24"/>
          <w:lang w:val="cs-CZ"/>
        </w:rPr>
        <w:t xml:space="preserve"> – práce, dodávky a/nebo služby, které jsou zahrnuté v předmětu díla a jejich cena je zahrnuta ve sjednané Ceně a Strany se na podmínkách jejich vyjmutí z provádění prací dohodly;</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0E1E6C">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000E1E6C">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rsidR="007F3D4D" w:rsidRPr="00651A5D" w:rsidRDefault="007F3D4D" w:rsidP="00CC01DE">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Předmětem Smlouv</w:t>
      </w:r>
      <w:r w:rsidR="00530F77" w:rsidRPr="00651A5D">
        <w:t xml:space="preserve">y </w:t>
      </w:r>
      <w:r w:rsidR="00530F77" w:rsidRPr="00B30E69">
        <w:t>je</w:t>
      </w:r>
      <w:r w:rsidR="00B30E69">
        <w:t xml:space="preserve"> „Rekonstrukce tělocvičny Gymnázia F. M. Pelcla“ </w:t>
      </w:r>
      <w:r w:rsidR="005F1756" w:rsidRPr="00B30E69">
        <w:t>(</w:t>
      </w:r>
      <w:r w:rsidR="005F1756">
        <w:t>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0E1E6C">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0E1E6C">
        <w:t xml:space="preserve"> </w:t>
      </w:r>
      <w:r w:rsidRPr="00651A5D">
        <w:t>a obecně závazných právních předpisů.</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0E1E6C">
        <w:t xml:space="preserve"> od o</w:t>
      </w:r>
      <w:r w:rsidR="007B6F71" w:rsidRPr="00651A5D">
        <w:t>bjednatele</w:t>
      </w:r>
      <w:r w:rsidR="000E1E6C">
        <w:t xml:space="preserve"> m</w:t>
      </w:r>
      <w:r w:rsidR="005F1756">
        <w:t>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w:t>
      </w:r>
      <w:r w:rsidRPr="00651A5D">
        <w:lastRenderedPageBreak/>
        <w:t xml:space="preserve">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966CEF">
        <w:t xml:space="preserve"> </w:t>
      </w:r>
      <w:r w:rsidR="00C11809">
        <w:t>s</w:t>
      </w:r>
      <w:r w:rsidRPr="00651A5D">
        <w:t xml:space="preserve">ubdodavateli na straně jedné a Objednatelem na straně druhé. </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rsidR="007F3D4D" w:rsidRPr="00333132"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333132">
        <w:t>Zhotovitel potvrzuje, že uzavřel tuto Smlouvu na základě údajů, informací a dat vztahujících se k Dílu předaných mu Objednatelem a informací, které</w:t>
      </w:r>
      <w:r w:rsidR="007B6F71" w:rsidRPr="00333132">
        <w:t xml:space="preserve"> mohl získat inspekcí Místa plnění</w:t>
      </w:r>
    </w:p>
    <w:p w:rsidR="007F3D4D" w:rsidRPr="00333132"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333132">
        <w:t>Nehledě na odchylná ustanovení této Smlouvy, v souladu s</w:t>
      </w:r>
      <w:r w:rsidR="00AD06F0" w:rsidRPr="00333132">
        <w:t> </w:t>
      </w:r>
      <w:proofErr w:type="spellStart"/>
      <w:r w:rsidR="00AD06F0" w:rsidRPr="00333132">
        <w:t>ust</w:t>
      </w:r>
      <w:proofErr w:type="spellEnd"/>
      <w:r w:rsidR="00AD06F0" w:rsidRPr="00333132">
        <w:t>.</w:t>
      </w:r>
      <w:r w:rsidRPr="00333132">
        <w:t xml:space="preserve"> § </w:t>
      </w:r>
      <w:r w:rsidR="00741170" w:rsidRPr="00333132">
        <w:t>2594 Občanského</w:t>
      </w:r>
      <w:r w:rsidRPr="00333132">
        <w:t xml:space="preserve"> zákoníku</w:t>
      </w:r>
      <w:r w:rsidR="00AD06F0" w:rsidRPr="00333132">
        <w:t>, není</w:t>
      </w:r>
      <w:r w:rsidRPr="00333132">
        <w:t xml:space="preserve"> Zhotovitel odpovědný za následky</w:t>
      </w:r>
      <w:r w:rsidR="0061233E" w:rsidRPr="00333132">
        <w:t xml:space="preserve"> vyplývající</w:t>
      </w:r>
      <w:r w:rsidR="00741170" w:rsidRPr="00333132">
        <w:t xml:space="preserve"> z nevhodného příkazu nebo věci, které</w:t>
      </w:r>
      <w:r w:rsidRPr="00333132">
        <w:t xml:space="preserve"> mu byly předány Objednatelem nebo subjektem oprávněným jednat jménem Objednatele za předpokladu, že</w:t>
      </w:r>
    </w:p>
    <w:p w:rsidR="007F3D4D" w:rsidRPr="00333132"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333132">
        <w:rPr>
          <w:sz w:val="24"/>
          <w:szCs w:val="24"/>
          <w:lang w:val="cs-CZ"/>
        </w:rPr>
        <w:t>u</w:t>
      </w:r>
      <w:r w:rsidR="007F3D4D" w:rsidRPr="00333132">
        <w:rPr>
          <w:sz w:val="24"/>
          <w:szCs w:val="24"/>
          <w:lang w:val="cs-CZ"/>
        </w:rPr>
        <w:t>pozornil</w:t>
      </w:r>
      <w:r w:rsidR="00741170" w:rsidRPr="00333132">
        <w:rPr>
          <w:sz w:val="24"/>
          <w:szCs w:val="24"/>
          <w:lang w:val="cs-CZ"/>
        </w:rPr>
        <w:t xml:space="preserve"> písemně</w:t>
      </w:r>
      <w:r w:rsidR="007F3D4D" w:rsidRPr="00333132">
        <w:rPr>
          <w:sz w:val="24"/>
          <w:szCs w:val="24"/>
          <w:lang w:val="cs-CZ"/>
        </w:rPr>
        <w:t xml:space="preserve"> Objednatele prokazatelným způsobem bez zbytečného</w:t>
      </w:r>
      <w:r w:rsidR="00741170" w:rsidRPr="00333132">
        <w:rPr>
          <w:sz w:val="24"/>
          <w:szCs w:val="24"/>
          <w:lang w:val="cs-CZ"/>
        </w:rPr>
        <w:t xml:space="preserve"> odkladu na nevhodnost takového příkazu nebo věci a</w:t>
      </w:r>
      <w:r w:rsidR="007F3D4D" w:rsidRPr="00333132">
        <w:rPr>
          <w:sz w:val="24"/>
          <w:szCs w:val="24"/>
          <w:lang w:val="cs-CZ"/>
        </w:rPr>
        <w:t> Objednatel nadále trval na jejich provedení</w:t>
      </w:r>
      <w:r w:rsidR="00606587" w:rsidRPr="00333132">
        <w:rPr>
          <w:sz w:val="24"/>
          <w:szCs w:val="24"/>
          <w:lang w:val="cs-CZ"/>
        </w:rPr>
        <w:t xml:space="preserve"> či užití</w:t>
      </w:r>
      <w:r w:rsidR="007F3D4D" w:rsidRPr="00333132">
        <w:rPr>
          <w:sz w:val="24"/>
          <w:szCs w:val="24"/>
          <w:lang w:val="cs-CZ"/>
        </w:rPr>
        <w:t>, nebo</w:t>
      </w:r>
    </w:p>
    <w:p w:rsidR="00741170" w:rsidRPr="00333132"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333132">
        <w:rPr>
          <w:sz w:val="24"/>
          <w:szCs w:val="24"/>
          <w:lang w:val="cs-CZ" w:eastAsia="en-US"/>
        </w:rPr>
        <w:t>Z</w:t>
      </w:r>
      <w:r w:rsidR="007F3D4D" w:rsidRPr="00333132">
        <w:rPr>
          <w:sz w:val="24"/>
          <w:szCs w:val="24"/>
          <w:lang w:val="cs-CZ" w:eastAsia="en-US"/>
        </w:rPr>
        <w:t xml:space="preserve">hotovitel s vynaložením odborné péče nesprávnost a neúplnost zjistit nemohl. </w:t>
      </w:r>
      <w:r w:rsidR="007F3D4D" w:rsidRPr="00333132">
        <w:rPr>
          <w:sz w:val="24"/>
          <w:szCs w:val="24"/>
          <w:lang w:val="cs-CZ"/>
        </w:rPr>
        <w:t xml:space="preserve">Zhotovitel není v tomto případě odpovědný za případné škody na Díle, dosažení </w:t>
      </w:r>
      <w:r w:rsidR="00C11809" w:rsidRPr="00333132">
        <w:rPr>
          <w:sz w:val="24"/>
          <w:szCs w:val="24"/>
          <w:lang w:val="cs-CZ"/>
        </w:rPr>
        <w:t>požadované kvality Díla</w:t>
      </w:r>
      <w:r w:rsidR="007F3D4D" w:rsidRPr="00333132">
        <w:rPr>
          <w:sz w:val="24"/>
          <w:szCs w:val="24"/>
          <w:lang w:val="cs-CZ"/>
        </w:rPr>
        <w:t xml:space="preserve"> a termínů plnění Díla v době realizace Smlouvy.</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p>
    <w:p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r w:rsidR="00131EF9">
        <w:t xml:space="preserve">Zábor na staveništi, staveniště samotné a podmínky Zhotovitele budou specifikovány v předávacím protokolu staveniště (předpokládá se odstavení provozu celého objektu pro potřeby realizace po dobu celé realizace, </w:t>
      </w:r>
      <w:r w:rsidR="00131EF9">
        <w:lastRenderedPageBreak/>
        <w:t>dále předání klíčů od objektu, napojení na energie</w:t>
      </w:r>
      <w:r w:rsidR="00333132">
        <w:t>, a další.</w:t>
      </w:r>
      <w:r w:rsidR="00131EF9">
        <w:t>)</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966CEF">
        <w:t xml:space="preserve">na </w:t>
      </w:r>
      <w:r w:rsidR="00477F24">
        <w:t>tělocvičně Gymnázia F. M. Pecla, Rychnov nad Kněžnou</w:t>
      </w:r>
      <w:r w:rsidRPr="00651A5D">
        <w:t xml:space="preserve"> (dále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w:t>
      </w:r>
      <w:r w:rsidR="00966CEF">
        <w:t>p</w:t>
      </w:r>
      <w:r w:rsidR="000E1E6C">
        <w:t xml:space="preserve">ředáním staveniště </w:t>
      </w:r>
      <w:r w:rsidR="00477F24">
        <w:t xml:space="preserve">po schválení dotace NSA </w:t>
      </w:r>
      <w:r w:rsidRPr="00651A5D">
        <w:t>a předmět Díla</w:t>
      </w:r>
      <w:r w:rsidR="0053363C" w:rsidRPr="00651A5D">
        <w:t xml:space="preserve"> bude dokončen</w:t>
      </w:r>
      <w:r w:rsidR="005F1756">
        <w:t xml:space="preserve"> a předán</w:t>
      </w:r>
      <w:r w:rsidR="0053363C" w:rsidRPr="00651A5D">
        <w:t xml:space="preserve"> nejpozději </w:t>
      </w:r>
      <w:r w:rsidR="00477F24">
        <w:t>do 31. 12. 202</w:t>
      </w:r>
      <w:r w:rsidR="009953C2">
        <w:t>5</w:t>
      </w:r>
      <w:r w:rsidR="00477F24">
        <w:t xml:space="preserve"> </w:t>
      </w:r>
      <w:r w:rsidRPr="00651A5D">
        <w:t>(dále jen „</w:t>
      </w:r>
      <w:r w:rsidRPr="00072D31">
        <w:rPr>
          <w:b/>
        </w:rPr>
        <w:t>Termín plnění</w:t>
      </w:r>
      <w:r w:rsidRPr="00651A5D">
        <w:t>“).</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Cena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bez jakýchkoliv vad </w:t>
      </w:r>
      <w:r w:rsidR="00347324">
        <w:t xml:space="preserve">Zhotovitelem Objednateli </w:t>
      </w:r>
      <w:r w:rsidRPr="00651A5D">
        <w:t xml:space="preserve">činí podle dohody Stran této Smlouvy částku </w:t>
      </w:r>
      <w:r w:rsidR="000B3F65">
        <w:t>2.</w:t>
      </w:r>
      <w:r w:rsidR="00436BE0">
        <w:t>178</w:t>
      </w:r>
      <w:r w:rsidR="000B3F65">
        <w:t>.</w:t>
      </w:r>
      <w:r w:rsidR="00436BE0">
        <w:t>108</w:t>
      </w:r>
      <w:r w:rsidR="000B3F65">
        <w:t>,</w:t>
      </w:r>
      <w:r w:rsidR="00436BE0">
        <w:t>60</w:t>
      </w:r>
      <w:r w:rsidR="000B3F65">
        <w:t xml:space="preserve"> </w:t>
      </w:r>
      <w:r w:rsidRPr="00651A5D">
        <w:t>(slovy:</w:t>
      </w:r>
      <w:r w:rsidR="002719C5">
        <w:t xml:space="preserve"> </w:t>
      </w:r>
      <w:proofErr w:type="spellStart"/>
      <w:r w:rsidR="002719C5">
        <w:t>dvamilionystosedmdesátosmtisícstoosmkorun</w:t>
      </w:r>
      <w:proofErr w:type="spellEnd"/>
      <w:r w:rsidR="002719C5">
        <w:t xml:space="preserve">/60) </w:t>
      </w:r>
      <w:r w:rsidRPr="00651A5D">
        <w:t>bez DPH</w:t>
      </w:r>
      <w:r w:rsidR="00966CEF">
        <w:t>. K této ceně bude účtováno DPH 21%</w:t>
      </w:r>
      <w:r w:rsidR="00212F6F">
        <w:t xml:space="preserve"> ve výši</w:t>
      </w:r>
      <w:r w:rsidR="00436BE0">
        <w:t xml:space="preserve"> 457.402,81 </w:t>
      </w:r>
      <w:r w:rsidR="00212F6F">
        <w:t xml:space="preserve">Kč. Celková cena vč. DPH tudíž činí </w:t>
      </w:r>
      <w:r w:rsidR="00436BE0">
        <w:t>2.635.511,41 K</w:t>
      </w:r>
      <w:r w:rsidR="00212F6F">
        <w:t>č</w:t>
      </w:r>
      <w:r w:rsidRPr="00651A5D">
        <w:t xml:space="preserve"> (dále jen „</w:t>
      </w:r>
      <w:r w:rsidRPr="00072D31">
        <w:rPr>
          <w:b/>
        </w:rPr>
        <w:t>Cena Díla</w:t>
      </w:r>
      <w:r w:rsidR="00966CEF">
        <w:t>“)</w:t>
      </w:r>
      <w:r w:rsidR="00212F6F">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Cena Díla je cenou pevnou a konečnou, kterou lze měnit pouze písemnou dohodou obou Smluvních stran.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Cena díla bude uhrazena Objednatelem Zhotoviteli na základě Zhotovitelem vystavené faktury, která bude doručena na adresu sídla Objednatele. Zhotovitel je oprávněn takovou fakturu vystavit až po řádném protokolárním předání Díla dle této Smlouvy.</w:t>
      </w:r>
    </w:p>
    <w:p w:rsidR="000E1E6C" w:rsidRDefault="000E1E6C" w:rsidP="000E1E6C">
      <w:pPr>
        <w:pStyle w:val="Normlnweb"/>
        <w:widowControl w:val="0"/>
        <w:shd w:val="clear" w:color="auto" w:fill="FFFFFF"/>
        <w:tabs>
          <w:tab w:val="left" w:pos="142"/>
        </w:tabs>
        <w:spacing w:before="60" w:beforeAutospacing="0" w:after="60" w:afterAutospacing="0" w:line="276" w:lineRule="auto"/>
        <w:ind w:left="426"/>
        <w:jc w:val="both"/>
      </w:pPr>
    </w:p>
    <w:p w:rsidR="00204B15" w:rsidRPr="000E1E6C" w:rsidRDefault="00204B15" w:rsidP="00204B15">
      <w:pPr>
        <w:pStyle w:val="Normlnweb"/>
        <w:widowControl w:val="0"/>
        <w:shd w:val="clear" w:color="auto" w:fill="FFFFFF"/>
        <w:tabs>
          <w:tab w:val="left" w:pos="142"/>
        </w:tabs>
        <w:spacing w:before="60" w:beforeAutospacing="0" w:after="60" w:afterAutospacing="0" w:line="276" w:lineRule="auto"/>
        <w:ind w:left="426"/>
        <w:jc w:val="both"/>
        <w:rPr>
          <w:b/>
        </w:rPr>
      </w:pPr>
      <w:r w:rsidRPr="00094254">
        <w:rPr>
          <w:b/>
        </w:rPr>
        <w:t>Na tuto zakázku byly domluveny tyto platební podmínky:</w:t>
      </w:r>
    </w:p>
    <w:p w:rsidR="00204B15" w:rsidRPr="000E1E6C" w:rsidRDefault="00E43CD4" w:rsidP="00204B15">
      <w:pPr>
        <w:pStyle w:val="Normlnweb"/>
        <w:widowControl w:val="0"/>
        <w:numPr>
          <w:ilvl w:val="0"/>
          <w:numId w:val="43"/>
        </w:numPr>
        <w:shd w:val="clear" w:color="auto" w:fill="FFFFFF"/>
        <w:tabs>
          <w:tab w:val="left" w:pos="142"/>
        </w:tabs>
        <w:spacing w:before="60" w:beforeAutospacing="0" w:after="60" w:afterAutospacing="0" w:line="276" w:lineRule="auto"/>
        <w:jc w:val="both"/>
      </w:pPr>
      <w:r>
        <w:t>Faktura</w:t>
      </w:r>
      <w:r w:rsidR="00204B15" w:rsidRPr="000E1E6C">
        <w:t xml:space="preserve"> </w:t>
      </w:r>
      <w:r>
        <w:t>bude na tuto zakázku vystavena jedna</w:t>
      </w:r>
      <w:r w:rsidR="000E1E6C" w:rsidRPr="000E1E6C">
        <w:t>,</w:t>
      </w:r>
      <w:r>
        <w:t xml:space="preserve"> </w:t>
      </w:r>
      <w:r w:rsidR="00204B15" w:rsidRPr="000E1E6C">
        <w:t>po dokončení díla.</w:t>
      </w:r>
    </w:p>
    <w:p w:rsidR="00204B15" w:rsidRPr="000E1E6C" w:rsidRDefault="00204B15" w:rsidP="00204B15">
      <w:pPr>
        <w:pStyle w:val="Normlnweb"/>
        <w:widowControl w:val="0"/>
        <w:numPr>
          <w:ilvl w:val="0"/>
          <w:numId w:val="43"/>
        </w:numPr>
        <w:shd w:val="clear" w:color="auto" w:fill="FFFFFF"/>
        <w:tabs>
          <w:tab w:val="left" w:pos="142"/>
        </w:tabs>
        <w:spacing w:before="60" w:beforeAutospacing="0" w:after="60" w:afterAutospacing="0" w:line="276" w:lineRule="auto"/>
        <w:jc w:val="both"/>
      </w:pPr>
      <w:r w:rsidRPr="000E1E6C">
        <w:t xml:space="preserve">Splatnost první faktury bude na částku </w:t>
      </w:r>
      <w:r w:rsidR="00436BE0">
        <w:t xml:space="preserve">2.635.511,41 </w:t>
      </w:r>
      <w:r w:rsidR="00213050" w:rsidRPr="000E1E6C">
        <w:t>Kč vč. DPH se splatností 30 dní</w:t>
      </w:r>
    </w:p>
    <w:p w:rsidR="00472A58" w:rsidRDefault="00472A58" w:rsidP="00472A58">
      <w:pPr>
        <w:pStyle w:val="Normlnweb"/>
        <w:widowControl w:val="0"/>
        <w:shd w:val="clear" w:color="auto" w:fill="FFFFFF"/>
        <w:tabs>
          <w:tab w:val="left" w:pos="142"/>
        </w:tabs>
        <w:spacing w:before="60" w:beforeAutospacing="0" w:after="60" w:afterAutospacing="0" w:line="276" w:lineRule="auto"/>
        <w:ind w:left="426"/>
        <w:jc w:val="both"/>
      </w:pPr>
    </w:p>
    <w:p w:rsidR="000E1E6C" w:rsidRPr="000E1E6C" w:rsidRDefault="000E1E6C" w:rsidP="000E1E6C">
      <w:pPr>
        <w:pStyle w:val="Normlnweb"/>
        <w:widowControl w:val="0"/>
        <w:shd w:val="clear" w:color="auto" w:fill="FFFFFF"/>
        <w:tabs>
          <w:tab w:val="left" w:pos="142"/>
        </w:tabs>
        <w:spacing w:before="60" w:beforeAutospacing="0" w:after="60" w:afterAutospacing="0" w:line="276" w:lineRule="auto"/>
        <w:ind w:left="786"/>
        <w:jc w:val="both"/>
      </w:pP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w:t>
      </w:r>
      <w:r w:rsidRPr="00651A5D">
        <w:lastRenderedPageBreak/>
        <w:t>z přidané hodnoty, v</w:t>
      </w:r>
      <w:r w:rsidR="00347324">
        <w:t>e znění pozdějších předpisů</w:t>
      </w:r>
      <w:r w:rsidRPr="00651A5D">
        <w:t>, obsahovat i odkaz na dokument, kterým byly vícepráce sjednány a odsouhlaseny.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se zavazuje na své náklady </w:t>
      </w:r>
      <w:r w:rsidRPr="00583612">
        <w:t>uzavřít pojištění</w:t>
      </w:r>
      <w:r w:rsidR="000E1E6C">
        <w:t xml:space="preserve"> </w:t>
      </w:r>
      <w:r w:rsidRPr="00583612">
        <w:t>pro</w:t>
      </w:r>
      <w:r w:rsidRPr="00651A5D">
        <w:t xml:space="preserve"> veškerá rizika vyplývající z provádění Díla dle této Smlouvy. </w:t>
      </w:r>
    </w:p>
    <w:p w:rsidR="00F0736A" w:rsidRPr="00651A5D" w:rsidRDefault="007F3D4D" w:rsidP="00583612">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Jakékoliv úpravy nebo dodatky k takovým pojistným smlouvám budou podléhat předchozímu písemnému souhlasu Objednatele. </w:t>
      </w:r>
    </w:p>
    <w:p w:rsidR="00B27CAB" w:rsidRPr="003A20CB" w:rsidRDefault="00B27CAB" w:rsidP="00583612">
      <w:pPr>
        <w:pStyle w:val="Nadpis1"/>
        <w:keepNext w:val="0"/>
        <w:widowControl w:val="0"/>
        <w:numPr>
          <w:ilvl w:val="0"/>
          <w:numId w:val="0"/>
        </w:numPr>
        <w:spacing w:before="60" w:line="320" w:lineRule="atLeast"/>
        <w:ind w:firstLine="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Do dne předání zcela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w:t>
      </w:r>
      <w:r w:rsidR="00D0372A">
        <w:t>Objednatel</w:t>
      </w:r>
      <w:r w:rsidRPr="00651A5D">
        <w:t xml:space="preserve"> je povinen zajistit takové podmínky při skladování</w:t>
      </w:r>
      <w:r w:rsidR="00D0372A">
        <w:t xml:space="preserve"> Zhotoviteli</w:t>
      </w:r>
      <w:r w:rsidRPr="00651A5D">
        <w:t xml:space="preserve">, aby dostál své povinnosti předcházení škodám.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000E1E6C">
        <w:t xml:space="preserve"> </w:t>
      </w:r>
      <w:r w:rsidR="00131EF9">
        <w:t>zákona</w:t>
      </w:r>
      <w:r w:rsidRPr="00651A5D">
        <w:t>.</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472A58">
        <w:t>0,05</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472A58">
        <w:t>0,05</w:t>
      </w:r>
      <w:r w:rsidR="00131EF9">
        <w:t>% z Ceny Díla</w:t>
      </w:r>
      <w:r w:rsidR="000E1E6C">
        <w:t xml:space="preserve"> </w:t>
      </w:r>
      <w:r>
        <w:t xml:space="preserve">bez DPH </w:t>
      </w:r>
      <w:r w:rsidRPr="00651A5D">
        <w:t xml:space="preserve">za každý i započatý den prodlení. Tato smluvní pokuta nevylučuje </w:t>
      </w:r>
      <w:r>
        <w:t>nárok</w:t>
      </w:r>
      <w:r w:rsidR="000E1E6C">
        <w:t xml:space="preserve"> </w:t>
      </w:r>
      <w:r>
        <w:t>Zhotovitele</w:t>
      </w:r>
      <w:r w:rsidRPr="00651A5D">
        <w:t xml:space="preserve"> na náhradu škody z takového prodlení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S</w:t>
      </w:r>
      <w:r w:rsidR="0053363C" w:rsidRPr="00651A5D">
        <w:t xml:space="preserve">mluvní pokuty dle této Smlouvy </w:t>
      </w:r>
      <w:r w:rsidRPr="00651A5D">
        <w:t xml:space="preserve">jsou splatné do </w:t>
      </w:r>
      <w:r w:rsidR="00D0372A">
        <w:t>14</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rsidR="007F3D4D" w:rsidRPr="00651A5D" w:rsidRDefault="0021305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 </w:t>
      </w:r>
      <w:r w:rsidR="007F3D4D" w:rsidRPr="00651A5D">
        <w:t>Objednatel může odstoupit od této Smlouvy v případě, pokud</w:t>
      </w:r>
    </w:p>
    <w:p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 xml:space="preserve">Zhotovitel je v prodlení s termínem plnění </w:t>
      </w:r>
      <w:r w:rsidR="00213050">
        <w:rPr>
          <w:rFonts w:ascii="Times New Roman" w:hAnsi="Times New Roman" w:cs="Times New Roman"/>
          <w:sz w:val="24"/>
        </w:rPr>
        <w:t>Díla po dobu delší než 10</w:t>
      </w:r>
      <w:r w:rsidRPr="00CC01DE">
        <w:rPr>
          <w:rFonts w:ascii="Times New Roman" w:hAnsi="Times New Roman" w:cs="Times New Roman"/>
          <w:sz w:val="24"/>
        </w:rPr>
        <w:t xml:space="preserve"> dnů.</w:t>
      </w:r>
    </w:p>
    <w:p w:rsidR="007F3D4D" w:rsidRPr="00651A5D" w:rsidRDefault="0021305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 </w:t>
      </w:r>
      <w:r w:rsidR="007F3D4D" w:rsidRPr="00651A5D">
        <w:t xml:space="preserve">Odstoupení od Smlouvy Objednatelem nevylučuje právo Objednatele na náhradu škody vzniklé porušením povinností Zhotovitele dle podmínek této Smlouvy. </w:t>
      </w:r>
    </w:p>
    <w:p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provedením a předáním Objednateli v Místě plnění.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není povinen převzít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1" w:name="OLE_LINK2"/>
      <w:bookmarkStart w:id="2" w:name="OLE_LINK3"/>
      <w:r w:rsidRPr="00651A5D">
        <w:t xml:space="preserve">V případě, že se na předmětu Díla v průběhu záruční lhůty projeví vada, oznámí tuto skutečnost </w:t>
      </w:r>
      <w:r w:rsidRPr="00651A5D">
        <w:lastRenderedPageBreak/>
        <w:t>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w:t>
      </w:r>
      <w:r w:rsidR="002E7A3E">
        <w:t xml:space="preserve">dílo </w:t>
      </w:r>
      <w:r w:rsidRPr="00651A5D">
        <w:t xml:space="preserve">po dobu </w:t>
      </w:r>
      <w:r w:rsidR="0072207C">
        <w:t>60</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p>
    <w:bookmarkEnd w:id="1"/>
    <w:bookmarkEnd w:id="2"/>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skladovatel a to od doby převzetí.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Za vyšší moc se považuje překážka, jež nastala nezávisle na vůli povinné strany a brání jí ve splnění její povinnosti, jestliže nelze rozumně předpokládat, že by povinná Strana tuto překážku </w:t>
      </w:r>
      <w:r w:rsidRPr="00651A5D">
        <w:lastRenderedPageBreak/>
        <w:t>nebo její následky odvrátila nebo překonala, a dále, že by v době vzniku závazku tuto překážku předvídala, a zahrnuje zejména:</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rsidR="007F3D4D" w:rsidRPr="00651A5D" w:rsidRDefault="00472A58"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Pr>
          <w:i/>
          <w:sz w:val="24"/>
          <w:szCs w:val="24"/>
          <w:lang w:val="cs-CZ" w:eastAsia="en-US"/>
        </w:rPr>
        <w:t>přírodní katastrofu,  fyzickou pohromu nebo pandemii.</w:t>
      </w:r>
    </w:p>
    <w:p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rsidR="00BE5326" w:rsidRPr="003A20CB"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BE5326" w:rsidRPr="00651A5D"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677E79" w:rsidRPr="00651A5D">
        <w:t xml:space="preserve">e </w:t>
      </w:r>
      <w:r w:rsidR="003839CE">
        <w:t>dvou</w:t>
      </w:r>
      <w:r w:rsidRPr="00651A5D">
        <w:t xml:space="preserve"> vyhotoveních s platností originálu. Každá Smluvní strana obdrží </w:t>
      </w:r>
      <w:r w:rsidR="00677E79" w:rsidRPr="00651A5D">
        <w:t>jedno (1</w:t>
      </w:r>
      <w:r w:rsidRPr="00651A5D">
        <w:t>) vyhotovení této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lastRenderedPageBreak/>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rsidR="007F3D4D" w:rsidRPr="00467ADF" w:rsidRDefault="007F3D4D">
      <w:pPr>
        <w:pStyle w:val="cotext"/>
        <w:spacing w:before="60" w:after="60" w:line="320" w:lineRule="atLeast"/>
        <w:rPr>
          <w:rFonts w:ascii="Times New Roman" w:hAnsi="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213050"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Za Objednatele v</w:t>
      </w:r>
      <w:r w:rsidR="00477F24">
        <w:rPr>
          <w:rFonts w:ascii="Times New Roman" w:hAnsi="Times New Roman" w:cs="Times New Roman"/>
          <w:sz w:val="24"/>
        </w:rPr>
        <w:t> Rychnově nad Kněžnou dne 30. 10. 2023</w:t>
      </w:r>
    </w:p>
    <w:p w:rsidR="007F3D4D" w:rsidRDefault="007F3D4D" w:rsidP="00CC01DE">
      <w:pPr>
        <w:pStyle w:val="cotext"/>
        <w:spacing w:before="60" w:after="60" w:line="320" w:lineRule="atLeast"/>
        <w:ind w:left="415"/>
        <w:rPr>
          <w:rStyle w:val="platne"/>
          <w:rFonts w:ascii="Times New Roman" w:hAnsi="Times New Roman" w:cs="Times New Roman"/>
          <w:sz w:val="24"/>
        </w:rPr>
      </w:pPr>
    </w:p>
    <w:p w:rsidR="005F1756" w:rsidRPr="00651A5D" w:rsidRDefault="005F1756"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00477F24">
        <w:rPr>
          <w:rFonts w:ascii="Times New Roman" w:hAnsi="Times New Roman" w:cs="Times New Roman"/>
          <w:sz w:val="24"/>
        </w:rPr>
        <w:t xml:space="preserve"> Mgr. Pavlína Školníková</w:t>
      </w:r>
      <w:r w:rsidRPr="00651A5D">
        <w:rPr>
          <w:rFonts w:ascii="Times New Roman" w:hAnsi="Times New Roman" w:cs="Times New Roman"/>
          <w:sz w:val="24"/>
        </w:rPr>
        <w:tab/>
      </w: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77F24">
        <w:rPr>
          <w:rFonts w:ascii="Times New Roman" w:hAnsi="Times New Roman" w:cs="Times New Roman"/>
          <w:sz w:val="24"/>
        </w:rPr>
        <w:t>statutární zástupce</w:t>
      </w:r>
      <w:r w:rsidR="004D50DB" w:rsidRPr="00651A5D">
        <w:rPr>
          <w:rFonts w:ascii="Times New Roman" w:hAnsi="Times New Roman" w:cs="Times New Roman"/>
          <w:sz w:val="24"/>
        </w:rPr>
        <w:tab/>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Zhotovitele:</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00472A58">
        <w:rPr>
          <w:rFonts w:ascii="Times New Roman" w:hAnsi="Times New Roman" w:cs="Times New Roman"/>
          <w:sz w:val="24"/>
        </w:rPr>
        <w:t>Ing. František Zmek</w:t>
      </w:r>
      <w:r w:rsidRPr="00651A5D">
        <w:rPr>
          <w:rFonts w:ascii="Times New Roman" w:hAnsi="Times New Roman" w:cs="Times New Roman"/>
          <w:sz w:val="24"/>
        </w:rPr>
        <w:tab/>
      </w:r>
    </w:p>
    <w:p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472A58">
        <w:rPr>
          <w:rFonts w:ascii="Times New Roman" w:hAnsi="Times New Roman" w:cs="Times New Roman"/>
          <w:sz w:val="24"/>
        </w:rPr>
        <w:t>jednatel ROYAL TECH s.r.o.</w:t>
      </w:r>
    </w:p>
    <w:p w:rsidR="007F3D4D" w:rsidRPr="00651A5D" w:rsidRDefault="007F3D4D" w:rsidP="00CC01DE">
      <w:pPr>
        <w:pStyle w:val="cotext"/>
        <w:spacing w:before="60" w:after="60" w:line="320" w:lineRule="atLeast"/>
        <w:ind w:left="415"/>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SEZNAM PŘÍLOH</w:t>
      </w:r>
    </w:p>
    <w:p w:rsidR="00CC01DE" w:rsidRDefault="003839CE" w:rsidP="003839CE">
      <w:pPr>
        <w:pStyle w:val="Normlnweb"/>
        <w:shd w:val="clear" w:color="auto" w:fill="FFFFFF"/>
        <w:spacing w:before="60" w:beforeAutospacing="0" w:after="60" w:afterAutospacing="0" w:line="276" w:lineRule="auto"/>
        <w:jc w:val="both"/>
        <w:rPr>
          <w:b/>
          <w:color w:val="365F91" w:themeColor="accent1" w:themeShade="BF"/>
        </w:rPr>
      </w:pPr>
      <w:r>
        <w:rPr>
          <w:b/>
          <w:color w:val="365F91" w:themeColor="accent1" w:themeShade="BF"/>
        </w:rPr>
        <w:t>: příloha č. I – položkový rozpočet</w:t>
      </w: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p w:rsidR="00773080" w:rsidRDefault="00773080" w:rsidP="003839CE">
      <w:pPr>
        <w:pStyle w:val="Normlnweb"/>
        <w:shd w:val="clear" w:color="auto" w:fill="FFFFFF"/>
        <w:spacing w:before="60" w:beforeAutospacing="0" w:after="60" w:afterAutospacing="0" w:line="276" w:lineRule="auto"/>
        <w:jc w:val="both"/>
        <w:rPr>
          <w:b/>
          <w:color w:val="365F91" w:themeColor="accent1" w:themeShade="BF"/>
        </w:rPr>
      </w:pPr>
    </w:p>
    <w:tbl>
      <w:tblPr>
        <w:tblW w:w="8820" w:type="dxa"/>
        <w:jc w:val="center"/>
        <w:tblCellMar>
          <w:left w:w="70" w:type="dxa"/>
          <w:right w:w="70" w:type="dxa"/>
        </w:tblCellMar>
        <w:tblLook w:val="04A0" w:firstRow="1" w:lastRow="0" w:firstColumn="1" w:lastColumn="0" w:noHBand="0" w:noVBand="1"/>
      </w:tblPr>
      <w:tblGrid>
        <w:gridCol w:w="532"/>
        <w:gridCol w:w="3412"/>
        <w:gridCol w:w="562"/>
        <w:gridCol w:w="1183"/>
        <w:gridCol w:w="1227"/>
        <w:gridCol w:w="1929"/>
      </w:tblGrid>
      <w:tr w:rsidR="00773080" w:rsidRPr="00773080" w:rsidTr="00773080">
        <w:trPr>
          <w:trHeight w:val="480"/>
          <w:jc w:val="center"/>
        </w:trPr>
        <w:tc>
          <w:tcPr>
            <w:tcW w:w="8820" w:type="dxa"/>
            <w:gridSpan w:val="6"/>
            <w:tcBorders>
              <w:top w:val="nil"/>
              <w:left w:val="nil"/>
              <w:bottom w:val="nil"/>
              <w:right w:val="nil"/>
            </w:tcBorders>
            <w:shd w:val="clear" w:color="auto" w:fill="auto"/>
            <w:noWrap/>
            <w:vAlign w:val="center"/>
            <w:hideMark/>
          </w:tcPr>
          <w:p w:rsidR="00773080" w:rsidRPr="00773080" w:rsidRDefault="00773080" w:rsidP="00773080">
            <w:pPr>
              <w:jc w:val="center"/>
              <w:rPr>
                <w:rFonts w:ascii="Arial CE" w:hAnsi="Arial CE" w:cs="Calibri"/>
                <w:b/>
                <w:bCs/>
                <w:sz w:val="24"/>
                <w:szCs w:val="24"/>
                <w:lang w:val="cs-CZ"/>
              </w:rPr>
            </w:pPr>
            <w:r>
              <w:rPr>
                <w:rFonts w:ascii="Arial CE" w:hAnsi="Arial CE" w:cs="Calibri"/>
                <w:b/>
                <w:bCs/>
                <w:sz w:val="24"/>
                <w:szCs w:val="24"/>
                <w:lang w:val="cs-CZ"/>
              </w:rPr>
              <w:lastRenderedPageBreak/>
              <w:t xml:space="preserve">Příloha č. I. - </w:t>
            </w:r>
            <w:r w:rsidRPr="00773080">
              <w:rPr>
                <w:rFonts w:ascii="Arial CE" w:hAnsi="Arial CE" w:cs="Calibri"/>
                <w:b/>
                <w:bCs/>
                <w:sz w:val="24"/>
                <w:szCs w:val="24"/>
                <w:lang w:val="cs-CZ"/>
              </w:rPr>
              <w:t xml:space="preserve">Položkový rozpočet </w:t>
            </w:r>
          </w:p>
        </w:tc>
      </w:tr>
      <w:tr w:rsidR="00773080" w:rsidRPr="00773080" w:rsidTr="00773080">
        <w:trPr>
          <w:trHeight w:val="330"/>
          <w:jc w:val="center"/>
        </w:trPr>
        <w:tc>
          <w:tcPr>
            <w:tcW w:w="507"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773080" w:rsidRPr="00773080" w:rsidRDefault="00773080" w:rsidP="00773080">
            <w:pPr>
              <w:rPr>
                <w:rFonts w:ascii="Calibri" w:hAnsi="Calibri" w:cs="Calibri"/>
                <w:color w:val="000000"/>
                <w:sz w:val="22"/>
                <w:szCs w:val="22"/>
                <w:lang w:val="cs-CZ"/>
              </w:rPr>
            </w:pPr>
            <w:r w:rsidRPr="00773080">
              <w:rPr>
                <w:rFonts w:ascii="Calibri" w:hAnsi="Calibri" w:cs="Calibri"/>
                <w:color w:val="000000"/>
                <w:sz w:val="22"/>
                <w:szCs w:val="22"/>
                <w:lang w:val="cs-CZ"/>
              </w:rPr>
              <w:t>S:</w:t>
            </w:r>
          </w:p>
        </w:tc>
        <w:tc>
          <w:tcPr>
            <w:tcW w:w="8313" w:type="dxa"/>
            <w:gridSpan w:val="5"/>
            <w:tcBorders>
              <w:top w:val="double" w:sz="6" w:space="0" w:color="auto"/>
              <w:left w:val="nil"/>
              <w:bottom w:val="single" w:sz="4" w:space="0" w:color="auto"/>
              <w:right w:val="double" w:sz="6" w:space="0" w:color="000000"/>
            </w:tcBorders>
            <w:shd w:val="clear" w:color="auto" w:fill="auto"/>
            <w:vAlign w:val="center"/>
            <w:hideMark/>
          </w:tcPr>
          <w:p w:rsidR="00773080" w:rsidRPr="00773080" w:rsidRDefault="00773080" w:rsidP="00773080">
            <w:pPr>
              <w:rPr>
                <w:rFonts w:ascii="Arial" w:hAnsi="Arial" w:cs="Arial"/>
                <w:b/>
                <w:bCs/>
                <w:sz w:val="22"/>
                <w:szCs w:val="22"/>
                <w:lang w:val="cs-CZ"/>
              </w:rPr>
            </w:pPr>
            <w:r w:rsidRPr="00773080">
              <w:rPr>
                <w:rFonts w:ascii="Arial" w:hAnsi="Arial" w:cs="Arial"/>
                <w:b/>
                <w:bCs/>
                <w:sz w:val="22"/>
                <w:szCs w:val="22"/>
                <w:lang w:val="cs-CZ"/>
              </w:rPr>
              <w:t>Rychnov nad Kněžnou - Gymnázium</w:t>
            </w:r>
          </w:p>
        </w:tc>
      </w:tr>
      <w:tr w:rsidR="00773080" w:rsidRPr="00773080" w:rsidTr="00773080">
        <w:trPr>
          <w:trHeight w:val="375"/>
          <w:jc w:val="center"/>
        </w:trPr>
        <w:tc>
          <w:tcPr>
            <w:tcW w:w="507" w:type="dxa"/>
            <w:tcBorders>
              <w:top w:val="nil"/>
              <w:left w:val="double" w:sz="6" w:space="0" w:color="auto"/>
              <w:bottom w:val="single" w:sz="4" w:space="0" w:color="auto"/>
              <w:right w:val="single" w:sz="4" w:space="0" w:color="auto"/>
            </w:tcBorders>
            <w:shd w:val="clear" w:color="auto" w:fill="auto"/>
            <w:noWrap/>
            <w:vAlign w:val="center"/>
            <w:hideMark/>
          </w:tcPr>
          <w:p w:rsidR="00773080" w:rsidRPr="00773080" w:rsidRDefault="00773080" w:rsidP="00773080">
            <w:pPr>
              <w:rPr>
                <w:rFonts w:ascii="Calibri" w:hAnsi="Calibri" w:cs="Calibri"/>
                <w:color w:val="000000"/>
                <w:sz w:val="22"/>
                <w:szCs w:val="22"/>
                <w:lang w:val="cs-CZ"/>
              </w:rPr>
            </w:pPr>
            <w:r w:rsidRPr="00773080">
              <w:rPr>
                <w:rFonts w:ascii="Calibri" w:hAnsi="Calibri" w:cs="Calibri"/>
                <w:color w:val="000000"/>
                <w:sz w:val="22"/>
                <w:szCs w:val="22"/>
                <w:lang w:val="cs-CZ"/>
              </w:rPr>
              <w:t>O:</w:t>
            </w:r>
          </w:p>
        </w:tc>
        <w:tc>
          <w:tcPr>
            <w:tcW w:w="8313" w:type="dxa"/>
            <w:gridSpan w:val="5"/>
            <w:tcBorders>
              <w:top w:val="single" w:sz="4" w:space="0" w:color="auto"/>
              <w:left w:val="nil"/>
              <w:bottom w:val="single" w:sz="4" w:space="0" w:color="auto"/>
              <w:right w:val="double" w:sz="6" w:space="0" w:color="000000"/>
            </w:tcBorders>
            <w:shd w:val="clear" w:color="auto" w:fill="auto"/>
            <w:vAlign w:val="center"/>
            <w:hideMark/>
          </w:tcPr>
          <w:p w:rsidR="00773080" w:rsidRPr="00773080" w:rsidRDefault="00773080" w:rsidP="00773080">
            <w:pPr>
              <w:rPr>
                <w:rFonts w:ascii="Arial" w:hAnsi="Arial" w:cs="Arial"/>
                <w:sz w:val="22"/>
                <w:szCs w:val="22"/>
                <w:lang w:val="cs-CZ"/>
              </w:rPr>
            </w:pPr>
            <w:r w:rsidRPr="00773080">
              <w:rPr>
                <w:rFonts w:ascii="Arial" w:hAnsi="Arial" w:cs="Arial"/>
                <w:sz w:val="22"/>
                <w:szCs w:val="22"/>
                <w:lang w:val="cs-CZ"/>
              </w:rPr>
              <w:t xml:space="preserve">Stavební práce: </w:t>
            </w:r>
            <w:r w:rsidRPr="00773080">
              <w:rPr>
                <w:rFonts w:ascii="Arial" w:hAnsi="Arial" w:cs="Arial"/>
                <w:b/>
                <w:bCs/>
                <w:sz w:val="22"/>
                <w:szCs w:val="22"/>
                <w:u w:val="single"/>
                <w:lang w:val="cs-CZ"/>
              </w:rPr>
              <w:t xml:space="preserve">Rekonstrukce tělocvičny </w:t>
            </w:r>
          </w:p>
        </w:tc>
      </w:tr>
      <w:tr w:rsidR="00773080" w:rsidRPr="00773080" w:rsidTr="00773080">
        <w:trPr>
          <w:trHeight w:val="450"/>
          <w:jc w:val="center"/>
        </w:trPr>
        <w:tc>
          <w:tcPr>
            <w:tcW w:w="507" w:type="dxa"/>
            <w:tcBorders>
              <w:top w:val="nil"/>
              <w:left w:val="double" w:sz="6" w:space="0" w:color="auto"/>
              <w:bottom w:val="double" w:sz="6" w:space="0" w:color="auto"/>
              <w:right w:val="single" w:sz="4" w:space="0" w:color="auto"/>
            </w:tcBorders>
            <w:shd w:val="clear" w:color="auto" w:fill="auto"/>
            <w:noWrap/>
            <w:vAlign w:val="center"/>
            <w:hideMark/>
          </w:tcPr>
          <w:p w:rsidR="00773080" w:rsidRPr="00773080" w:rsidRDefault="00773080" w:rsidP="00773080">
            <w:pPr>
              <w:rPr>
                <w:rFonts w:ascii="Calibri" w:hAnsi="Calibri" w:cs="Calibri"/>
                <w:color w:val="000000"/>
                <w:sz w:val="22"/>
                <w:szCs w:val="22"/>
                <w:lang w:val="cs-CZ"/>
              </w:rPr>
            </w:pPr>
            <w:r w:rsidRPr="00773080">
              <w:rPr>
                <w:rFonts w:ascii="Calibri" w:hAnsi="Calibri" w:cs="Calibri"/>
                <w:color w:val="000000"/>
                <w:sz w:val="22"/>
                <w:szCs w:val="22"/>
                <w:lang w:val="cs-CZ"/>
              </w:rPr>
              <w:t>R:</w:t>
            </w:r>
          </w:p>
        </w:tc>
        <w:tc>
          <w:tcPr>
            <w:tcW w:w="8313" w:type="dxa"/>
            <w:gridSpan w:val="5"/>
            <w:tcBorders>
              <w:top w:val="single" w:sz="4" w:space="0" w:color="auto"/>
              <w:left w:val="nil"/>
              <w:bottom w:val="double" w:sz="6" w:space="0" w:color="auto"/>
              <w:right w:val="double" w:sz="6" w:space="0" w:color="000000"/>
            </w:tcBorders>
            <w:shd w:val="clear" w:color="000000" w:fill="DBDBDB"/>
            <w:vAlign w:val="center"/>
            <w:hideMark/>
          </w:tcPr>
          <w:p w:rsidR="00773080" w:rsidRPr="00773080" w:rsidRDefault="00773080" w:rsidP="00773080">
            <w:pPr>
              <w:rPr>
                <w:rFonts w:ascii="Arial" w:hAnsi="Arial" w:cs="Arial"/>
                <w:sz w:val="22"/>
                <w:szCs w:val="22"/>
                <w:lang w:val="cs-CZ"/>
              </w:rPr>
            </w:pPr>
            <w:r w:rsidRPr="00773080">
              <w:rPr>
                <w:rFonts w:ascii="Arial" w:hAnsi="Arial" w:cs="Arial"/>
                <w:sz w:val="22"/>
                <w:szCs w:val="22"/>
                <w:lang w:val="cs-CZ"/>
              </w:rPr>
              <w:t>Sportovní podlaha, obklad stěn, osvětlení, sportovní vybavení, ostatní</w:t>
            </w:r>
          </w:p>
        </w:tc>
      </w:tr>
      <w:tr w:rsidR="00773080" w:rsidRPr="00773080" w:rsidTr="00773080">
        <w:trPr>
          <w:trHeight w:val="330"/>
          <w:jc w:val="center"/>
        </w:trPr>
        <w:tc>
          <w:tcPr>
            <w:tcW w:w="507" w:type="dxa"/>
            <w:tcBorders>
              <w:top w:val="nil"/>
              <w:left w:val="nil"/>
              <w:bottom w:val="nil"/>
              <w:right w:val="nil"/>
            </w:tcBorders>
            <w:shd w:val="clear" w:color="auto" w:fill="auto"/>
            <w:noWrap/>
            <w:vAlign w:val="bottom"/>
            <w:hideMark/>
          </w:tcPr>
          <w:p w:rsidR="00773080" w:rsidRPr="00773080" w:rsidRDefault="00773080" w:rsidP="00773080">
            <w:pPr>
              <w:rPr>
                <w:rFonts w:ascii="Arial" w:hAnsi="Arial" w:cs="Arial"/>
                <w:sz w:val="22"/>
                <w:szCs w:val="22"/>
                <w:lang w:val="cs-CZ"/>
              </w:rPr>
            </w:pPr>
          </w:p>
        </w:tc>
        <w:tc>
          <w:tcPr>
            <w:tcW w:w="3412" w:type="dxa"/>
            <w:tcBorders>
              <w:top w:val="nil"/>
              <w:left w:val="nil"/>
              <w:bottom w:val="nil"/>
              <w:right w:val="nil"/>
            </w:tcBorders>
            <w:shd w:val="clear" w:color="auto" w:fill="auto"/>
            <w:vAlign w:val="bottom"/>
            <w:hideMark/>
          </w:tcPr>
          <w:p w:rsidR="00773080" w:rsidRPr="00773080" w:rsidRDefault="00773080" w:rsidP="00773080">
            <w:pPr>
              <w:rPr>
                <w:lang w:val="cs-CZ"/>
              </w:rPr>
            </w:pPr>
          </w:p>
        </w:tc>
        <w:tc>
          <w:tcPr>
            <w:tcW w:w="562"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c>
          <w:tcPr>
            <w:tcW w:w="1183" w:type="dxa"/>
            <w:tcBorders>
              <w:top w:val="nil"/>
              <w:left w:val="nil"/>
              <w:bottom w:val="nil"/>
              <w:right w:val="nil"/>
            </w:tcBorders>
            <w:shd w:val="clear" w:color="auto" w:fill="auto"/>
            <w:noWrap/>
            <w:vAlign w:val="bottom"/>
            <w:hideMark/>
          </w:tcPr>
          <w:p w:rsidR="00773080" w:rsidRPr="00773080" w:rsidRDefault="00773080" w:rsidP="00773080">
            <w:pPr>
              <w:jc w:val="center"/>
              <w:rPr>
                <w:lang w:val="cs-CZ"/>
              </w:rPr>
            </w:pPr>
          </w:p>
        </w:tc>
        <w:tc>
          <w:tcPr>
            <w:tcW w:w="1227"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c>
          <w:tcPr>
            <w:tcW w:w="1929"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r>
      <w:tr w:rsidR="00773080" w:rsidRPr="00773080" w:rsidTr="00773080">
        <w:trPr>
          <w:trHeight w:val="315"/>
          <w:jc w:val="center"/>
        </w:trPr>
        <w:tc>
          <w:tcPr>
            <w:tcW w:w="507" w:type="dxa"/>
            <w:tcBorders>
              <w:top w:val="single" w:sz="8" w:space="0" w:color="auto"/>
              <w:left w:val="single" w:sz="8" w:space="0" w:color="auto"/>
              <w:bottom w:val="nil"/>
              <w:right w:val="nil"/>
            </w:tcBorders>
            <w:shd w:val="clear" w:color="000000" w:fill="C0C0C0"/>
            <w:noWrap/>
            <w:vAlign w:val="bottom"/>
            <w:hideMark/>
          </w:tcPr>
          <w:p w:rsidR="00773080" w:rsidRPr="00773080" w:rsidRDefault="00773080" w:rsidP="00773080">
            <w:pPr>
              <w:rPr>
                <w:rFonts w:ascii="Arial" w:hAnsi="Arial" w:cs="Arial"/>
                <w:b/>
                <w:bCs/>
                <w:sz w:val="22"/>
                <w:szCs w:val="22"/>
                <w:lang w:val="cs-CZ"/>
              </w:rPr>
            </w:pPr>
            <w:proofErr w:type="spellStart"/>
            <w:r w:rsidRPr="00773080">
              <w:rPr>
                <w:rFonts w:ascii="Arial" w:hAnsi="Arial" w:cs="Arial"/>
                <w:b/>
                <w:bCs/>
                <w:sz w:val="22"/>
                <w:szCs w:val="22"/>
                <w:lang w:val="cs-CZ"/>
              </w:rPr>
              <w:t>P.č</w:t>
            </w:r>
            <w:proofErr w:type="spellEnd"/>
            <w:r w:rsidRPr="00773080">
              <w:rPr>
                <w:rFonts w:ascii="Arial" w:hAnsi="Arial" w:cs="Arial"/>
                <w:b/>
                <w:bCs/>
                <w:sz w:val="22"/>
                <w:szCs w:val="22"/>
                <w:lang w:val="cs-CZ"/>
              </w:rPr>
              <w:t>.</w:t>
            </w:r>
          </w:p>
        </w:tc>
        <w:tc>
          <w:tcPr>
            <w:tcW w:w="3412" w:type="dxa"/>
            <w:tcBorders>
              <w:top w:val="single" w:sz="8" w:space="0" w:color="auto"/>
              <w:left w:val="single" w:sz="8" w:space="0" w:color="auto"/>
              <w:bottom w:val="nil"/>
              <w:right w:val="single" w:sz="4" w:space="0" w:color="auto"/>
            </w:tcBorders>
            <w:shd w:val="clear" w:color="000000" w:fill="C0C0C0"/>
            <w:vAlign w:val="bottom"/>
            <w:hideMark/>
          </w:tcPr>
          <w:p w:rsidR="00773080" w:rsidRPr="00773080" w:rsidRDefault="00773080" w:rsidP="00773080">
            <w:pPr>
              <w:rPr>
                <w:rFonts w:ascii="Arial" w:hAnsi="Arial" w:cs="Arial"/>
                <w:b/>
                <w:bCs/>
                <w:sz w:val="22"/>
                <w:szCs w:val="22"/>
                <w:lang w:val="cs-CZ"/>
              </w:rPr>
            </w:pPr>
            <w:r w:rsidRPr="00773080">
              <w:rPr>
                <w:rFonts w:ascii="Arial" w:hAnsi="Arial" w:cs="Arial"/>
                <w:b/>
                <w:bCs/>
                <w:sz w:val="22"/>
                <w:szCs w:val="22"/>
                <w:lang w:val="cs-CZ"/>
              </w:rPr>
              <w:t>Název položky</w:t>
            </w:r>
          </w:p>
        </w:tc>
        <w:tc>
          <w:tcPr>
            <w:tcW w:w="562" w:type="dxa"/>
            <w:tcBorders>
              <w:top w:val="single" w:sz="8" w:space="0" w:color="auto"/>
              <w:left w:val="nil"/>
              <w:bottom w:val="nil"/>
              <w:right w:val="single" w:sz="4" w:space="0" w:color="auto"/>
            </w:tcBorders>
            <w:shd w:val="clear" w:color="000000" w:fill="C0C0C0"/>
            <w:noWrap/>
            <w:vAlign w:val="bottom"/>
            <w:hideMark/>
          </w:tcPr>
          <w:p w:rsidR="00773080" w:rsidRPr="00773080" w:rsidRDefault="00773080" w:rsidP="00773080">
            <w:pPr>
              <w:jc w:val="center"/>
              <w:rPr>
                <w:rFonts w:ascii="Arial" w:hAnsi="Arial" w:cs="Arial"/>
                <w:b/>
                <w:bCs/>
                <w:sz w:val="22"/>
                <w:szCs w:val="22"/>
                <w:lang w:val="cs-CZ"/>
              </w:rPr>
            </w:pPr>
            <w:r w:rsidRPr="00773080">
              <w:rPr>
                <w:rFonts w:ascii="Arial" w:hAnsi="Arial" w:cs="Arial"/>
                <w:b/>
                <w:bCs/>
                <w:sz w:val="22"/>
                <w:szCs w:val="22"/>
                <w:lang w:val="cs-CZ"/>
              </w:rPr>
              <w:t>MJ</w:t>
            </w:r>
          </w:p>
        </w:tc>
        <w:tc>
          <w:tcPr>
            <w:tcW w:w="1183" w:type="dxa"/>
            <w:tcBorders>
              <w:top w:val="single" w:sz="8" w:space="0" w:color="auto"/>
              <w:left w:val="nil"/>
              <w:bottom w:val="nil"/>
              <w:right w:val="single" w:sz="4" w:space="0" w:color="auto"/>
            </w:tcBorders>
            <w:shd w:val="clear" w:color="000000" w:fill="C0C0C0"/>
            <w:noWrap/>
            <w:vAlign w:val="bottom"/>
            <w:hideMark/>
          </w:tcPr>
          <w:p w:rsidR="00773080" w:rsidRPr="00773080" w:rsidRDefault="00773080" w:rsidP="00773080">
            <w:pPr>
              <w:rPr>
                <w:rFonts w:ascii="Arial" w:hAnsi="Arial" w:cs="Arial"/>
                <w:b/>
                <w:bCs/>
                <w:sz w:val="22"/>
                <w:szCs w:val="22"/>
                <w:lang w:val="cs-CZ"/>
              </w:rPr>
            </w:pPr>
            <w:r w:rsidRPr="00773080">
              <w:rPr>
                <w:rFonts w:ascii="Arial" w:hAnsi="Arial" w:cs="Arial"/>
                <w:b/>
                <w:bCs/>
                <w:sz w:val="22"/>
                <w:szCs w:val="22"/>
                <w:lang w:val="cs-CZ"/>
              </w:rPr>
              <w:t>množství</w:t>
            </w:r>
          </w:p>
        </w:tc>
        <w:tc>
          <w:tcPr>
            <w:tcW w:w="1227" w:type="dxa"/>
            <w:tcBorders>
              <w:top w:val="single" w:sz="8" w:space="0" w:color="auto"/>
              <w:left w:val="nil"/>
              <w:bottom w:val="nil"/>
              <w:right w:val="single" w:sz="4" w:space="0" w:color="auto"/>
            </w:tcBorders>
            <w:shd w:val="clear" w:color="000000" w:fill="C0C0C0"/>
            <w:noWrap/>
            <w:vAlign w:val="bottom"/>
            <w:hideMark/>
          </w:tcPr>
          <w:p w:rsidR="00773080" w:rsidRPr="00773080" w:rsidRDefault="00773080" w:rsidP="00773080">
            <w:pPr>
              <w:rPr>
                <w:rFonts w:ascii="Arial" w:hAnsi="Arial" w:cs="Arial"/>
                <w:b/>
                <w:bCs/>
                <w:sz w:val="22"/>
                <w:szCs w:val="22"/>
                <w:lang w:val="cs-CZ"/>
              </w:rPr>
            </w:pPr>
            <w:r w:rsidRPr="00773080">
              <w:rPr>
                <w:rFonts w:ascii="Arial" w:hAnsi="Arial" w:cs="Arial"/>
                <w:b/>
                <w:bCs/>
                <w:sz w:val="22"/>
                <w:szCs w:val="22"/>
                <w:lang w:val="cs-CZ"/>
              </w:rPr>
              <w:t>cena / MJ</w:t>
            </w:r>
          </w:p>
        </w:tc>
        <w:tc>
          <w:tcPr>
            <w:tcW w:w="1929" w:type="dxa"/>
            <w:tcBorders>
              <w:top w:val="single" w:sz="8" w:space="0" w:color="auto"/>
              <w:left w:val="nil"/>
              <w:bottom w:val="nil"/>
              <w:right w:val="single" w:sz="8" w:space="0" w:color="auto"/>
            </w:tcBorders>
            <w:shd w:val="clear" w:color="000000" w:fill="C0C0C0"/>
            <w:noWrap/>
            <w:vAlign w:val="bottom"/>
            <w:hideMark/>
          </w:tcPr>
          <w:p w:rsidR="00773080" w:rsidRPr="00773080" w:rsidRDefault="00773080" w:rsidP="00773080">
            <w:pPr>
              <w:rPr>
                <w:rFonts w:ascii="Arial" w:hAnsi="Arial" w:cs="Arial"/>
                <w:b/>
                <w:bCs/>
                <w:sz w:val="22"/>
                <w:szCs w:val="22"/>
                <w:lang w:val="cs-CZ"/>
              </w:rPr>
            </w:pPr>
            <w:r w:rsidRPr="00773080">
              <w:rPr>
                <w:rFonts w:ascii="Arial" w:hAnsi="Arial" w:cs="Arial"/>
                <w:b/>
                <w:bCs/>
                <w:sz w:val="22"/>
                <w:szCs w:val="22"/>
                <w:lang w:val="cs-CZ"/>
              </w:rPr>
              <w:t>celkem</w:t>
            </w:r>
          </w:p>
        </w:tc>
      </w:tr>
      <w:tr w:rsidR="00773080" w:rsidRPr="00773080" w:rsidTr="00773080">
        <w:trPr>
          <w:trHeight w:val="33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Demontáže</w:t>
            </w:r>
          </w:p>
        </w:tc>
        <w:tc>
          <w:tcPr>
            <w:tcW w:w="562"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bottom"/>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73 440,00 Kč</w:t>
            </w:r>
          </w:p>
        </w:tc>
      </w:tr>
      <w:tr w:rsidR="00773080" w:rsidRPr="00773080" w:rsidTr="00773080">
        <w:trPr>
          <w:trHeight w:val="61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 xml:space="preserve">demontáže stávající podlahy (celá skladba parketa, záklop, rošt) - </w:t>
            </w:r>
            <w:proofErr w:type="spellStart"/>
            <w:r w:rsidRPr="00773080">
              <w:rPr>
                <w:rFonts w:ascii="Arial CE" w:hAnsi="Arial CE" w:cs="Calibri"/>
                <w:sz w:val="18"/>
                <w:szCs w:val="18"/>
                <w:lang w:val="cs-CZ"/>
              </w:rPr>
              <w:t>tl</w:t>
            </w:r>
            <w:proofErr w:type="spellEnd"/>
            <w:r w:rsidRPr="00773080">
              <w:rPr>
                <w:rFonts w:ascii="Arial CE" w:hAnsi="Arial CE" w:cs="Calibri"/>
                <w:sz w:val="18"/>
                <w:szCs w:val="18"/>
                <w:lang w:val="cs-CZ"/>
              </w:rPr>
              <w:t>. 130 mm</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180,00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50 400,00 Kč</w:t>
            </w:r>
          </w:p>
        </w:tc>
      </w:tr>
      <w:tr w:rsidR="00773080" w:rsidRPr="00773080" w:rsidTr="00773080">
        <w:trPr>
          <w:trHeight w:val="48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poplatek za skládku vybouraných hmot - dřevo</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62,00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17 360,00 Kč</w:t>
            </w:r>
          </w:p>
        </w:tc>
      </w:tr>
      <w:tr w:rsidR="00773080" w:rsidRPr="00773080" w:rsidTr="00773080">
        <w:trPr>
          <w:trHeight w:val="34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3</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demontáže žebřin</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ks</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4,00000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230,00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920,00 Kč</w:t>
            </w:r>
          </w:p>
        </w:tc>
      </w:tr>
      <w:tr w:rsidR="00773080" w:rsidRPr="00773080" w:rsidTr="00773080">
        <w:trPr>
          <w:trHeight w:val="36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4</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vyčistění prostor od prachu, vysátí</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m3</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17,00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4 760,00 Kč</w:t>
            </w:r>
          </w:p>
        </w:tc>
      </w:tr>
      <w:tr w:rsidR="00773080" w:rsidRPr="00773080" w:rsidTr="00773080">
        <w:trPr>
          <w:trHeight w:val="375"/>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Bezbariérový vjezd do TV</w:t>
            </w:r>
          </w:p>
        </w:tc>
        <w:tc>
          <w:tcPr>
            <w:tcW w:w="562"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bottom"/>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13 741,20 Kč</w:t>
            </w:r>
          </w:p>
        </w:tc>
      </w:tr>
      <w:tr w:rsidR="00773080" w:rsidRPr="00773080" w:rsidTr="00773080">
        <w:trPr>
          <w:trHeight w:val="121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5</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 xml:space="preserve"> vytvoření přechodového nájezdu do tělocvičny - vytvoření bez</w:t>
            </w:r>
            <w:r>
              <w:rPr>
                <w:rFonts w:ascii="Arial CE" w:hAnsi="Arial CE" w:cs="Calibri"/>
                <w:sz w:val="18"/>
                <w:szCs w:val="18"/>
                <w:lang w:val="cs-CZ"/>
              </w:rPr>
              <w:t>bariérové</w:t>
            </w:r>
            <w:r w:rsidRPr="00773080">
              <w:rPr>
                <w:rFonts w:ascii="Arial CE" w:hAnsi="Arial CE" w:cs="Calibri"/>
                <w:sz w:val="18"/>
                <w:szCs w:val="18"/>
                <w:lang w:val="cs-CZ"/>
              </w:rPr>
              <w:t>ho vstupu, 1,8x2,0m, včetně přechodové lišty do dveří a u podlahy, pohledové části čistící zóna, obvodové lištování</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3,60000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3 817,00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13 741,20 Kč</w:t>
            </w:r>
          </w:p>
        </w:tc>
      </w:tr>
      <w:tr w:rsidR="00773080" w:rsidRPr="00773080" w:rsidTr="00773080">
        <w:trPr>
          <w:trHeight w:val="33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Spodní stavba</w:t>
            </w:r>
          </w:p>
        </w:tc>
        <w:tc>
          <w:tcPr>
            <w:tcW w:w="562"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bottom"/>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bottom"/>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70 840,00 Kč</w:t>
            </w:r>
          </w:p>
        </w:tc>
      </w:tr>
      <w:tr w:rsidR="00773080" w:rsidRPr="00773080" w:rsidTr="00773080">
        <w:trPr>
          <w:trHeight w:val="76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6</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hydroizolace z těžkých pásů, včetně přesahů 10%, spoje svařeny, vytaženo na stěny do výšky nové podlahy</w:t>
            </w:r>
          </w:p>
        </w:tc>
        <w:tc>
          <w:tcPr>
            <w:tcW w:w="562"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308,00000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230,00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70 840,00 Kč</w:t>
            </w:r>
          </w:p>
        </w:tc>
      </w:tr>
      <w:tr w:rsidR="00773080" w:rsidRPr="00773080" w:rsidTr="00773080">
        <w:trPr>
          <w:trHeight w:val="645"/>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Konstrukce sportovního vybavení</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103 640,00 Kč</w:t>
            </w:r>
          </w:p>
        </w:tc>
      </w:tr>
      <w:tr w:rsidR="00773080" w:rsidRPr="00773080" w:rsidTr="00773080">
        <w:trPr>
          <w:trHeight w:val="48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7</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zpětná montáž žebřin, výšková úprava sportovního náčiní, včetně zakování - hrazdy</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kp</w:t>
            </w:r>
            <w:r w:rsidR="00E84024">
              <w:rPr>
                <w:rFonts w:ascii="Arial CE" w:hAnsi="Arial CE" w:cs="Calibri"/>
                <w:sz w:val="18"/>
                <w:szCs w:val="18"/>
                <w:lang w:val="cs-CZ"/>
              </w:rPr>
              <w:t>l</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10 000,00</w:t>
            </w:r>
          </w:p>
        </w:tc>
        <w:tc>
          <w:tcPr>
            <w:tcW w:w="1929" w:type="dxa"/>
            <w:tcBorders>
              <w:top w:val="nil"/>
              <w:left w:val="nil"/>
              <w:bottom w:val="single" w:sz="4" w:space="0" w:color="auto"/>
              <w:right w:val="single" w:sz="8"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10 000,00 Kč</w:t>
            </w:r>
          </w:p>
        </w:tc>
      </w:tr>
      <w:tr w:rsidR="00773080" w:rsidRPr="00773080" w:rsidTr="00773080">
        <w:trPr>
          <w:trHeight w:val="751"/>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8</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 xml:space="preserve">výměna basketbalových košů - koše sklopné s vysazením do 2,0 m, včetně pomocné konstrukce pro uchycení </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ks</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46 820,00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93 640,00 Kč</w:t>
            </w:r>
          </w:p>
        </w:tc>
      </w:tr>
      <w:tr w:rsidR="00773080" w:rsidRPr="00773080" w:rsidTr="00773080">
        <w:trPr>
          <w:trHeight w:val="96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Podlahy a podlahové konstrukce - celková konstrukce 130 mm+</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958 910,00 Kč</w:t>
            </w:r>
          </w:p>
        </w:tc>
      </w:tr>
      <w:tr w:rsidR="00773080" w:rsidRPr="00773080" w:rsidTr="00773080">
        <w:trPr>
          <w:trHeight w:val="34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9</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distanční podložka</w:t>
            </w:r>
          </w:p>
        </w:tc>
        <w:tc>
          <w:tcPr>
            <w:tcW w:w="562" w:type="dxa"/>
            <w:tcBorders>
              <w:top w:val="nil"/>
              <w:left w:val="nil"/>
              <w:bottom w:val="single" w:sz="4" w:space="0" w:color="auto"/>
              <w:right w:val="single" w:sz="4" w:space="0" w:color="auto"/>
            </w:tcBorders>
            <w:shd w:val="clear" w:color="auto" w:fill="auto"/>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27,00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7 560,00 Kč</w:t>
            </w:r>
          </w:p>
        </w:tc>
      </w:tr>
      <w:tr w:rsidR="00773080" w:rsidRPr="00773080" w:rsidTr="00773080">
        <w:trPr>
          <w:trHeight w:val="37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10</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 xml:space="preserve">rektifikační klín </w:t>
            </w:r>
          </w:p>
        </w:tc>
        <w:tc>
          <w:tcPr>
            <w:tcW w:w="562" w:type="dxa"/>
            <w:tcBorders>
              <w:top w:val="nil"/>
              <w:left w:val="nil"/>
              <w:bottom w:val="single" w:sz="4" w:space="0" w:color="auto"/>
              <w:right w:val="single" w:sz="4" w:space="0" w:color="auto"/>
            </w:tcBorders>
            <w:shd w:val="clear" w:color="auto" w:fill="auto"/>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63,00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17 640,00 Kč</w:t>
            </w:r>
          </w:p>
        </w:tc>
      </w:tr>
      <w:tr w:rsidR="00773080" w:rsidRPr="00773080" w:rsidTr="00773080">
        <w:trPr>
          <w:trHeight w:val="43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11</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rektifikace</w:t>
            </w:r>
          </w:p>
        </w:tc>
        <w:tc>
          <w:tcPr>
            <w:tcW w:w="562" w:type="dxa"/>
            <w:tcBorders>
              <w:top w:val="nil"/>
              <w:left w:val="nil"/>
              <w:bottom w:val="single" w:sz="4" w:space="0" w:color="auto"/>
              <w:right w:val="single" w:sz="4" w:space="0" w:color="auto"/>
            </w:tcBorders>
            <w:shd w:val="clear" w:color="auto" w:fill="auto"/>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170,00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47 600,00 Kč</w:t>
            </w:r>
          </w:p>
        </w:tc>
      </w:tr>
      <w:tr w:rsidR="00773080" w:rsidRPr="00773080" w:rsidTr="00773080">
        <w:trPr>
          <w:trHeight w:val="192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12</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Sportovní dřevěná celo</w:t>
            </w:r>
            <w:r>
              <w:rPr>
                <w:rFonts w:ascii="Arial CE" w:hAnsi="Arial CE" w:cs="Calibri"/>
                <w:sz w:val="18"/>
                <w:szCs w:val="18"/>
                <w:lang w:val="cs-CZ"/>
              </w:rPr>
              <w:t xml:space="preserve"> </w:t>
            </w:r>
            <w:r w:rsidRPr="00773080">
              <w:rPr>
                <w:rFonts w:ascii="Arial CE" w:hAnsi="Arial CE" w:cs="Calibri"/>
                <w:sz w:val="18"/>
                <w:szCs w:val="18"/>
                <w:lang w:val="cs-CZ"/>
              </w:rPr>
              <w:t>masivní podlaha systémová na dvojitém pružném roštu, nášlapná celo</w:t>
            </w:r>
            <w:r>
              <w:rPr>
                <w:rFonts w:ascii="Arial CE" w:hAnsi="Arial CE" w:cs="Calibri"/>
                <w:sz w:val="18"/>
                <w:szCs w:val="18"/>
                <w:lang w:val="cs-CZ"/>
              </w:rPr>
              <w:t xml:space="preserve"> </w:t>
            </w:r>
            <w:r w:rsidRPr="00773080">
              <w:rPr>
                <w:rFonts w:ascii="Arial CE" w:hAnsi="Arial CE" w:cs="Calibri"/>
                <w:sz w:val="18"/>
                <w:szCs w:val="18"/>
                <w:lang w:val="cs-CZ"/>
              </w:rPr>
              <w:t>m</w:t>
            </w:r>
            <w:r>
              <w:rPr>
                <w:rFonts w:ascii="Arial CE" w:hAnsi="Arial CE" w:cs="Calibri"/>
                <w:sz w:val="18"/>
                <w:szCs w:val="18"/>
                <w:lang w:val="cs-CZ"/>
              </w:rPr>
              <w:t xml:space="preserve">asivní vrstva v </w:t>
            </w:r>
            <w:proofErr w:type="spellStart"/>
            <w:r>
              <w:rPr>
                <w:rFonts w:ascii="Arial CE" w:hAnsi="Arial CE" w:cs="Calibri"/>
                <w:sz w:val="18"/>
                <w:szCs w:val="18"/>
                <w:lang w:val="cs-CZ"/>
              </w:rPr>
              <w:t>tl</w:t>
            </w:r>
            <w:proofErr w:type="spellEnd"/>
            <w:r>
              <w:rPr>
                <w:rFonts w:ascii="Arial CE" w:hAnsi="Arial CE" w:cs="Calibri"/>
                <w:sz w:val="18"/>
                <w:szCs w:val="18"/>
                <w:lang w:val="cs-CZ"/>
              </w:rPr>
              <w:t>. 22 mm, Buk P</w:t>
            </w:r>
            <w:r w:rsidRPr="00773080">
              <w:rPr>
                <w:rFonts w:ascii="Arial CE" w:hAnsi="Arial CE" w:cs="Calibri"/>
                <w:sz w:val="18"/>
                <w:szCs w:val="18"/>
                <w:lang w:val="cs-CZ"/>
              </w:rPr>
              <w:t>remium, lakovaná z výroby laky sportovní PU, včetně montáže a kotevního materiálu. Podlaha v souladu s normou ČSN 14904, včetně lištování dlouhých stran odvětrávací lištou</w:t>
            </w:r>
          </w:p>
        </w:tc>
        <w:tc>
          <w:tcPr>
            <w:tcW w:w="562" w:type="dxa"/>
            <w:tcBorders>
              <w:top w:val="nil"/>
              <w:left w:val="nil"/>
              <w:bottom w:val="single" w:sz="4" w:space="0" w:color="auto"/>
              <w:right w:val="single" w:sz="4" w:space="0" w:color="auto"/>
            </w:tcBorders>
            <w:shd w:val="clear" w:color="auto" w:fill="auto"/>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280,00000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3 073,00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860 440,00 Kč</w:t>
            </w:r>
          </w:p>
        </w:tc>
      </w:tr>
      <w:tr w:rsidR="00773080" w:rsidRPr="00773080" w:rsidTr="00773080">
        <w:trPr>
          <w:trHeight w:val="660"/>
          <w:jc w:val="center"/>
        </w:trPr>
        <w:tc>
          <w:tcPr>
            <w:tcW w:w="507" w:type="dxa"/>
            <w:tcBorders>
              <w:top w:val="nil"/>
              <w:left w:val="single" w:sz="8" w:space="0" w:color="auto"/>
              <w:bottom w:val="nil"/>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13</w:t>
            </w:r>
          </w:p>
        </w:tc>
        <w:tc>
          <w:tcPr>
            <w:tcW w:w="3412" w:type="dxa"/>
            <w:tcBorders>
              <w:top w:val="nil"/>
              <w:left w:val="nil"/>
              <w:bottom w:val="nil"/>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lajnování - volejbal, badminton, basketbal - bedny + oblouk</w:t>
            </w:r>
          </w:p>
        </w:tc>
        <w:tc>
          <w:tcPr>
            <w:tcW w:w="562" w:type="dxa"/>
            <w:tcBorders>
              <w:top w:val="nil"/>
              <w:left w:val="nil"/>
              <w:bottom w:val="nil"/>
              <w:right w:val="single" w:sz="4" w:space="0" w:color="auto"/>
            </w:tcBorders>
            <w:shd w:val="clear" w:color="000000" w:fill="FFFFFF"/>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bm</w:t>
            </w:r>
            <w:proofErr w:type="spellEnd"/>
          </w:p>
        </w:tc>
        <w:tc>
          <w:tcPr>
            <w:tcW w:w="1183" w:type="dxa"/>
            <w:tcBorders>
              <w:top w:val="nil"/>
              <w:left w:val="nil"/>
              <w:bottom w:val="nil"/>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302,00000</w:t>
            </w:r>
          </w:p>
        </w:tc>
        <w:tc>
          <w:tcPr>
            <w:tcW w:w="1227" w:type="dxa"/>
            <w:tcBorders>
              <w:top w:val="nil"/>
              <w:left w:val="nil"/>
              <w:bottom w:val="nil"/>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85,00</w:t>
            </w:r>
          </w:p>
        </w:tc>
        <w:tc>
          <w:tcPr>
            <w:tcW w:w="1929" w:type="dxa"/>
            <w:tcBorders>
              <w:top w:val="nil"/>
              <w:left w:val="nil"/>
              <w:bottom w:val="nil"/>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25 670,00 Kč</w:t>
            </w:r>
          </w:p>
        </w:tc>
      </w:tr>
      <w:tr w:rsidR="00773080" w:rsidRPr="00773080" w:rsidTr="00773080">
        <w:trPr>
          <w:trHeight w:val="81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lastRenderedPageBreak/>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Konstrukce truhlářské - obklad do výše 2,0 m</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323 306,40 Kč</w:t>
            </w:r>
          </w:p>
        </w:tc>
      </w:tr>
      <w:tr w:rsidR="00773080" w:rsidRPr="00773080" w:rsidTr="00773080">
        <w:trPr>
          <w:trHeight w:val="72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14</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w:hAnsi="Arial" w:cs="Arial"/>
                <w:color w:val="000000"/>
                <w:sz w:val="18"/>
                <w:szCs w:val="18"/>
                <w:lang w:val="cs-CZ"/>
              </w:rPr>
            </w:pPr>
            <w:r w:rsidRPr="00773080">
              <w:rPr>
                <w:rFonts w:ascii="Arial" w:hAnsi="Arial" w:cs="Arial"/>
                <w:b/>
                <w:bCs/>
                <w:color w:val="000000"/>
                <w:sz w:val="18"/>
                <w:szCs w:val="18"/>
                <w:u w:val="single"/>
                <w:lang w:val="cs-CZ"/>
              </w:rPr>
              <w:t>podkladní jednoduchý  rošt</w:t>
            </w:r>
            <w:r w:rsidRPr="00773080">
              <w:rPr>
                <w:rFonts w:ascii="Arial" w:hAnsi="Arial" w:cs="Arial"/>
                <w:color w:val="000000"/>
                <w:sz w:val="18"/>
                <w:szCs w:val="18"/>
                <w:lang w:val="cs-CZ"/>
              </w:rPr>
              <w:t xml:space="preserve"> - </w:t>
            </w:r>
            <w:r>
              <w:rPr>
                <w:rFonts w:ascii="Arial" w:hAnsi="Arial" w:cs="Arial"/>
                <w:color w:val="000000"/>
                <w:sz w:val="18"/>
                <w:szCs w:val="18"/>
                <w:lang w:val="cs-CZ"/>
              </w:rPr>
              <w:t xml:space="preserve">hoblované řezivo v rozponu cca </w:t>
            </w:r>
            <w:r w:rsidRPr="00773080">
              <w:rPr>
                <w:rFonts w:ascii="Arial" w:hAnsi="Arial" w:cs="Arial"/>
                <w:color w:val="000000"/>
                <w:sz w:val="18"/>
                <w:szCs w:val="18"/>
                <w:lang w:val="cs-CZ"/>
              </w:rPr>
              <w:t xml:space="preserve">včetně montáže do výše </w:t>
            </w:r>
            <w:proofErr w:type="spellStart"/>
            <w:r w:rsidRPr="00773080">
              <w:rPr>
                <w:rFonts w:ascii="Arial" w:hAnsi="Arial" w:cs="Arial"/>
                <w:color w:val="000000"/>
                <w:sz w:val="18"/>
                <w:szCs w:val="18"/>
                <w:lang w:val="cs-CZ"/>
              </w:rPr>
              <w:t>max</w:t>
            </w:r>
            <w:proofErr w:type="spellEnd"/>
            <w:r w:rsidRPr="00773080">
              <w:rPr>
                <w:rFonts w:ascii="Arial" w:hAnsi="Arial" w:cs="Arial"/>
                <w:color w:val="000000"/>
                <w:sz w:val="18"/>
                <w:szCs w:val="18"/>
                <w:lang w:val="cs-CZ"/>
              </w:rPr>
              <w:t xml:space="preserve"> 2,0</w:t>
            </w:r>
            <w:r>
              <w:rPr>
                <w:rFonts w:ascii="Arial" w:hAnsi="Arial" w:cs="Arial"/>
                <w:color w:val="000000"/>
                <w:sz w:val="18"/>
                <w:szCs w:val="18"/>
                <w:lang w:val="cs-CZ"/>
              </w:rPr>
              <w:t xml:space="preserve"> </w:t>
            </w:r>
            <w:r w:rsidRPr="00773080">
              <w:rPr>
                <w:rFonts w:ascii="Arial" w:hAnsi="Arial" w:cs="Arial"/>
                <w:color w:val="000000"/>
                <w:sz w:val="18"/>
                <w:szCs w:val="18"/>
                <w:lang w:val="cs-CZ"/>
              </w:rPr>
              <w:t xml:space="preserve">m, </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86,00000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630,00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54 180,00 Kč</w:t>
            </w:r>
          </w:p>
        </w:tc>
      </w:tr>
      <w:tr w:rsidR="00773080" w:rsidRPr="00773080" w:rsidTr="00773080">
        <w:trPr>
          <w:trHeight w:val="72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15</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w:hAnsi="Arial" w:cs="Arial"/>
                <w:color w:val="000000"/>
                <w:sz w:val="18"/>
                <w:szCs w:val="18"/>
                <w:lang w:val="cs-CZ"/>
              </w:rPr>
            </w:pPr>
            <w:r w:rsidRPr="00773080">
              <w:rPr>
                <w:rFonts w:ascii="Arial" w:hAnsi="Arial" w:cs="Arial"/>
                <w:color w:val="000000"/>
                <w:sz w:val="18"/>
                <w:szCs w:val="18"/>
                <w:lang w:val="cs-CZ"/>
              </w:rPr>
              <w:t xml:space="preserve">příplatek za vyrovnání rastru pod okny dvojitým rastrem - zarovnání obkladu/výklenku </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10,20000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382,00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3 896,40 Kč</w:t>
            </w:r>
          </w:p>
        </w:tc>
      </w:tr>
      <w:tr w:rsidR="00773080" w:rsidRPr="00773080" w:rsidTr="00773080">
        <w:trPr>
          <w:trHeight w:val="72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16</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w:hAnsi="Arial" w:cs="Arial"/>
                <w:color w:val="000000"/>
                <w:sz w:val="18"/>
                <w:szCs w:val="18"/>
                <w:lang w:val="cs-CZ"/>
              </w:rPr>
            </w:pPr>
            <w:r w:rsidRPr="00773080">
              <w:rPr>
                <w:rFonts w:ascii="Arial" w:hAnsi="Arial" w:cs="Arial"/>
                <w:color w:val="000000"/>
                <w:sz w:val="18"/>
                <w:szCs w:val="18"/>
                <w:lang w:val="cs-CZ"/>
              </w:rPr>
              <w:t>D+M 3</w:t>
            </w:r>
            <w:r>
              <w:rPr>
                <w:rFonts w:ascii="Arial" w:hAnsi="Arial" w:cs="Arial"/>
                <w:color w:val="000000"/>
                <w:sz w:val="18"/>
                <w:szCs w:val="18"/>
                <w:lang w:val="cs-CZ"/>
              </w:rPr>
              <w:t xml:space="preserve"> </w:t>
            </w:r>
            <w:r w:rsidRPr="00773080">
              <w:rPr>
                <w:rFonts w:ascii="Arial" w:hAnsi="Arial" w:cs="Arial"/>
                <w:color w:val="000000"/>
                <w:sz w:val="18"/>
                <w:szCs w:val="18"/>
                <w:lang w:val="cs-CZ"/>
              </w:rPr>
              <w:t>ks parapetů (1,8*0,17), materiál březová překližka, lakovaná, včetně dokončení detailů</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ks</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3 110,00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9 330,00 Kč</w:t>
            </w:r>
          </w:p>
        </w:tc>
      </w:tr>
      <w:tr w:rsidR="00773080" w:rsidRPr="00773080" w:rsidTr="00773080">
        <w:trPr>
          <w:trHeight w:val="183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17</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w:hAnsi="Arial" w:cs="Arial"/>
                <w:sz w:val="18"/>
                <w:szCs w:val="18"/>
                <w:lang w:val="cs-CZ"/>
              </w:rPr>
            </w:pPr>
            <w:r w:rsidRPr="00773080">
              <w:rPr>
                <w:rFonts w:ascii="Arial" w:hAnsi="Arial" w:cs="Arial"/>
                <w:sz w:val="18"/>
                <w:szCs w:val="18"/>
                <w:lang w:val="cs-CZ"/>
              </w:rPr>
              <w:t xml:space="preserve">pohledová část obkladů - </w:t>
            </w:r>
            <w:r w:rsidRPr="00773080">
              <w:rPr>
                <w:rFonts w:ascii="Arial" w:hAnsi="Arial" w:cs="Arial"/>
                <w:b/>
                <w:bCs/>
                <w:sz w:val="18"/>
                <w:szCs w:val="18"/>
                <w:u w:val="single"/>
                <w:lang w:val="cs-CZ"/>
              </w:rPr>
              <w:t xml:space="preserve">březová překližka  v kvalitě B/BB, v </w:t>
            </w:r>
            <w:proofErr w:type="spellStart"/>
            <w:r w:rsidRPr="00773080">
              <w:rPr>
                <w:rFonts w:ascii="Arial" w:hAnsi="Arial" w:cs="Arial"/>
                <w:b/>
                <w:bCs/>
                <w:sz w:val="18"/>
                <w:szCs w:val="18"/>
                <w:u w:val="single"/>
                <w:lang w:val="cs-CZ"/>
              </w:rPr>
              <w:t>tl</w:t>
            </w:r>
            <w:proofErr w:type="spellEnd"/>
            <w:r w:rsidRPr="00773080">
              <w:rPr>
                <w:rFonts w:ascii="Arial" w:hAnsi="Arial" w:cs="Arial"/>
                <w:b/>
                <w:bCs/>
                <w:sz w:val="18"/>
                <w:szCs w:val="18"/>
                <w:u w:val="single"/>
                <w:lang w:val="cs-CZ"/>
              </w:rPr>
              <w:t>. 12</w:t>
            </w:r>
            <w:r>
              <w:rPr>
                <w:rFonts w:ascii="Arial" w:hAnsi="Arial" w:cs="Arial"/>
                <w:b/>
                <w:bCs/>
                <w:sz w:val="18"/>
                <w:szCs w:val="18"/>
                <w:u w:val="single"/>
                <w:lang w:val="cs-CZ"/>
              </w:rPr>
              <w:t xml:space="preserve"> </w:t>
            </w:r>
            <w:r w:rsidRPr="00773080">
              <w:rPr>
                <w:rFonts w:ascii="Arial" w:hAnsi="Arial" w:cs="Arial"/>
                <w:b/>
                <w:bCs/>
                <w:sz w:val="18"/>
                <w:szCs w:val="18"/>
                <w:u w:val="single"/>
                <w:lang w:val="cs-CZ"/>
              </w:rPr>
              <w:t>mm, lakovaná  laky PÚ 3x, hrany sraženy R2</w:t>
            </w:r>
            <w:r w:rsidRPr="00773080">
              <w:rPr>
                <w:rFonts w:ascii="Arial" w:hAnsi="Arial" w:cs="Arial"/>
                <w:sz w:val="18"/>
                <w:szCs w:val="18"/>
                <w:lang w:val="cs-CZ"/>
              </w:rPr>
              <w:t>, výplně v dílech 500x1525</w:t>
            </w:r>
            <w:r>
              <w:rPr>
                <w:rFonts w:ascii="Arial" w:hAnsi="Arial" w:cs="Arial"/>
                <w:sz w:val="18"/>
                <w:szCs w:val="18"/>
                <w:lang w:val="cs-CZ"/>
              </w:rPr>
              <w:t xml:space="preserve"> </w:t>
            </w:r>
            <w:r w:rsidRPr="00773080">
              <w:rPr>
                <w:rFonts w:ascii="Arial" w:hAnsi="Arial" w:cs="Arial"/>
                <w:sz w:val="18"/>
                <w:szCs w:val="18"/>
                <w:lang w:val="cs-CZ"/>
              </w:rPr>
              <w:t xml:space="preserve">mm s vodorovným kladením na střih s </w:t>
            </w:r>
            <w:r>
              <w:rPr>
                <w:rFonts w:ascii="Arial" w:hAnsi="Arial" w:cs="Arial"/>
                <w:sz w:val="18"/>
                <w:szCs w:val="18"/>
                <w:lang w:val="cs-CZ"/>
              </w:rPr>
              <w:t>přiznanými</w:t>
            </w:r>
            <w:r w:rsidRPr="00773080">
              <w:rPr>
                <w:rFonts w:ascii="Arial" w:hAnsi="Arial" w:cs="Arial"/>
                <w:sz w:val="18"/>
                <w:szCs w:val="18"/>
                <w:lang w:val="cs-CZ"/>
              </w:rPr>
              <w:t xml:space="preserve"> spárami. Šroubovány vruty skrz do podklad</w:t>
            </w:r>
            <w:r>
              <w:rPr>
                <w:rFonts w:ascii="Arial" w:hAnsi="Arial" w:cs="Arial"/>
                <w:sz w:val="18"/>
                <w:szCs w:val="18"/>
                <w:lang w:val="cs-CZ"/>
              </w:rPr>
              <w:t>ního roštu, vruty zahloubeny vš</w:t>
            </w:r>
            <w:r w:rsidRPr="00773080">
              <w:rPr>
                <w:rFonts w:ascii="Arial" w:hAnsi="Arial" w:cs="Arial"/>
                <w:sz w:val="18"/>
                <w:szCs w:val="18"/>
                <w:lang w:val="cs-CZ"/>
              </w:rPr>
              <w:t>echny detaily dodělány</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86,00000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2 715,00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233 490,00 Kč</w:t>
            </w:r>
          </w:p>
        </w:tc>
      </w:tr>
      <w:tr w:rsidR="00773080" w:rsidRPr="00773080" w:rsidTr="00773080">
        <w:trPr>
          <w:trHeight w:val="419"/>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18</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w:hAnsi="Arial" w:cs="Arial"/>
                <w:sz w:val="18"/>
                <w:szCs w:val="18"/>
                <w:lang w:val="cs-CZ"/>
              </w:rPr>
            </w:pPr>
            <w:r w:rsidRPr="00773080">
              <w:rPr>
                <w:rFonts w:ascii="Arial" w:hAnsi="Arial" w:cs="Arial"/>
                <w:sz w:val="18"/>
                <w:szCs w:val="18"/>
                <w:lang w:val="cs-CZ"/>
              </w:rPr>
              <w:t>li</w:t>
            </w:r>
            <w:r>
              <w:rPr>
                <w:rFonts w:ascii="Arial" w:hAnsi="Arial" w:cs="Arial"/>
                <w:sz w:val="18"/>
                <w:szCs w:val="18"/>
                <w:lang w:val="cs-CZ"/>
              </w:rPr>
              <w:t>štování podlahy a lištování horn</w:t>
            </w:r>
            <w:r w:rsidRPr="00773080">
              <w:rPr>
                <w:rFonts w:ascii="Arial" w:hAnsi="Arial" w:cs="Arial"/>
                <w:sz w:val="18"/>
                <w:szCs w:val="18"/>
                <w:lang w:val="cs-CZ"/>
              </w:rPr>
              <w:t>í hrany obkladu</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bm</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83,00000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270,00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22 410,00 Kč</w:t>
            </w:r>
          </w:p>
        </w:tc>
      </w:tr>
      <w:tr w:rsidR="00773080" w:rsidRPr="00773080" w:rsidTr="00773080">
        <w:trPr>
          <w:trHeight w:val="33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Elektromontáže</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224 319,00 Kč</w:t>
            </w:r>
          </w:p>
        </w:tc>
      </w:tr>
      <w:tr w:rsidR="00773080" w:rsidRPr="00773080" w:rsidTr="00773080">
        <w:trPr>
          <w:trHeight w:val="76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19</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výměna osvětlení - pouze těles 16 ks, včetně nových vypínačů, elektromontáží a výškových prací</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kpl</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224 319,00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224 319,00 Kč</w:t>
            </w:r>
          </w:p>
        </w:tc>
      </w:tr>
      <w:tr w:rsidR="00773080" w:rsidRPr="00773080" w:rsidTr="00773080">
        <w:trPr>
          <w:trHeight w:val="33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proofErr w:type="spellStart"/>
            <w:r w:rsidRPr="00773080">
              <w:rPr>
                <w:rFonts w:ascii="Arial" w:hAnsi="Arial" w:cs="Arial"/>
                <w:b/>
                <w:bCs/>
                <w:sz w:val="24"/>
                <w:szCs w:val="24"/>
                <w:lang w:val="cs-CZ"/>
              </w:rPr>
              <w:t>Boulderingová</w:t>
            </w:r>
            <w:proofErr w:type="spellEnd"/>
            <w:r w:rsidRPr="00773080">
              <w:rPr>
                <w:rFonts w:ascii="Arial" w:hAnsi="Arial" w:cs="Arial"/>
                <w:b/>
                <w:bCs/>
                <w:sz w:val="24"/>
                <w:szCs w:val="24"/>
                <w:lang w:val="cs-CZ"/>
              </w:rPr>
              <w:t xml:space="preserve"> stěna</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145 000,00 Kč</w:t>
            </w:r>
          </w:p>
        </w:tc>
      </w:tr>
      <w:tr w:rsidR="00773080" w:rsidRPr="00773080" w:rsidTr="00773080">
        <w:trPr>
          <w:trHeight w:val="338"/>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20</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proofErr w:type="spellStart"/>
            <w:r w:rsidRPr="00773080">
              <w:rPr>
                <w:rFonts w:ascii="Arial CE" w:hAnsi="Arial CE" w:cs="Calibri"/>
                <w:sz w:val="18"/>
                <w:szCs w:val="18"/>
                <w:lang w:val="cs-CZ"/>
              </w:rPr>
              <w:t>Boulderingová</w:t>
            </w:r>
            <w:proofErr w:type="spellEnd"/>
            <w:r w:rsidRPr="00773080">
              <w:rPr>
                <w:rFonts w:ascii="Arial CE" w:hAnsi="Arial CE" w:cs="Calibri"/>
                <w:sz w:val="18"/>
                <w:szCs w:val="18"/>
                <w:lang w:val="cs-CZ"/>
              </w:rPr>
              <w:t xml:space="preserve"> stěna, dle představ školy</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kpl</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145 000,00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145 000,00 Kč</w:t>
            </w:r>
          </w:p>
        </w:tc>
      </w:tr>
      <w:tr w:rsidR="00773080" w:rsidRPr="00773080" w:rsidTr="00773080">
        <w:trPr>
          <w:trHeight w:val="54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Vstupní dveře</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117 000,00 Kč</w:t>
            </w:r>
          </w:p>
        </w:tc>
      </w:tr>
      <w:tr w:rsidR="00773080" w:rsidRPr="00773080" w:rsidTr="00773080">
        <w:trPr>
          <w:trHeight w:val="54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21</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D+M vstupních dveří do TV včetně vybourání stávajících</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kpl</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117 000,00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117 000,00 Kč</w:t>
            </w:r>
          </w:p>
        </w:tc>
      </w:tr>
      <w:tr w:rsidR="00773080" w:rsidRPr="00773080" w:rsidTr="00773080">
        <w:trPr>
          <w:trHeight w:val="480"/>
          <w:jc w:val="center"/>
        </w:trPr>
        <w:tc>
          <w:tcPr>
            <w:tcW w:w="507" w:type="dxa"/>
            <w:tcBorders>
              <w:top w:val="single" w:sz="8" w:space="0" w:color="auto"/>
              <w:left w:val="single" w:sz="8" w:space="0" w:color="auto"/>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Díl:</w:t>
            </w:r>
          </w:p>
        </w:tc>
        <w:tc>
          <w:tcPr>
            <w:tcW w:w="3412" w:type="dxa"/>
            <w:tcBorders>
              <w:top w:val="single" w:sz="8" w:space="0" w:color="auto"/>
              <w:left w:val="nil"/>
              <w:bottom w:val="single" w:sz="8" w:space="0" w:color="auto"/>
              <w:right w:val="single" w:sz="4" w:space="0" w:color="auto"/>
            </w:tcBorders>
            <w:shd w:val="clear" w:color="000000" w:fill="C9C9C9"/>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Ostatní</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sz w:val="24"/>
                <w:szCs w:val="24"/>
                <w:lang w:val="cs-CZ"/>
              </w:rPr>
            </w:pPr>
            <w:r w:rsidRPr="00773080">
              <w:rPr>
                <w:rFonts w:ascii="Arial" w:hAnsi="Arial" w:cs="Arial"/>
                <w:b/>
                <w:bCs/>
                <w:sz w:val="24"/>
                <w:szCs w:val="24"/>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227"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sz w:val="24"/>
                <w:szCs w:val="24"/>
                <w:lang w:val="cs-CZ"/>
              </w:rPr>
            </w:pPr>
            <w:r w:rsidRPr="00773080">
              <w:rPr>
                <w:rFonts w:ascii="Arial" w:hAnsi="Arial" w:cs="Arial"/>
                <w:b/>
                <w:bCs/>
                <w:sz w:val="24"/>
                <w:szCs w:val="24"/>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sz w:val="24"/>
                <w:szCs w:val="24"/>
                <w:lang w:val="cs-CZ"/>
              </w:rPr>
            </w:pPr>
            <w:r w:rsidRPr="00773080">
              <w:rPr>
                <w:rFonts w:ascii="Arial" w:hAnsi="Arial" w:cs="Arial"/>
                <w:b/>
                <w:bCs/>
                <w:sz w:val="24"/>
                <w:szCs w:val="24"/>
                <w:lang w:val="cs-CZ"/>
              </w:rPr>
              <w:t>147 912,00 Kč</w:t>
            </w:r>
          </w:p>
        </w:tc>
      </w:tr>
      <w:tr w:rsidR="00773080" w:rsidRPr="00773080" w:rsidTr="00773080">
        <w:trPr>
          <w:trHeight w:val="479"/>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22</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likvidace obalů - nebezpečné obaly od plechovek</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t</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0,40000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13 500,00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5 400,00 Kč</w:t>
            </w:r>
          </w:p>
        </w:tc>
      </w:tr>
      <w:tr w:rsidR="00773080" w:rsidRPr="00773080" w:rsidTr="00773080">
        <w:trPr>
          <w:trHeight w:val="585"/>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23</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malba stropu a stěn od výšky 2,0 m, dvojitá malba stěn, barva bílá</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684,00000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98,00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67 032,00 Kč</w:t>
            </w:r>
          </w:p>
        </w:tc>
      </w:tr>
      <w:tr w:rsidR="00773080" w:rsidRPr="00773080" w:rsidTr="00773080">
        <w:trPr>
          <w:trHeight w:val="421"/>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24</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nátěr stěn do výšky 2,0 m na dlouhých stranách TV</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m2</w:t>
            </w:r>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72,00000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230,00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16 560,00 Kč</w:t>
            </w:r>
          </w:p>
        </w:tc>
      </w:tr>
      <w:tr w:rsidR="00773080" w:rsidRPr="00773080" w:rsidTr="00773080">
        <w:trPr>
          <w:trHeight w:val="570"/>
          <w:jc w:val="center"/>
        </w:trPr>
        <w:tc>
          <w:tcPr>
            <w:tcW w:w="507" w:type="dxa"/>
            <w:tcBorders>
              <w:top w:val="nil"/>
              <w:left w:val="single" w:sz="8" w:space="0" w:color="auto"/>
              <w:bottom w:val="single" w:sz="4"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25</w:t>
            </w:r>
          </w:p>
        </w:tc>
        <w:tc>
          <w:tcPr>
            <w:tcW w:w="3412" w:type="dxa"/>
            <w:tcBorders>
              <w:top w:val="nil"/>
              <w:left w:val="nil"/>
              <w:bottom w:val="single" w:sz="4"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spojovací materiál podlaha, obklad stěn (hmoždinky, vruty, texy, apod..)</w:t>
            </w:r>
          </w:p>
        </w:tc>
        <w:tc>
          <w:tcPr>
            <w:tcW w:w="562"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proofErr w:type="spellStart"/>
            <w:r w:rsidRPr="00773080">
              <w:rPr>
                <w:rFonts w:ascii="Arial CE" w:hAnsi="Arial CE" w:cs="Calibri"/>
                <w:sz w:val="18"/>
                <w:szCs w:val="18"/>
                <w:lang w:val="cs-CZ"/>
              </w:rPr>
              <w:t>kpl</w:t>
            </w:r>
            <w:proofErr w:type="spellEnd"/>
          </w:p>
        </w:tc>
        <w:tc>
          <w:tcPr>
            <w:tcW w:w="1183" w:type="dxa"/>
            <w:tcBorders>
              <w:top w:val="nil"/>
              <w:left w:val="nil"/>
              <w:bottom w:val="single" w:sz="4"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1,00000</w:t>
            </w:r>
          </w:p>
        </w:tc>
        <w:tc>
          <w:tcPr>
            <w:tcW w:w="1227" w:type="dxa"/>
            <w:tcBorders>
              <w:top w:val="nil"/>
              <w:left w:val="nil"/>
              <w:bottom w:val="single" w:sz="4"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11 340,00</w:t>
            </w:r>
          </w:p>
        </w:tc>
        <w:tc>
          <w:tcPr>
            <w:tcW w:w="1929" w:type="dxa"/>
            <w:tcBorders>
              <w:top w:val="nil"/>
              <w:left w:val="nil"/>
              <w:bottom w:val="single" w:sz="4"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11 340,00 Kč</w:t>
            </w:r>
          </w:p>
        </w:tc>
      </w:tr>
      <w:tr w:rsidR="00773080" w:rsidRPr="00773080" w:rsidTr="00773080">
        <w:trPr>
          <w:trHeight w:val="509"/>
          <w:jc w:val="center"/>
        </w:trPr>
        <w:tc>
          <w:tcPr>
            <w:tcW w:w="507" w:type="dxa"/>
            <w:tcBorders>
              <w:top w:val="nil"/>
              <w:left w:val="single" w:sz="8" w:space="0" w:color="auto"/>
              <w:bottom w:val="single" w:sz="8" w:space="0" w:color="auto"/>
              <w:right w:val="single" w:sz="4" w:space="0" w:color="auto"/>
            </w:tcBorders>
            <w:shd w:val="clear" w:color="auto" w:fill="auto"/>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26</w:t>
            </w:r>
          </w:p>
        </w:tc>
        <w:tc>
          <w:tcPr>
            <w:tcW w:w="3412" w:type="dxa"/>
            <w:tcBorders>
              <w:top w:val="nil"/>
              <w:left w:val="nil"/>
              <w:bottom w:val="single" w:sz="8" w:space="0" w:color="auto"/>
              <w:right w:val="single" w:sz="4" w:space="0" w:color="auto"/>
            </w:tcBorders>
            <w:shd w:val="clear" w:color="000000" w:fill="FFFFFF"/>
            <w:vAlign w:val="center"/>
            <w:hideMark/>
          </w:tcPr>
          <w:p w:rsidR="00773080" w:rsidRPr="00773080" w:rsidRDefault="00773080" w:rsidP="00773080">
            <w:pPr>
              <w:rPr>
                <w:rFonts w:ascii="Arial CE" w:hAnsi="Arial CE" w:cs="Calibri"/>
                <w:sz w:val="18"/>
                <w:szCs w:val="18"/>
                <w:lang w:val="cs-CZ"/>
              </w:rPr>
            </w:pPr>
            <w:r w:rsidRPr="00773080">
              <w:rPr>
                <w:rFonts w:ascii="Arial CE" w:hAnsi="Arial CE" w:cs="Calibri"/>
                <w:sz w:val="18"/>
                <w:szCs w:val="18"/>
                <w:lang w:val="cs-CZ"/>
              </w:rPr>
              <w:t xml:space="preserve">Vedlejší rozpočtové náklady - přesuny hmot, dopravy materiálu </w:t>
            </w:r>
          </w:p>
        </w:tc>
        <w:tc>
          <w:tcPr>
            <w:tcW w:w="562" w:type="dxa"/>
            <w:tcBorders>
              <w:top w:val="nil"/>
              <w:left w:val="nil"/>
              <w:bottom w:val="single" w:sz="8" w:space="0" w:color="auto"/>
              <w:right w:val="single" w:sz="4" w:space="0" w:color="auto"/>
            </w:tcBorders>
            <w:shd w:val="clear" w:color="000000" w:fill="FFFFFF"/>
            <w:noWrap/>
            <w:vAlign w:val="center"/>
            <w:hideMark/>
          </w:tcPr>
          <w:p w:rsidR="00773080" w:rsidRPr="00773080" w:rsidRDefault="00773080" w:rsidP="00773080">
            <w:pPr>
              <w:jc w:val="center"/>
              <w:rPr>
                <w:rFonts w:ascii="Arial CE" w:hAnsi="Arial CE" w:cs="Calibri"/>
                <w:sz w:val="18"/>
                <w:szCs w:val="18"/>
                <w:lang w:val="cs-CZ"/>
              </w:rPr>
            </w:pPr>
            <w:r w:rsidRPr="00773080">
              <w:rPr>
                <w:rFonts w:ascii="Arial CE" w:hAnsi="Arial CE" w:cs="Calibri"/>
                <w:sz w:val="18"/>
                <w:szCs w:val="18"/>
                <w:lang w:val="cs-CZ"/>
              </w:rPr>
              <w:t>%</w:t>
            </w:r>
          </w:p>
        </w:tc>
        <w:tc>
          <w:tcPr>
            <w:tcW w:w="1183" w:type="dxa"/>
            <w:tcBorders>
              <w:top w:val="nil"/>
              <w:left w:val="nil"/>
              <w:bottom w:val="single" w:sz="8" w:space="0" w:color="auto"/>
              <w:right w:val="single" w:sz="4" w:space="0" w:color="auto"/>
            </w:tcBorders>
            <w:shd w:val="clear" w:color="000000" w:fill="FFFFFF"/>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366,00000</w:t>
            </w:r>
          </w:p>
        </w:tc>
        <w:tc>
          <w:tcPr>
            <w:tcW w:w="1227" w:type="dxa"/>
            <w:tcBorders>
              <w:top w:val="nil"/>
              <w:left w:val="nil"/>
              <w:bottom w:val="single" w:sz="8" w:space="0" w:color="auto"/>
              <w:right w:val="single" w:sz="4" w:space="0" w:color="auto"/>
            </w:tcBorders>
            <w:shd w:val="clear" w:color="000000" w:fill="BDD7EE"/>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130,00</w:t>
            </w:r>
          </w:p>
        </w:tc>
        <w:tc>
          <w:tcPr>
            <w:tcW w:w="1929" w:type="dxa"/>
            <w:tcBorders>
              <w:top w:val="nil"/>
              <w:left w:val="nil"/>
              <w:bottom w:val="single" w:sz="8" w:space="0" w:color="auto"/>
              <w:right w:val="single" w:sz="8" w:space="0" w:color="auto"/>
            </w:tcBorders>
            <w:shd w:val="clear" w:color="auto" w:fill="auto"/>
            <w:noWrap/>
            <w:vAlign w:val="center"/>
            <w:hideMark/>
          </w:tcPr>
          <w:p w:rsidR="00773080" w:rsidRPr="00773080" w:rsidRDefault="00773080" w:rsidP="00773080">
            <w:pPr>
              <w:jc w:val="right"/>
              <w:rPr>
                <w:rFonts w:ascii="Arial CE" w:hAnsi="Arial CE" w:cs="Calibri"/>
                <w:sz w:val="18"/>
                <w:szCs w:val="18"/>
                <w:lang w:val="cs-CZ"/>
              </w:rPr>
            </w:pPr>
            <w:r w:rsidRPr="00773080">
              <w:rPr>
                <w:rFonts w:ascii="Arial CE" w:hAnsi="Arial CE" w:cs="Calibri"/>
                <w:sz w:val="18"/>
                <w:szCs w:val="18"/>
                <w:lang w:val="cs-CZ"/>
              </w:rPr>
              <w:t>47 580,00 Kč</w:t>
            </w:r>
          </w:p>
        </w:tc>
      </w:tr>
      <w:tr w:rsidR="00773080" w:rsidRPr="00773080" w:rsidTr="00773080">
        <w:trPr>
          <w:trHeight w:val="315"/>
          <w:jc w:val="center"/>
        </w:trPr>
        <w:tc>
          <w:tcPr>
            <w:tcW w:w="507" w:type="dxa"/>
            <w:tcBorders>
              <w:top w:val="nil"/>
              <w:left w:val="nil"/>
              <w:bottom w:val="nil"/>
              <w:right w:val="nil"/>
            </w:tcBorders>
            <w:shd w:val="clear" w:color="auto" w:fill="auto"/>
            <w:noWrap/>
            <w:vAlign w:val="bottom"/>
            <w:hideMark/>
          </w:tcPr>
          <w:p w:rsidR="00773080" w:rsidRPr="00773080" w:rsidRDefault="00773080" w:rsidP="00773080">
            <w:pPr>
              <w:jc w:val="right"/>
              <w:rPr>
                <w:rFonts w:ascii="Arial CE" w:hAnsi="Arial CE" w:cs="Calibri"/>
                <w:sz w:val="18"/>
                <w:szCs w:val="18"/>
                <w:lang w:val="cs-CZ"/>
              </w:rPr>
            </w:pPr>
          </w:p>
        </w:tc>
        <w:tc>
          <w:tcPr>
            <w:tcW w:w="3412"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c>
          <w:tcPr>
            <w:tcW w:w="562"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c>
          <w:tcPr>
            <w:tcW w:w="1183" w:type="dxa"/>
            <w:tcBorders>
              <w:top w:val="nil"/>
              <w:left w:val="nil"/>
              <w:bottom w:val="nil"/>
              <w:right w:val="nil"/>
            </w:tcBorders>
            <w:shd w:val="clear" w:color="auto" w:fill="auto"/>
            <w:noWrap/>
            <w:vAlign w:val="bottom"/>
            <w:hideMark/>
          </w:tcPr>
          <w:p w:rsidR="00773080" w:rsidRPr="00773080" w:rsidRDefault="00773080" w:rsidP="00773080">
            <w:pPr>
              <w:jc w:val="center"/>
              <w:rPr>
                <w:lang w:val="cs-CZ"/>
              </w:rPr>
            </w:pPr>
          </w:p>
        </w:tc>
        <w:tc>
          <w:tcPr>
            <w:tcW w:w="1227"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c>
          <w:tcPr>
            <w:tcW w:w="1929" w:type="dxa"/>
            <w:tcBorders>
              <w:top w:val="nil"/>
              <w:left w:val="nil"/>
              <w:bottom w:val="nil"/>
              <w:right w:val="nil"/>
            </w:tcBorders>
            <w:shd w:val="clear" w:color="auto" w:fill="auto"/>
            <w:noWrap/>
            <w:vAlign w:val="bottom"/>
            <w:hideMark/>
          </w:tcPr>
          <w:p w:rsidR="00773080" w:rsidRPr="00773080" w:rsidRDefault="00773080" w:rsidP="00773080">
            <w:pPr>
              <w:rPr>
                <w:lang w:val="cs-CZ"/>
              </w:rPr>
            </w:pPr>
          </w:p>
        </w:tc>
      </w:tr>
      <w:tr w:rsidR="00773080" w:rsidRPr="00773080" w:rsidTr="00773080">
        <w:trPr>
          <w:trHeight w:val="420"/>
          <w:jc w:val="center"/>
        </w:trPr>
        <w:tc>
          <w:tcPr>
            <w:tcW w:w="507" w:type="dxa"/>
            <w:tcBorders>
              <w:top w:val="nil"/>
              <w:left w:val="nil"/>
              <w:bottom w:val="nil"/>
              <w:right w:val="nil"/>
            </w:tcBorders>
            <w:shd w:val="clear" w:color="000000" w:fill="FFFFFF"/>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3412"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xml:space="preserve">Celkem za objekt bez DPH </w:t>
            </w:r>
          </w:p>
        </w:tc>
        <w:tc>
          <w:tcPr>
            <w:tcW w:w="562"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lang w:val="cs-CZ"/>
              </w:rPr>
            </w:pPr>
            <w:r w:rsidRPr="00773080">
              <w:rPr>
                <w:rFonts w:ascii="Arial" w:hAnsi="Arial" w:cs="Arial"/>
                <w:b/>
                <w:bCs/>
                <w:lang w:val="cs-CZ"/>
              </w:rPr>
              <w:t> </w:t>
            </w:r>
          </w:p>
        </w:tc>
        <w:tc>
          <w:tcPr>
            <w:tcW w:w="1183" w:type="dxa"/>
            <w:tcBorders>
              <w:top w:val="single" w:sz="8" w:space="0" w:color="auto"/>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227" w:type="dxa"/>
            <w:tcBorders>
              <w:top w:val="single" w:sz="8" w:space="0" w:color="auto"/>
              <w:left w:val="nil"/>
              <w:bottom w:val="single" w:sz="8" w:space="0" w:color="auto"/>
              <w:right w:val="nil"/>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929" w:type="dxa"/>
            <w:tcBorders>
              <w:top w:val="single" w:sz="8" w:space="0" w:color="auto"/>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lang w:val="cs-CZ"/>
              </w:rPr>
            </w:pPr>
            <w:r w:rsidRPr="00773080">
              <w:rPr>
                <w:rFonts w:ascii="Arial" w:hAnsi="Arial" w:cs="Arial"/>
                <w:b/>
                <w:bCs/>
                <w:lang w:val="cs-CZ"/>
              </w:rPr>
              <w:t>2 178 108,60 Kč</w:t>
            </w:r>
          </w:p>
        </w:tc>
      </w:tr>
      <w:tr w:rsidR="00773080" w:rsidRPr="00773080" w:rsidTr="00773080">
        <w:trPr>
          <w:trHeight w:val="465"/>
          <w:jc w:val="center"/>
        </w:trPr>
        <w:tc>
          <w:tcPr>
            <w:tcW w:w="507" w:type="dxa"/>
            <w:tcBorders>
              <w:top w:val="nil"/>
              <w:left w:val="nil"/>
              <w:bottom w:val="nil"/>
              <w:right w:val="nil"/>
            </w:tcBorders>
            <w:shd w:val="clear" w:color="auto" w:fill="auto"/>
            <w:noWrap/>
            <w:vAlign w:val="center"/>
            <w:hideMark/>
          </w:tcPr>
          <w:p w:rsidR="00773080" w:rsidRPr="00773080" w:rsidRDefault="00773080" w:rsidP="00773080">
            <w:pPr>
              <w:jc w:val="right"/>
              <w:rPr>
                <w:rFonts w:ascii="Arial" w:hAnsi="Arial" w:cs="Arial"/>
                <w:b/>
                <w:bCs/>
                <w:lang w:val="cs-CZ"/>
              </w:rPr>
            </w:pPr>
          </w:p>
        </w:tc>
        <w:tc>
          <w:tcPr>
            <w:tcW w:w="3412" w:type="dxa"/>
            <w:tcBorders>
              <w:top w:val="nil"/>
              <w:left w:val="single" w:sz="8" w:space="0" w:color="auto"/>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DPH 21%</w:t>
            </w:r>
          </w:p>
        </w:tc>
        <w:tc>
          <w:tcPr>
            <w:tcW w:w="562" w:type="dxa"/>
            <w:tcBorders>
              <w:top w:val="nil"/>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lang w:val="cs-CZ"/>
              </w:rPr>
            </w:pPr>
            <w:r w:rsidRPr="00773080">
              <w:rPr>
                <w:rFonts w:ascii="Arial" w:hAnsi="Arial" w:cs="Arial"/>
                <w:b/>
                <w:bCs/>
                <w:lang w:val="cs-CZ"/>
              </w:rPr>
              <w:t> </w:t>
            </w:r>
          </w:p>
        </w:tc>
        <w:tc>
          <w:tcPr>
            <w:tcW w:w="1183" w:type="dxa"/>
            <w:tcBorders>
              <w:top w:val="nil"/>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227" w:type="dxa"/>
            <w:tcBorders>
              <w:top w:val="nil"/>
              <w:left w:val="nil"/>
              <w:bottom w:val="single" w:sz="8" w:space="0" w:color="auto"/>
              <w:right w:val="nil"/>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929" w:type="dxa"/>
            <w:tcBorders>
              <w:top w:val="nil"/>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lang w:val="cs-CZ"/>
              </w:rPr>
            </w:pPr>
            <w:r w:rsidRPr="00773080">
              <w:rPr>
                <w:rFonts w:ascii="Arial" w:hAnsi="Arial" w:cs="Arial"/>
                <w:b/>
                <w:bCs/>
                <w:lang w:val="cs-CZ"/>
              </w:rPr>
              <w:t>457 402,81 Kč</w:t>
            </w:r>
          </w:p>
        </w:tc>
      </w:tr>
      <w:tr w:rsidR="00773080" w:rsidRPr="00773080" w:rsidTr="00773080">
        <w:trPr>
          <w:trHeight w:val="450"/>
          <w:jc w:val="center"/>
        </w:trPr>
        <w:tc>
          <w:tcPr>
            <w:tcW w:w="507" w:type="dxa"/>
            <w:tcBorders>
              <w:top w:val="nil"/>
              <w:left w:val="nil"/>
              <w:bottom w:val="nil"/>
              <w:right w:val="nil"/>
            </w:tcBorders>
            <w:shd w:val="clear" w:color="auto" w:fill="auto"/>
            <w:noWrap/>
            <w:vAlign w:val="center"/>
            <w:hideMark/>
          </w:tcPr>
          <w:p w:rsidR="00773080" w:rsidRPr="00773080" w:rsidRDefault="00773080" w:rsidP="00773080">
            <w:pPr>
              <w:jc w:val="right"/>
              <w:rPr>
                <w:rFonts w:ascii="Arial" w:hAnsi="Arial" w:cs="Arial"/>
                <w:b/>
                <w:bCs/>
                <w:lang w:val="cs-CZ"/>
              </w:rPr>
            </w:pPr>
          </w:p>
        </w:tc>
        <w:tc>
          <w:tcPr>
            <w:tcW w:w="3412" w:type="dxa"/>
            <w:tcBorders>
              <w:top w:val="nil"/>
              <w:left w:val="single" w:sz="8" w:space="0" w:color="auto"/>
              <w:bottom w:val="single" w:sz="8" w:space="0" w:color="auto"/>
              <w:right w:val="single" w:sz="4" w:space="0" w:color="auto"/>
            </w:tcBorders>
            <w:shd w:val="clear" w:color="000000" w:fill="C0C0C0"/>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Celkem za objekt s DPH</w:t>
            </w:r>
          </w:p>
        </w:tc>
        <w:tc>
          <w:tcPr>
            <w:tcW w:w="562" w:type="dxa"/>
            <w:tcBorders>
              <w:top w:val="nil"/>
              <w:left w:val="nil"/>
              <w:bottom w:val="single" w:sz="8" w:space="0" w:color="auto"/>
              <w:right w:val="single" w:sz="4" w:space="0" w:color="auto"/>
            </w:tcBorders>
            <w:shd w:val="clear" w:color="000000" w:fill="C0C0C0"/>
            <w:noWrap/>
            <w:vAlign w:val="center"/>
            <w:hideMark/>
          </w:tcPr>
          <w:p w:rsidR="00773080" w:rsidRPr="00773080" w:rsidRDefault="00773080" w:rsidP="00773080">
            <w:pPr>
              <w:jc w:val="center"/>
              <w:rPr>
                <w:rFonts w:ascii="Arial" w:hAnsi="Arial" w:cs="Arial"/>
                <w:b/>
                <w:bCs/>
                <w:lang w:val="cs-CZ"/>
              </w:rPr>
            </w:pPr>
            <w:r w:rsidRPr="00773080">
              <w:rPr>
                <w:rFonts w:ascii="Arial" w:hAnsi="Arial" w:cs="Arial"/>
                <w:b/>
                <w:bCs/>
                <w:lang w:val="cs-CZ"/>
              </w:rPr>
              <w:t> </w:t>
            </w:r>
          </w:p>
        </w:tc>
        <w:tc>
          <w:tcPr>
            <w:tcW w:w="1183" w:type="dxa"/>
            <w:tcBorders>
              <w:top w:val="nil"/>
              <w:left w:val="nil"/>
              <w:bottom w:val="single" w:sz="8" w:space="0" w:color="auto"/>
              <w:right w:val="single" w:sz="4" w:space="0" w:color="auto"/>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227" w:type="dxa"/>
            <w:tcBorders>
              <w:top w:val="nil"/>
              <w:left w:val="nil"/>
              <w:bottom w:val="single" w:sz="8" w:space="0" w:color="auto"/>
              <w:right w:val="nil"/>
            </w:tcBorders>
            <w:shd w:val="clear" w:color="000000" w:fill="C0C0C0"/>
            <w:noWrap/>
            <w:vAlign w:val="center"/>
            <w:hideMark/>
          </w:tcPr>
          <w:p w:rsidR="00773080" w:rsidRPr="00773080" w:rsidRDefault="00773080" w:rsidP="00773080">
            <w:pPr>
              <w:rPr>
                <w:rFonts w:ascii="Arial" w:hAnsi="Arial" w:cs="Arial"/>
                <w:b/>
                <w:bCs/>
                <w:lang w:val="cs-CZ"/>
              </w:rPr>
            </w:pPr>
            <w:r w:rsidRPr="00773080">
              <w:rPr>
                <w:rFonts w:ascii="Arial" w:hAnsi="Arial" w:cs="Arial"/>
                <w:b/>
                <w:bCs/>
                <w:lang w:val="cs-CZ"/>
              </w:rPr>
              <w:t> </w:t>
            </w:r>
          </w:p>
        </w:tc>
        <w:tc>
          <w:tcPr>
            <w:tcW w:w="1929" w:type="dxa"/>
            <w:tcBorders>
              <w:top w:val="nil"/>
              <w:left w:val="nil"/>
              <w:bottom w:val="single" w:sz="8" w:space="0" w:color="auto"/>
              <w:right w:val="single" w:sz="8" w:space="0" w:color="auto"/>
            </w:tcBorders>
            <w:shd w:val="clear" w:color="000000" w:fill="C0C0C0"/>
            <w:noWrap/>
            <w:vAlign w:val="center"/>
            <w:hideMark/>
          </w:tcPr>
          <w:p w:rsidR="00773080" w:rsidRPr="00773080" w:rsidRDefault="00773080" w:rsidP="00773080">
            <w:pPr>
              <w:jc w:val="right"/>
              <w:rPr>
                <w:rFonts w:ascii="Arial" w:hAnsi="Arial" w:cs="Arial"/>
                <w:b/>
                <w:bCs/>
                <w:lang w:val="cs-CZ"/>
              </w:rPr>
            </w:pPr>
            <w:r w:rsidRPr="00773080">
              <w:rPr>
                <w:rFonts w:ascii="Arial" w:hAnsi="Arial" w:cs="Arial"/>
                <w:b/>
                <w:bCs/>
                <w:lang w:val="cs-CZ"/>
              </w:rPr>
              <w:t>2 635 511,41 Kč</w:t>
            </w:r>
          </w:p>
        </w:tc>
      </w:tr>
    </w:tbl>
    <w:p w:rsidR="00773080" w:rsidRPr="00CC01DE" w:rsidRDefault="00773080" w:rsidP="003839CE">
      <w:pPr>
        <w:pStyle w:val="Normlnweb"/>
        <w:shd w:val="clear" w:color="auto" w:fill="FFFFFF"/>
        <w:spacing w:before="60" w:beforeAutospacing="0" w:after="60" w:afterAutospacing="0" w:line="276" w:lineRule="auto"/>
        <w:jc w:val="both"/>
        <w:rPr>
          <w:b/>
          <w:color w:val="365F91" w:themeColor="accent1" w:themeShade="BF"/>
        </w:rPr>
      </w:pPr>
    </w:p>
    <w:sectPr w:rsidR="00773080" w:rsidRPr="00CC01DE" w:rsidSect="007F3D4D">
      <w:headerReference w:type="default" r:id="rId12"/>
      <w:footerReference w:type="default" r:id="rId13"/>
      <w:headerReference w:type="first" r:id="rId14"/>
      <w:footerReference w:type="first" r:id="rId15"/>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EEC" w:rsidRDefault="00BF4EEC">
      <w:r>
        <w:separator/>
      </w:r>
    </w:p>
  </w:endnote>
  <w:endnote w:type="continuationSeparator" w:id="0">
    <w:p w:rsidR="00BF4EEC" w:rsidRDefault="00BF4EEC">
      <w:r>
        <w:continuationSeparator/>
      </w:r>
    </w:p>
  </w:endnote>
  <w:endnote w:type="continuationNotice" w:id="1">
    <w:p w:rsidR="00BF4EEC" w:rsidRDefault="00BF4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D2" w:rsidRPr="00072D31" w:rsidRDefault="000379C6" w:rsidP="00072D31">
    <w:pPr>
      <w:jc w:val="center"/>
    </w:pPr>
    <w:r w:rsidRPr="00072D31">
      <w:rPr>
        <w:rStyle w:val="slostrnky"/>
      </w:rPr>
      <w:fldChar w:fldCharType="begin"/>
    </w:r>
    <w:r w:rsidR="006E40D2" w:rsidRPr="00072D31">
      <w:rPr>
        <w:rStyle w:val="slostrnky"/>
      </w:rPr>
      <w:instrText xml:space="preserve"> PAGE </w:instrText>
    </w:r>
    <w:r w:rsidRPr="00072D31">
      <w:rPr>
        <w:rStyle w:val="slostrnky"/>
      </w:rPr>
      <w:fldChar w:fldCharType="separate"/>
    </w:r>
    <w:r w:rsidR="00D67E79">
      <w:rPr>
        <w:rStyle w:val="slostrnky"/>
        <w:noProof/>
      </w:rPr>
      <w:t>11</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0D2" w:rsidRDefault="00472A58" w:rsidP="006D22C3">
    <w:pPr>
      <w:jc w:val="center"/>
      <w:rPr>
        <w:rFonts w:ascii="Calibri Light" w:hAnsi="Calibri Light" w:cs="Calibri Light"/>
      </w:rPr>
    </w:pPr>
    <w:r w:rsidRPr="00472A58">
      <w:rPr>
        <w:rFonts w:ascii="Calibri Light" w:hAnsi="Calibri Light" w:cs="Calibri Light"/>
        <w:b/>
      </w:rPr>
      <w:t xml:space="preserve">ROYAL TECH </w:t>
    </w:r>
    <w:proofErr w:type="spellStart"/>
    <w:r w:rsidRPr="00472A58">
      <w:rPr>
        <w:rFonts w:ascii="Calibri Light" w:hAnsi="Calibri Light" w:cs="Calibri Light"/>
        <w:b/>
      </w:rPr>
      <w:t>s.r.o.</w:t>
    </w:r>
    <w:proofErr w:type="spellEnd"/>
    <w:r w:rsidRPr="00472A58">
      <w:rPr>
        <w:rFonts w:ascii="Calibri Light" w:hAnsi="Calibri Light" w:cs="Calibri Light"/>
        <w:b/>
      </w:rPr>
      <w:t>,</w:t>
    </w:r>
    <w:r>
      <w:rPr>
        <w:rFonts w:ascii="Calibri Light" w:hAnsi="Calibri Light" w:cs="Calibri Light"/>
      </w:rPr>
      <w:t xml:space="preserve"> </w:t>
    </w:r>
    <w:proofErr w:type="spellStart"/>
    <w:r>
      <w:rPr>
        <w:rFonts w:ascii="Calibri Light" w:hAnsi="Calibri Light" w:cs="Calibri Light"/>
      </w:rPr>
      <w:t>Fáblovka</w:t>
    </w:r>
    <w:proofErr w:type="spellEnd"/>
    <w:r>
      <w:rPr>
        <w:rFonts w:ascii="Calibri Light" w:hAnsi="Calibri Light" w:cs="Calibri Light"/>
      </w:rPr>
      <w:t xml:space="preserve"> 404, 533 52 Pardubice</w:t>
    </w:r>
  </w:p>
  <w:p w:rsidR="00472A58" w:rsidRPr="006D22C3" w:rsidRDefault="00472A58" w:rsidP="006D22C3">
    <w:pPr>
      <w:jc w:val="center"/>
      <w:rPr>
        <w:rFonts w:ascii="Calibri Light" w:hAnsi="Calibri Light" w:cs="Calibri Light"/>
      </w:rPr>
    </w:pPr>
    <w:r>
      <w:rPr>
        <w:rFonts w:ascii="Calibri Light" w:hAnsi="Calibri Light" w:cs="Calibri Light"/>
      </w:rPr>
      <w:t xml:space="preserve">IČ: 275558657, DIČ: CZ27558657, </w:t>
    </w:r>
    <w:hyperlink r:id="rId1" w:history="1">
      <w:r w:rsidRPr="00C2128B">
        <w:rPr>
          <w:rStyle w:val="Hypertextovodkaz"/>
          <w:rFonts w:ascii="Calibri Light" w:hAnsi="Calibri Light" w:cs="Calibri Light"/>
        </w:rPr>
        <w:t>www.royaltech.cz</w:t>
      </w:r>
    </w:hyperlink>
    <w:r>
      <w:rPr>
        <w:rFonts w:ascii="Calibri Light" w:hAnsi="Calibri Light" w:cs="Calibri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EEC" w:rsidRDefault="00BF4EEC">
      <w:r>
        <w:separator/>
      </w:r>
    </w:p>
  </w:footnote>
  <w:footnote w:type="continuationSeparator" w:id="0">
    <w:p w:rsidR="00BF4EEC" w:rsidRDefault="00BF4EEC">
      <w:r>
        <w:continuationSeparator/>
      </w:r>
    </w:p>
  </w:footnote>
  <w:footnote w:type="continuationNotice" w:id="1">
    <w:p w:rsidR="00BF4EEC" w:rsidRDefault="00BF4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C3" w:rsidRDefault="006D22C3">
    <w:pPr>
      <w:pStyle w:val="Zhlav"/>
    </w:pPr>
    <w:r>
      <w:rPr>
        <w:noProof/>
        <w:lang w:val="cs-CZ"/>
      </w:rPr>
      <w:drawing>
        <wp:anchor distT="0" distB="0" distL="114300" distR="114300" simplePos="0" relativeHeight="251660288" behindDoc="1" locked="0" layoutInCell="1" allowOverlap="1">
          <wp:simplePos x="0" y="0"/>
          <wp:positionH relativeFrom="margin">
            <wp:posOffset>4381500</wp:posOffset>
          </wp:positionH>
          <wp:positionV relativeFrom="paragraph">
            <wp:posOffset>-324485</wp:posOffset>
          </wp:positionV>
          <wp:extent cx="2006600" cy="480695"/>
          <wp:effectExtent l="0" t="0" r="0" b="0"/>
          <wp:wrapNone/>
          <wp:docPr id="2" name="Obrázek 2" descr="RoyalTech - Gold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RoyalTech - GoldGradi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4806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C3" w:rsidRDefault="006D22C3" w:rsidP="006D22C3">
    <w:pPr>
      <w:pStyle w:val="Zhlav"/>
    </w:pPr>
    <w:r>
      <w:rPr>
        <w:noProof/>
        <w:lang w:val="cs-CZ"/>
      </w:rPr>
      <w:drawing>
        <wp:anchor distT="0" distB="0" distL="114300" distR="114300" simplePos="0" relativeHeight="251658240" behindDoc="1" locked="0" layoutInCell="1" allowOverlap="1">
          <wp:simplePos x="0" y="0"/>
          <wp:positionH relativeFrom="margin">
            <wp:posOffset>4479925</wp:posOffset>
          </wp:positionH>
          <wp:positionV relativeFrom="paragraph">
            <wp:posOffset>-333375</wp:posOffset>
          </wp:positionV>
          <wp:extent cx="2006600" cy="480695"/>
          <wp:effectExtent l="0" t="0" r="0" b="0"/>
          <wp:wrapNone/>
          <wp:docPr id="1" name="Obrázek 1" descr="RoyalTech - Gold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RoyalTech - GoldGradi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4806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935FE"/>
    <w:multiLevelType w:val="hybridMultilevel"/>
    <w:tmpl w:val="86DE948A"/>
    <w:lvl w:ilvl="0" w:tplc="A644124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1"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4"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5"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6"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8"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3"/>
  </w:num>
  <w:num w:numId="3">
    <w:abstractNumId w:val="0"/>
  </w:num>
  <w:num w:numId="4">
    <w:abstractNumId w:val="13"/>
    <w:lvlOverride w:ilvl="0">
      <w:startOverride w:val="1"/>
    </w:lvlOverride>
  </w:num>
  <w:num w:numId="5">
    <w:abstractNumId w:val="13"/>
    <w:lvlOverride w:ilvl="0">
      <w:startOverride w:val="1"/>
    </w:lvlOverride>
  </w:num>
  <w:num w:numId="6">
    <w:abstractNumId w:val="18"/>
  </w:num>
  <w:num w:numId="7">
    <w:abstractNumId w:val="27"/>
  </w:num>
  <w:num w:numId="8">
    <w:abstractNumId w:val="16"/>
  </w:num>
  <w:num w:numId="9">
    <w:abstractNumId w:val="11"/>
  </w:num>
  <w:num w:numId="10">
    <w:abstractNumId w:val="3"/>
  </w:num>
  <w:num w:numId="11">
    <w:abstractNumId w:val="25"/>
  </w:num>
  <w:num w:numId="12">
    <w:abstractNumId w:val="28"/>
  </w:num>
  <w:num w:numId="13">
    <w:abstractNumId w:val="19"/>
  </w:num>
  <w:num w:numId="14">
    <w:abstractNumId w:val="14"/>
  </w:num>
  <w:num w:numId="15">
    <w:abstractNumId w:val="2"/>
  </w:num>
  <w:num w:numId="16">
    <w:abstractNumId w:val="17"/>
  </w:num>
  <w:num w:numId="17">
    <w:abstractNumId w:val="21"/>
  </w:num>
  <w:num w:numId="18">
    <w:abstractNumId w:val="12"/>
  </w:num>
  <w:num w:numId="19">
    <w:abstractNumId w:val="15"/>
  </w:num>
  <w:num w:numId="20">
    <w:abstractNumId w:val="24"/>
  </w:num>
  <w:num w:numId="21">
    <w:abstractNumId w:val="23"/>
  </w:num>
  <w:num w:numId="22">
    <w:abstractNumId w:val="10"/>
  </w:num>
  <w:num w:numId="23">
    <w:abstractNumId w:val="26"/>
  </w:num>
  <w:num w:numId="24">
    <w:abstractNumId w:val="5"/>
  </w:num>
  <w:num w:numId="25">
    <w:abstractNumId w:val="7"/>
  </w:num>
  <w:num w:numId="26">
    <w:abstractNumId w:val="6"/>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2"/>
  </w:num>
  <w:num w:numId="39">
    <w:abstractNumId w:val="0"/>
  </w:num>
  <w:num w:numId="40">
    <w:abstractNumId w:val="0"/>
  </w:num>
  <w:num w:numId="41">
    <w:abstractNumId w:val="0"/>
  </w:num>
  <w:num w:numId="42">
    <w:abstractNumId w:val="0"/>
  </w:num>
  <w:num w:numId="43">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9C6"/>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96C"/>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54"/>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3F65"/>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E9E"/>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1E6C"/>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1EF9"/>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905"/>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921"/>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B15"/>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2F6F"/>
    <w:rsid w:val="00213050"/>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9C5"/>
    <w:rsid w:val="00271B8C"/>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9FD"/>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BB3"/>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E7A3E"/>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711"/>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132"/>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5813"/>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9CE"/>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38D"/>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960"/>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BE0"/>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1EA"/>
    <w:rsid w:val="00470A83"/>
    <w:rsid w:val="004712EA"/>
    <w:rsid w:val="00471986"/>
    <w:rsid w:val="00471E1C"/>
    <w:rsid w:val="00472109"/>
    <w:rsid w:val="004723EF"/>
    <w:rsid w:val="00472A58"/>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77F2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4C47"/>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578"/>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455"/>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992"/>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612"/>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2EC1"/>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6A6"/>
    <w:rsid w:val="00662F02"/>
    <w:rsid w:val="0066394B"/>
    <w:rsid w:val="00663AAD"/>
    <w:rsid w:val="00663B80"/>
    <w:rsid w:val="00663DE5"/>
    <w:rsid w:val="00663F2D"/>
    <w:rsid w:val="006642AF"/>
    <w:rsid w:val="0066437E"/>
    <w:rsid w:val="006645DB"/>
    <w:rsid w:val="00664B18"/>
    <w:rsid w:val="00664CD4"/>
    <w:rsid w:val="006657BD"/>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54D"/>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641"/>
    <w:rsid w:val="006C78B8"/>
    <w:rsid w:val="006D0298"/>
    <w:rsid w:val="006D050A"/>
    <w:rsid w:val="006D0E2E"/>
    <w:rsid w:val="006D16F1"/>
    <w:rsid w:val="006D1C12"/>
    <w:rsid w:val="006D22C3"/>
    <w:rsid w:val="006D232D"/>
    <w:rsid w:val="006D2716"/>
    <w:rsid w:val="006D2C7C"/>
    <w:rsid w:val="006D2EF9"/>
    <w:rsid w:val="006D323D"/>
    <w:rsid w:val="006D3305"/>
    <w:rsid w:val="006D333B"/>
    <w:rsid w:val="006D3547"/>
    <w:rsid w:val="006D35EA"/>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07C"/>
    <w:rsid w:val="0072268C"/>
    <w:rsid w:val="00722943"/>
    <w:rsid w:val="00722A44"/>
    <w:rsid w:val="00722D76"/>
    <w:rsid w:val="00722E50"/>
    <w:rsid w:val="007235A6"/>
    <w:rsid w:val="0072430C"/>
    <w:rsid w:val="00724360"/>
    <w:rsid w:val="007244AE"/>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080"/>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053"/>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B9E"/>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C6B"/>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C2B"/>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6B9"/>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A7E4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6D04"/>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6CEF"/>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3C2"/>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5E9"/>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69"/>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21AF"/>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C7C"/>
    <w:rsid w:val="00BF4836"/>
    <w:rsid w:val="00BF4A5D"/>
    <w:rsid w:val="00BF4E63"/>
    <w:rsid w:val="00BF4EEC"/>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990"/>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842"/>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2A"/>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0A2"/>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67E79"/>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043"/>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CD4"/>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024"/>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3A9"/>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5C9E"/>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5832"/>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0FBB"/>
    <w:rsid w:val="00FA1B21"/>
    <w:rsid w:val="00FA1E13"/>
    <w:rsid w:val="00FA264B"/>
    <w:rsid w:val="00FA28A5"/>
    <w:rsid w:val="00FA2A48"/>
    <w:rsid w:val="00FA3384"/>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655"/>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711614019">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nikova@g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repa@royaltech.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mek@royaltech.cz" TargetMode="External"/><Relationship Id="rId4" Type="http://schemas.openxmlformats.org/officeDocument/2006/relationships/settings" Target="settings.xml"/><Relationship Id="rId9" Type="http://schemas.openxmlformats.org/officeDocument/2006/relationships/hyperlink" Target="mailto:kacirek@grk.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royaltec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477F-5A56-482C-BF73-77486F19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3599</Words>
  <Characters>21237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2025-08-06T08:02:00Z</dcterms:created>
  <dcterms:modified xsi:type="dcterms:W3CDTF">2025-08-06T08:02:00Z</dcterms:modified>
</cp:coreProperties>
</file>